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EE8" w:rsidRPr="00502F4E" w:rsidRDefault="009B2EE8" w:rsidP="009B2EE8">
      <w:pPr>
        <w:widowControl w:val="0"/>
        <w:jc w:val="both"/>
        <w:rPr>
          <w:rFonts w:ascii="Times New Roman" w:hAnsi="Times New Roman" w:cs="Times New Roman"/>
          <w:b/>
          <w:sz w:val="20"/>
          <w:szCs w:val="20"/>
          <w:lang w:val="en-US"/>
        </w:rPr>
      </w:pPr>
      <w:r w:rsidRPr="00502F4E">
        <w:rPr>
          <w:rFonts w:ascii="Times New Roman" w:hAnsi="Times New Roman" w:cs="Times New Roman"/>
          <w:b/>
          <w:sz w:val="20"/>
          <w:szCs w:val="20"/>
          <w:lang w:val="en-US"/>
        </w:rPr>
        <w:t>SUPPLEMENTAL FILES</w:t>
      </w:r>
    </w:p>
    <w:p w:rsidR="009B2EE8" w:rsidRPr="00502F4E" w:rsidRDefault="009B2EE8" w:rsidP="009B2EE8">
      <w:pPr>
        <w:widowControl w:val="0"/>
        <w:spacing w:line="360" w:lineRule="auto"/>
        <w:jc w:val="both"/>
        <w:rPr>
          <w:rFonts w:ascii="Times New Roman" w:hAnsi="Times New Roman" w:cs="Times New Roman"/>
          <w:b/>
          <w:sz w:val="20"/>
          <w:szCs w:val="20"/>
          <w:lang w:val="en-US"/>
        </w:rPr>
      </w:pPr>
      <w:r w:rsidRPr="00502F4E">
        <w:rPr>
          <w:rFonts w:ascii="Times New Roman" w:hAnsi="Times New Roman" w:cs="Times New Roman"/>
          <w:b/>
          <w:sz w:val="20"/>
          <w:szCs w:val="20"/>
          <w:lang w:val="en-US"/>
        </w:rPr>
        <w:t>Technical aspects of tumor segmentation in PSMA PET</w:t>
      </w:r>
    </w:p>
    <w:p w:rsidR="009B2EE8" w:rsidRPr="00502F4E" w:rsidRDefault="009B2EE8" w:rsidP="009B2EE8">
      <w:pPr>
        <w:widowControl w:val="0"/>
        <w:spacing w:line="360" w:lineRule="auto"/>
        <w:ind w:firstLine="708"/>
        <w:jc w:val="both"/>
        <w:rPr>
          <w:rFonts w:ascii="Times New Roman" w:hAnsi="Times New Roman" w:cs="Times New Roman"/>
          <w:sz w:val="20"/>
          <w:szCs w:val="20"/>
          <w:lang w:val="en-US"/>
        </w:rPr>
      </w:pPr>
      <w:r w:rsidRPr="00502F4E">
        <w:rPr>
          <w:rFonts w:ascii="Times New Roman" w:hAnsi="Times New Roman" w:cs="Times New Roman"/>
          <w:sz w:val="20"/>
          <w:szCs w:val="20"/>
          <w:lang w:val="en-US"/>
        </w:rPr>
        <w:t xml:space="preserve">An effective separation of tumor lesions from the sites of normal uptake has been a challenge for many researchers dealing with the response assessment in PSMA PET. In this work, based on our own observation, a fixed SUV threshold of 4.0 was established as optimal for tumor segmentation. It ensured satisfactory separation of pathologic and physiologic sites in the majority of patients. In others, the overlapping structures of normal and pathologic uptake generated large confluent ROIs (region of interest), which sometimes required meticulous, time-consuming, manual refinement. Retroperitoneum is an example of such anatomic localization, where the semi-automatic system may at the same time delineate involved lymph nodes and intestinal uptake, which often additionally overlaps kidneys. On the other hand, adopting a higher global SUV threshold or using </w:t>
      </w:r>
      <w:proofErr w:type="spellStart"/>
      <w:r w:rsidRPr="00502F4E">
        <w:rPr>
          <w:rFonts w:ascii="Times New Roman" w:hAnsi="Times New Roman" w:cs="Times New Roman"/>
          <w:sz w:val="20"/>
          <w:szCs w:val="20"/>
          <w:lang w:val="en-US"/>
        </w:rPr>
        <w:t>percental</w:t>
      </w:r>
      <w:proofErr w:type="spellEnd"/>
      <w:r w:rsidRPr="00502F4E">
        <w:rPr>
          <w:rFonts w:ascii="Times New Roman" w:hAnsi="Times New Roman" w:cs="Times New Roman"/>
          <w:sz w:val="20"/>
          <w:szCs w:val="20"/>
          <w:lang w:val="en-US"/>
        </w:rPr>
        <w:t xml:space="preserve"> thresholding (e.g., 50% of the </w:t>
      </w:r>
      <w:proofErr w:type="spellStart"/>
      <w:r w:rsidRPr="00502F4E">
        <w:rPr>
          <w:rFonts w:ascii="Times New Roman" w:hAnsi="Times New Roman" w:cs="Times New Roman"/>
          <w:sz w:val="20"/>
          <w:szCs w:val="20"/>
          <w:lang w:val="en-US"/>
        </w:rPr>
        <w:t>SUV</w:t>
      </w:r>
      <w:r w:rsidRPr="00502F4E">
        <w:rPr>
          <w:rFonts w:ascii="Times New Roman" w:hAnsi="Times New Roman" w:cs="Times New Roman"/>
          <w:sz w:val="20"/>
          <w:szCs w:val="20"/>
          <w:vertAlign w:val="subscript"/>
          <w:lang w:val="en-US"/>
        </w:rPr>
        <w:t>max</w:t>
      </w:r>
      <w:proofErr w:type="spellEnd"/>
      <w:r w:rsidRPr="00502F4E">
        <w:rPr>
          <w:rFonts w:ascii="Times New Roman" w:hAnsi="Times New Roman" w:cs="Times New Roman"/>
          <w:sz w:val="20"/>
          <w:szCs w:val="20"/>
          <w:lang w:val="en-US"/>
        </w:rPr>
        <w:t xml:space="preserve">) may lead to substantial underestimation of </w:t>
      </w:r>
      <w:r w:rsidR="003B662B">
        <w:rPr>
          <w:rFonts w:ascii="Times New Roman" w:hAnsi="Times New Roman" w:cs="Times New Roman"/>
          <w:sz w:val="20"/>
          <w:szCs w:val="20"/>
          <w:lang w:val="en-US"/>
        </w:rPr>
        <w:t>the total lesion PSMA (</w:t>
      </w:r>
      <w:r w:rsidRPr="00502F4E">
        <w:rPr>
          <w:rFonts w:ascii="Times New Roman" w:hAnsi="Times New Roman" w:cs="Times New Roman"/>
          <w:sz w:val="20"/>
          <w:szCs w:val="20"/>
          <w:lang w:val="en-US"/>
        </w:rPr>
        <w:t>TLP</w:t>
      </w:r>
      <w:r w:rsidR="003B662B">
        <w:rPr>
          <w:rFonts w:ascii="Times New Roman" w:hAnsi="Times New Roman" w:cs="Times New Roman"/>
          <w:sz w:val="20"/>
          <w:szCs w:val="20"/>
          <w:lang w:val="en-US"/>
        </w:rPr>
        <w:t>)</w:t>
      </w:r>
      <w:r w:rsidRPr="00502F4E">
        <w:rPr>
          <w:rFonts w:ascii="Times New Roman" w:hAnsi="Times New Roman" w:cs="Times New Roman"/>
          <w:sz w:val="20"/>
          <w:szCs w:val="20"/>
          <w:lang w:val="en-US"/>
        </w:rPr>
        <w:t>, especially in areas of high pathologic activity [</w:t>
      </w:r>
      <w:r w:rsidR="00221CA8">
        <w:rPr>
          <w:rFonts w:ascii="Times New Roman" w:hAnsi="Times New Roman" w:cs="Times New Roman"/>
          <w:sz w:val="20"/>
          <w:szCs w:val="20"/>
          <w:lang w:val="en-US"/>
        </w:rPr>
        <w:t>1</w:t>
      </w:r>
      <w:r w:rsidRPr="00502F4E">
        <w:rPr>
          <w:rFonts w:ascii="Times New Roman" w:hAnsi="Times New Roman" w:cs="Times New Roman"/>
          <w:sz w:val="20"/>
          <w:szCs w:val="20"/>
          <w:lang w:val="en-US"/>
        </w:rPr>
        <w:t xml:space="preserve">]. </w:t>
      </w:r>
      <w:proofErr w:type="spellStart"/>
      <w:r w:rsidRPr="00502F4E">
        <w:rPr>
          <w:rFonts w:ascii="Times New Roman" w:hAnsi="Times New Roman" w:cs="Times New Roman"/>
          <w:sz w:val="20"/>
          <w:szCs w:val="20"/>
          <w:lang w:val="en-US"/>
        </w:rPr>
        <w:t>Gafita</w:t>
      </w:r>
      <w:proofErr w:type="spellEnd"/>
      <w:r w:rsidRPr="00502F4E">
        <w:rPr>
          <w:rFonts w:ascii="Times New Roman" w:hAnsi="Times New Roman" w:cs="Times New Roman"/>
          <w:sz w:val="20"/>
          <w:szCs w:val="20"/>
          <w:lang w:val="en-US"/>
        </w:rPr>
        <w:t xml:space="preserve"> and co-workers proposed a complex method of adjusting variable SUV thresholds for the skeleton, lymph node, and visceral organ metastases, based on the liver background activity as a reference for physiologic PSMA uptake [</w:t>
      </w:r>
      <w:r w:rsidR="00221CA8">
        <w:rPr>
          <w:rFonts w:ascii="Times New Roman" w:hAnsi="Times New Roman" w:cs="Times New Roman"/>
          <w:sz w:val="20"/>
          <w:szCs w:val="20"/>
          <w:lang w:val="en-US"/>
        </w:rPr>
        <w:t>2</w:t>
      </w:r>
      <w:r w:rsidRPr="00502F4E">
        <w:rPr>
          <w:rFonts w:ascii="Times New Roman" w:hAnsi="Times New Roman" w:cs="Times New Roman"/>
          <w:sz w:val="20"/>
          <w:szCs w:val="20"/>
          <w:lang w:val="en-US"/>
        </w:rPr>
        <w:t xml:space="preserve">]. The authors proved its usefulness for tumor load estimation in highly-metastasized </w:t>
      </w:r>
      <w:proofErr w:type="spellStart"/>
      <w:r w:rsidRPr="00502F4E">
        <w:rPr>
          <w:rFonts w:ascii="Times New Roman" w:hAnsi="Times New Roman" w:cs="Times New Roman"/>
          <w:sz w:val="20"/>
          <w:szCs w:val="20"/>
          <w:lang w:val="en-US"/>
        </w:rPr>
        <w:t>PCa</w:t>
      </w:r>
      <w:proofErr w:type="spellEnd"/>
      <w:r w:rsidRPr="00502F4E">
        <w:rPr>
          <w:rFonts w:ascii="Times New Roman" w:hAnsi="Times New Roman" w:cs="Times New Roman"/>
          <w:sz w:val="20"/>
          <w:szCs w:val="20"/>
          <w:lang w:val="en-US"/>
        </w:rPr>
        <w:t xml:space="preserve"> patients. </w:t>
      </w:r>
    </w:p>
    <w:p w:rsidR="009B2EE8" w:rsidRPr="00502F4E" w:rsidRDefault="009B2EE8" w:rsidP="009B2EE8">
      <w:pPr>
        <w:widowControl w:val="0"/>
        <w:spacing w:line="360" w:lineRule="auto"/>
        <w:ind w:firstLine="708"/>
        <w:jc w:val="both"/>
        <w:rPr>
          <w:rFonts w:ascii="Times New Roman" w:hAnsi="Times New Roman" w:cs="Times New Roman"/>
          <w:sz w:val="20"/>
          <w:szCs w:val="20"/>
          <w:lang w:val="en-US"/>
        </w:rPr>
      </w:pPr>
      <w:r w:rsidRPr="00502F4E">
        <w:rPr>
          <w:rFonts w:ascii="Times New Roman" w:hAnsi="Times New Roman" w:cs="Times New Roman"/>
          <w:sz w:val="20"/>
          <w:szCs w:val="20"/>
          <w:lang w:val="en-US"/>
        </w:rPr>
        <w:t xml:space="preserve">Interestingly, we have noticed that if a patient presented only BMs without pelvic or abdominal LNMs, exclusion of physiological uptake in the liver, spleen, intestines and kidneys from the total volume of PSMA accumulating structures was easy to do with one “mouse click”. Due to the close proximity and overlapping of ROIs over these organs, they usually form one confluent cluster of ROIs. </w:t>
      </w:r>
    </w:p>
    <w:p w:rsidR="00221CA8" w:rsidRDefault="00221CA8" w:rsidP="00FC5A67">
      <w:pPr>
        <w:jc w:val="both"/>
        <w:rPr>
          <w:rFonts w:ascii="Times New Roman" w:hAnsi="Times New Roman" w:cs="Times New Roman"/>
          <w:b/>
          <w:sz w:val="20"/>
          <w:szCs w:val="20"/>
          <w:lang w:val="en-US"/>
        </w:rPr>
      </w:pPr>
    </w:p>
    <w:p w:rsidR="009B2EE8" w:rsidRDefault="00221CA8" w:rsidP="00FC5A67">
      <w:pPr>
        <w:jc w:val="both"/>
        <w:rPr>
          <w:rFonts w:ascii="Times New Roman" w:hAnsi="Times New Roman" w:cs="Times New Roman"/>
          <w:b/>
          <w:sz w:val="20"/>
          <w:szCs w:val="20"/>
          <w:lang w:val="en-US"/>
        </w:rPr>
      </w:pPr>
      <w:r>
        <w:rPr>
          <w:rFonts w:ascii="Times New Roman" w:hAnsi="Times New Roman" w:cs="Times New Roman"/>
          <w:b/>
          <w:sz w:val="20"/>
          <w:szCs w:val="20"/>
          <w:lang w:val="en-US"/>
        </w:rPr>
        <w:t>References:</w:t>
      </w:r>
    </w:p>
    <w:p w:rsidR="00221CA8" w:rsidRPr="00A61AD9" w:rsidRDefault="00221CA8" w:rsidP="00221CA8">
      <w:pPr>
        <w:pStyle w:val="Akapitzlist"/>
        <w:numPr>
          <w:ilvl w:val="0"/>
          <w:numId w:val="1"/>
        </w:numPr>
        <w:spacing w:line="360" w:lineRule="auto"/>
        <w:ind w:left="426" w:hanging="426"/>
        <w:jc w:val="both"/>
        <w:rPr>
          <w:rFonts w:ascii="Times New Roman" w:hAnsi="Times New Roman" w:cs="Times New Roman"/>
          <w:sz w:val="20"/>
          <w:szCs w:val="20"/>
          <w:lang w:val="en-US"/>
        </w:rPr>
      </w:pPr>
      <w:r w:rsidRPr="00A61AD9">
        <w:rPr>
          <w:rFonts w:ascii="Times New Roman" w:hAnsi="Times New Roman" w:cs="Times New Roman"/>
          <w:sz w:val="20"/>
          <w:szCs w:val="20"/>
          <w:lang w:val="en-US"/>
        </w:rPr>
        <w:t xml:space="preserve">Seifert R, Herrmann K. </w:t>
      </w:r>
      <w:proofErr w:type="spellStart"/>
      <w:r w:rsidRPr="00A61AD9">
        <w:rPr>
          <w:rFonts w:ascii="Times New Roman" w:hAnsi="Times New Roman" w:cs="Times New Roman"/>
          <w:sz w:val="20"/>
          <w:szCs w:val="20"/>
          <w:lang w:val="en-US"/>
        </w:rPr>
        <w:t>Semiautomatically</w:t>
      </w:r>
      <w:proofErr w:type="spellEnd"/>
      <w:r w:rsidRPr="00A61AD9">
        <w:rPr>
          <w:rFonts w:ascii="Times New Roman" w:hAnsi="Times New Roman" w:cs="Times New Roman"/>
          <w:sz w:val="20"/>
          <w:szCs w:val="20"/>
          <w:lang w:val="en-US"/>
        </w:rPr>
        <w:t xml:space="preserve"> Quantified Tumor Volume Using 68Ga-PSMA-11 PET as a Biomarker for Survival in Patients with Advanced Prostate Cancer. J </w:t>
      </w:r>
      <w:proofErr w:type="spellStart"/>
      <w:r w:rsidRPr="00A61AD9">
        <w:rPr>
          <w:rFonts w:ascii="Times New Roman" w:hAnsi="Times New Roman" w:cs="Times New Roman"/>
          <w:sz w:val="20"/>
          <w:szCs w:val="20"/>
          <w:lang w:val="en-US"/>
        </w:rPr>
        <w:t>Nucl</w:t>
      </w:r>
      <w:proofErr w:type="spellEnd"/>
      <w:r w:rsidRPr="00A61AD9">
        <w:rPr>
          <w:rFonts w:ascii="Times New Roman" w:hAnsi="Times New Roman" w:cs="Times New Roman"/>
          <w:sz w:val="20"/>
          <w:szCs w:val="20"/>
          <w:lang w:val="en-US"/>
        </w:rPr>
        <w:t xml:space="preserve"> Med. 2020; https://doi.org/10.2967/jnumed.120.242057</w:t>
      </w:r>
    </w:p>
    <w:p w:rsidR="00221CA8" w:rsidRPr="00A61AD9" w:rsidRDefault="003B662B" w:rsidP="00221CA8">
      <w:pPr>
        <w:pStyle w:val="Akapitzlist"/>
        <w:numPr>
          <w:ilvl w:val="0"/>
          <w:numId w:val="1"/>
        </w:numPr>
        <w:spacing w:line="360" w:lineRule="auto"/>
        <w:ind w:left="426" w:hanging="426"/>
        <w:jc w:val="both"/>
        <w:rPr>
          <w:rFonts w:ascii="Times New Roman" w:hAnsi="Times New Roman" w:cs="Times New Roman"/>
          <w:sz w:val="20"/>
          <w:szCs w:val="20"/>
          <w:lang w:val="en-US"/>
        </w:rPr>
      </w:pPr>
      <w:hyperlink r:id="rId5" w:history="1">
        <w:r w:rsidR="00221CA8" w:rsidRPr="00A61AD9">
          <w:rPr>
            <w:rFonts w:ascii="Times New Roman" w:hAnsi="Times New Roman" w:cs="Times New Roman"/>
            <w:sz w:val="20"/>
            <w:szCs w:val="20"/>
            <w:lang w:val="en-US"/>
          </w:rPr>
          <w:t>Gafita</w:t>
        </w:r>
      </w:hyperlink>
      <w:r w:rsidR="00221CA8" w:rsidRPr="00A61AD9">
        <w:rPr>
          <w:rFonts w:ascii="Times New Roman" w:hAnsi="Times New Roman" w:cs="Times New Roman"/>
          <w:sz w:val="20"/>
          <w:szCs w:val="20"/>
          <w:lang w:val="en-US"/>
        </w:rPr>
        <w:t xml:space="preserve"> A, </w:t>
      </w:r>
      <w:hyperlink r:id="rId6" w:history="1">
        <w:r w:rsidR="00221CA8" w:rsidRPr="00A61AD9">
          <w:rPr>
            <w:rFonts w:ascii="Times New Roman" w:hAnsi="Times New Roman" w:cs="Times New Roman"/>
            <w:sz w:val="20"/>
            <w:szCs w:val="20"/>
            <w:lang w:val="en-US"/>
          </w:rPr>
          <w:t>Bieth</w:t>
        </w:r>
      </w:hyperlink>
      <w:r w:rsidR="00221CA8" w:rsidRPr="00A61AD9">
        <w:rPr>
          <w:rFonts w:ascii="Times New Roman" w:hAnsi="Times New Roman" w:cs="Times New Roman"/>
          <w:sz w:val="20"/>
          <w:szCs w:val="20"/>
          <w:lang w:val="en-US"/>
        </w:rPr>
        <w:t xml:space="preserve"> M. </w:t>
      </w:r>
      <w:proofErr w:type="spellStart"/>
      <w:r w:rsidR="00221CA8" w:rsidRPr="00A61AD9">
        <w:rPr>
          <w:rFonts w:ascii="Times New Roman" w:hAnsi="Times New Roman" w:cs="Times New Roman"/>
          <w:sz w:val="20"/>
          <w:szCs w:val="20"/>
          <w:lang w:val="en-US"/>
        </w:rPr>
        <w:t>qPSMA</w:t>
      </w:r>
      <w:proofErr w:type="spellEnd"/>
      <w:r w:rsidR="00221CA8" w:rsidRPr="00A61AD9">
        <w:rPr>
          <w:rFonts w:ascii="Times New Roman" w:hAnsi="Times New Roman" w:cs="Times New Roman"/>
          <w:sz w:val="20"/>
          <w:szCs w:val="20"/>
          <w:lang w:val="en-US"/>
        </w:rPr>
        <w:t xml:space="preserve">: Semiautomatic Software for Whole-Body Tumor Burden Assessment in Prostate Cancer Using 68Ga-PSMA11 PET/CT. J </w:t>
      </w:r>
      <w:proofErr w:type="spellStart"/>
      <w:r w:rsidR="00221CA8" w:rsidRPr="00A61AD9">
        <w:rPr>
          <w:rFonts w:ascii="Times New Roman" w:hAnsi="Times New Roman" w:cs="Times New Roman"/>
          <w:sz w:val="20"/>
          <w:szCs w:val="20"/>
          <w:lang w:val="en-US"/>
        </w:rPr>
        <w:t>Nucl</w:t>
      </w:r>
      <w:proofErr w:type="spellEnd"/>
      <w:r w:rsidR="00221CA8" w:rsidRPr="00A61AD9">
        <w:rPr>
          <w:rFonts w:ascii="Times New Roman" w:hAnsi="Times New Roman" w:cs="Times New Roman"/>
          <w:sz w:val="20"/>
          <w:szCs w:val="20"/>
          <w:lang w:val="en-US"/>
        </w:rPr>
        <w:t xml:space="preserve"> Med. 2019; </w:t>
      </w:r>
      <w:hyperlink r:id="rId7" w:history="1">
        <w:r w:rsidR="00221CA8" w:rsidRPr="00A61AD9">
          <w:rPr>
            <w:rFonts w:ascii="Times New Roman" w:hAnsi="Times New Roman" w:cs="Times New Roman"/>
            <w:sz w:val="20"/>
            <w:szCs w:val="20"/>
            <w:lang w:val="en-US"/>
          </w:rPr>
          <w:t>https://doi.org/10.2967/jnumed.118.224055</w:t>
        </w:r>
      </w:hyperlink>
    </w:p>
    <w:p w:rsidR="00221CA8" w:rsidRDefault="00221CA8" w:rsidP="00FC5A67">
      <w:pPr>
        <w:jc w:val="both"/>
        <w:rPr>
          <w:rFonts w:ascii="Times New Roman" w:hAnsi="Times New Roman" w:cs="Times New Roman"/>
          <w:b/>
          <w:sz w:val="20"/>
          <w:szCs w:val="20"/>
          <w:lang w:val="en-US"/>
        </w:rPr>
      </w:pPr>
    </w:p>
    <w:p w:rsidR="009B2EE8" w:rsidRDefault="009B2EE8" w:rsidP="00FC5A67">
      <w:pPr>
        <w:jc w:val="both"/>
        <w:rPr>
          <w:rFonts w:ascii="Times New Roman" w:hAnsi="Times New Roman" w:cs="Times New Roman"/>
          <w:b/>
          <w:sz w:val="20"/>
          <w:szCs w:val="20"/>
          <w:lang w:val="en-US"/>
        </w:rPr>
      </w:pPr>
    </w:p>
    <w:p w:rsidR="003B662B" w:rsidRDefault="003B662B">
      <w:pPr>
        <w:spacing w:after="200" w:line="276" w:lineRule="auto"/>
        <w:rPr>
          <w:rFonts w:ascii="Times New Roman" w:hAnsi="Times New Roman" w:cs="Times New Roman"/>
          <w:b/>
          <w:sz w:val="20"/>
          <w:szCs w:val="20"/>
          <w:lang w:val="en-US"/>
        </w:rPr>
      </w:pPr>
      <w:r>
        <w:rPr>
          <w:rFonts w:ascii="Times New Roman" w:hAnsi="Times New Roman" w:cs="Times New Roman"/>
          <w:b/>
          <w:sz w:val="20"/>
          <w:szCs w:val="20"/>
          <w:lang w:val="en-US"/>
        </w:rPr>
        <w:br w:type="page"/>
      </w:r>
    </w:p>
    <w:p w:rsidR="00FC5A67" w:rsidRPr="00A61AD9" w:rsidRDefault="00FC5A67" w:rsidP="00FC5A67">
      <w:pPr>
        <w:jc w:val="both"/>
        <w:rPr>
          <w:rFonts w:ascii="Times New Roman" w:hAnsi="Times New Roman" w:cs="Times New Roman"/>
          <w:b/>
          <w:sz w:val="20"/>
          <w:szCs w:val="20"/>
          <w:lang w:val="en-US"/>
        </w:rPr>
      </w:pPr>
      <w:r w:rsidRPr="00A61AD9">
        <w:rPr>
          <w:rFonts w:ascii="Times New Roman" w:hAnsi="Times New Roman" w:cs="Times New Roman"/>
          <w:b/>
          <w:sz w:val="20"/>
          <w:szCs w:val="20"/>
          <w:lang w:val="en-US"/>
        </w:rPr>
        <w:lastRenderedPageBreak/>
        <w:t>Figures and tables:</w:t>
      </w:r>
    </w:p>
    <w:p w:rsidR="00FC5A67" w:rsidRPr="00A61AD9" w:rsidRDefault="00FC5A67" w:rsidP="00FC5A67">
      <w:pPr>
        <w:jc w:val="both"/>
        <w:rPr>
          <w:rFonts w:ascii="Times New Roman" w:hAnsi="Times New Roman" w:cs="Times New Roman"/>
          <w:sz w:val="20"/>
          <w:szCs w:val="20"/>
          <w:lang w:val="en-US"/>
        </w:rPr>
      </w:pPr>
    </w:p>
    <w:p w:rsidR="00FC5A67" w:rsidRPr="00A61AD9" w:rsidRDefault="00FC5A67" w:rsidP="00FC5A67">
      <w:pPr>
        <w:jc w:val="both"/>
        <w:rPr>
          <w:rFonts w:ascii="Times New Roman" w:hAnsi="Times New Roman" w:cs="Times New Roman"/>
          <w:sz w:val="20"/>
          <w:szCs w:val="20"/>
          <w:lang w:val="en-US"/>
        </w:rPr>
      </w:pPr>
      <w:r w:rsidRPr="00A61AD9">
        <w:rPr>
          <w:rFonts w:ascii="Times New Roman" w:hAnsi="Times New Roman" w:cs="Times New Roman"/>
          <w:sz w:val="20"/>
          <w:szCs w:val="20"/>
          <w:lang w:val="en-US"/>
        </w:rPr>
        <w:t xml:space="preserve">Table 1S. Concordance between </w:t>
      </w:r>
      <w:r w:rsidRPr="00A61AD9">
        <w:rPr>
          <w:rFonts w:ascii="Times New Roman" w:hAnsi="Times New Roman" w:cs="Times New Roman"/>
          <w:i/>
          <w:sz w:val="20"/>
          <w:szCs w:val="20"/>
          <w:lang w:val="en-US"/>
        </w:rPr>
        <w:t>early</w:t>
      </w:r>
      <w:r w:rsidRPr="00A61AD9">
        <w:rPr>
          <w:rFonts w:ascii="Times New Roman" w:hAnsi="Times New Roman" w:cs="Times New Roman"/>
          <w:sz w:val="20"/>
          <w:szCs w:val="20"/>
          <w:lang w:val="en-US"/>
        </w:rPr>
        <w:t xml:space="preserve"> </w:t>
      </w:r>
      <w:r w:rsidRPr="00A61AD9">
        <w:rPr>
          <w:rFonts w:ascii="Times New Roman" w:hAnsi="Times New Roman" w:cs="Times New Roman"/>
          <w:b/>
          <w:sz w:val="20"/>
          <w:szCs w:val="20"/>
          <w:lang w:val="en-US"/>
        </w:rPr>
        <w:t>radiographic</w:t>
      </w:r>
      <w:r w:rsidRPr="00A61AD9">
        <w:rPr>
          <w:rFonts w:ascii="Times New Roman" w:hAnsi="Times New Roman" w:cs="Times New Roman"/>
          <w:sz w:val="20"/>
          <w:szCs w:val="20"/>
          <w:lang w:val="en-US"/>
        </w:rPr>
        <w:t xml:space="preserve"> (TLP) and </w:t>
      </w:r>
      <w:r w:rsidRPr="00A61AD9">
        <w:rPr>
          <w:rFonts w:ascii="Times New Roman" w:hAnsi="Times New Roman" w:cs="Times New Roman"/>
          <w:i/>
          <w:sz w:val="20"/>
          <w:szCs w:val="20"/>
          <w:lang w:val="en-US"/>
        </w:rPr>
        <w:t>overall</w:t>
      </w:r>
      <w:r w:rsidRPr="00A61AD9">
        <w:rPr>
          <w:rFonts w:ascii="Times New Roman" w:hAnsi="Times New Roman" w:cs="Times New Roman"/>
          <w:sz w:val="20"/>
          <w:szCs w:val="20"/>
          <w:lang w:val="en-US"/>
        </w:rPr>
        <w:t xml:space="preserve"> </w:t>
      </w:r>
      <w:r w:rsidRPr="00A61AD9">
        <w:rPr>
          <w:rFonts w:ascii="Times New Roman" w:hAnsi="Times New Roman" w:cs="Times New Roman"/>
          <w:b/>
          <w:sz w:val="20"/>
          <w:szCs w:val="20"/>
          <w:lang w:val="en-US"/>
        </w:rPr>
        <w:t>biochemical</w:t>
      </w:r>
      <w:r w:rsidRPr="00A61AD9">
        <w:rPr>
          <w:rFonts w:ascii="Times New Roman" w:hAnsi="Times New Roman" w:cs="Times New Roman"/>
          <w:sz w:val="20"/>
          <w:szCs w:val="20"/>
          <w:lang w:val="en-US"/>
        </w:rPr>
        <w:t xml:space="preserve"> (PSA) response in patients undergoing [</w:t>
      </w:r>
      <w:r w:rsidRPr="00A61AD9">
        <w:rPr>
          <w:rFonts w:ascii="Times New Roman" w:hAnsi="Times New Roman" w:cs="Times New Roman"/>
          <w:sz w:val="20"/>
          <w:szCs w:val="20"/>
          <w:vertAlign w:val="superscript"/>
          <w:lang w:val="en-US"/>
        </w:rPr>
        <w:t>177</w:t>
      </w:r>
      <w:r w:rsidRPr="00A61AD9">
        <w:rPr>
          <w:rFonts w:ascii="Times New Roman" w:hAnsi="Times New Roman" w:cs="Times New Roman"/>
          <w:sz w:val="20"/>
          <w:szCs w:val="20"/>
          <w:lang w:val="en-US"/>
        </w:rPr>
        <w:t>Lu]Lu-PSMA I&amp;T RLT (n=40). TLP – total lesion PSMA (total tumor burden). PSA – prostate-specific antigen.</w:t>
      </w:r>
    </w:p>
    <w:tbl>
      <w:tblPr>
        <w:tblStyle w:val="Tabela-Siatk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36"/>
        <w:gridCol w:w="2126"/>
        <w:gridCol w:w="1496"/>
        <w:gridCol w:w="1171"/>
        <w:gridCol w:w="1161"/>
        <w:gridCol w:w="1336"/>
      </w:tblGrid>
      <w:tr w:rsidR="00FC5A67" w:rsidRPr="00A61AD9" w:rsidTr="00453FB8">
        <w:tc>
          <w:tcPr>
            <w:tcW w:w="736" w:type="dxa"/>
            <w:tcBorders>
              <w:top w:val="nil"/>
              <w:bottom w:val="nil"/>
            </w:tcBorders>
          </w:tcPr>
          <w:p w:rsidR="00FC5A67" w:rsidRPr="00A61AD9" w:rsidRDefault="00FC5A67" w:rsidP="00453FB8">
            <w:pPr>
              <w:rPr>
                <w:rFonts w:ascii="Times New Roman" w:hAnsi="Times New Roman" w:cs="Times New Roman"/>
                <w:sz w:val="20"/>
                <w:szCs w:val="20"/>
                <w:lang w:val="en-US"/>
              </w:rPr>
            </w:pPr>
          </w:p>
        </w:tc>
        <w:tc>
          <w:tcPr>
            <w:tcW w:w="2126" w:type="dxa"/>
            <w:tcBorders>
              <w:top w:val="nil"/>
              <w:bottom w:val="nil"/>
            </w:tcBorders>
          </w:tcPr>
          <w:p w:rsidR="00FC5A67" w:rsidRPr="00A61AD9" w:rsidRDefault="00FC5A67" w:rsidP="00453FB8">
            <w:pPr>
              <w:rPr>
                <w:rFonts w:ascii="Times New Roman" w:hAnsi="Times New Roman" w:cs="Times New Roman"/>
                <w:sz w:val="20"/>
                <w:szCs w:val="20"/>
                <w:lang w:val="en-US"/>
              </w:rPr>
            </w:pPr>
          </w:p>
        </w:tc>
        <w:tc>
          <w:tcPr>
            <w:tcW w:w="1496" w:type="dxa"/>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Overall PSA</w:t>
            </w:r>
          </w:p>
        </w:tc>
        <w:tc>
          <w:tcPr>
            <w:tcW w:w="1171" w:type="dxa"/>
          </w:tcPr>
          <w:p w:rsidR="00FC5A67" w:rsidRPr="00A61AD9" w:rsidRDefault="00FC5A67" w:rsidP="00453FB8">
            <w:pPr>
              <w:rPr>
                <w:rFonts w:ascii="Times New Roman" w:hAnsi="Times New Roman" w:cs="Times New Roman"/>
                <w:sz w:val="20"/>
                <w:szCs w:val="20"/>
                <w:lang w:val="en-US"/>
              </w:rPr>
            </w:pPr>
          </w:p>
        </w:tc>
        <w:tc>
          <w:tcPr>
            <w:tcW w:w="1161" w:type="dxa"/>
          </w:tcPr>
          <w:p w:rsidR="00FC5A67" w:rsidRPr="00A61AD9" w:rsidRDefault="00FC5A67" w:rsidP="00453FB8">
            <w:pPr>
              <w:rPr>
                <w:rFonts w:ascii="Times New Roman" w:hAnsi="Times New Roman" w:cs="Times New Roman"/>
                <w:sz w:val="20"/>
                <w:szCs w:val="20"/>
                <w:lang w:val="en-US"/>
              </w:rPr>
            </w:pPr>
          </w:p>
        </w:tc>
        <w:tc>
          <w:tcPr>
            <w:tcW w:w="1336" w:type="dxa"/>
          </w:tcPr>
          <w:p w:rsidR="00FC5A67" w:rsidRPr="00A61AD9" w:rsidRDefault="00FC5A67" w:rsidP="00453FB8">
            <w:pPr>
              <w:rPr>
                <w:rFonts w:ascii="Times New Roman" w:hAnsi="Times New Roman" w:cs="Times New Roman"/>
                <w:sz w:val="20"/>
                <w:szCs w:val="20"/>
                <w:lang w:val="en-US"/>
              </w:rPr>
            </w:pPr>
          </w:p>
        </w:tc>
      </w:tr>
      <w:tr w:rsidR="00FC5A67" w:rsidRPr="00A61AD9" w:rsidTr="00453FB8">
        <w:tc>
          <w:tcPr>
            <w:tcW w:w="736" w:type="dxa"/>
            <w:tcBorders>
              <w:top w:val="nil"/>
            </w:tcBorders>
          </w:tcPr>
          <w:p w:rsidR="00FC5A67" w:rsidRPr="00A61AD9" w:rsidRDefault="00FC5A67" w:rsidP="00453FB8">
            <w:pPr>
              <w:rPr>
                <w:rFonts w:ascii="Times New Roman" w:hAnsi="Times New Roman" w:cs="Times New Roman"/>
                <w:sz w:val="20"/>
                <w:szCs w:val="20"/>
                <w:lang w:val="en-US"/>
              </w:rPr>
            </w:pPr>
          </w:p>
        </w:tc>
        <w:tc>
          <w:tcPr>
            <w:tcW w:w="2126" w:type="dxa"/>
            <w:tcBorders>
              <w:top w:val="nil"/>
            </w:tcBorders>
          </w:tcPr>
          <w:p w:rsidR="00FC5A67" w:rsidRPr="00A61AD9" w:rsidRDefault="00FC5A67" w:rsidP="00453FB8">
            <w:pPr>
              <w:rPr>
                <w:rFonts w:ascii="Times New Roman" w:hAnsi="Times New Roman" w:cs="Times New Roman"/>
                <w:sz w:val="20"/>
                <w:szCs w:val="20"/>
                <w:lang w:val="en-US"/>
              </w:rPr>
            </w:pPr>
          </w:p>
        </w:tc>
        <w:tc>
          <w:tcPr>
            <w:tcW w:w="1496" w:type="dxa"/>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Complete response</w:t>
            </w:r>
          </w:p>
        </w:tc>
        <w:tc>
          <w:tcPr>
            <w:tcW w:w="1171" w:type="dxa"/>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Partial response</w:t>
            </w:r>
          </w:p>
        </w:tc>
        <w:tc>
          <w:tcPr>
            <w:tcW w:w="1161" w:type="dxa"/>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Stable disease</w:t>
            </w:r>
          </w:p>
        </w:tc>
        <w:tc>
          <w:tcPr>
            <w:tcW w:w="1336" w:type="dxa"/>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Progressive disease</w:t>
            </w:r>
          </w:p>
        </w:tc>
      </w:tr>
      <w:tr w:rsidR="00FC5A67" w:rsidRPr="00A61AD9" w:rsidTr="00453FB8">
        <w:tc>
          <w:tcPr>
            <w:tcW w:w="736" w:type="dxa"/>
            <w:tcBorders>
              <w:bottom w:val="nil"/>
            </w:tcBorders>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Early</w:t>
            </w:r>
          </w:p>
        </w:tc>
        <w:tc>
          <w:tcPr>
            <w:tcW w:w="2126" w:type="dxa"/>
            <w:tcBorders>
              <w:bottom w:val="nil"/>
            </w:tcBorders>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Complete response</w:t>
            </w:r>
          </w:p>
        </w:tc>
        <w:tc>
          <w:tcPr>
            <w:tcW w:w="1496" w:type="dxa"/>
            <w:tcBorders>
              <w:bottom w:val="nil"/>
            </w:tcBorders>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0</w:t>
            </w:r>
          </w:p>
        </w:tc>
        <w:tc>
          <w:tcPr>
            <w:tcW w:w="1171" w:type="dxa"/>
            <w:tcBorders>
              <w:bottom w:val="nil"/>
            </w:tcBorders>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0</w:t>
            </w:r>
          </w:p>
        </w:tc>
        <w:tc>
          <w:tcPr>
            <w:tcW w:w="1161" w:type="dxa"/>
            <w:tcBorders>
              <w:bottom w:val="nil"/>
            </w:tcBorders>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0</w:t>
            </w:r>
          </w:p>
        </w:tc>
        <w:tc>
          <w:tcPr>
            <w:tcW w:w="1336" w:type="dxa"/>
            <w:tcBorders>
              <w:bottom w:val="nil"/>
            </w:tcBorders>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0</w:t>
            </w:r>
          </w:p>
        </w:tc>
      </w:tr>
      <w:tr w:rsidR="00FC5A67" w:rsidRPr="00A61AD9" w:rsidTr="00453FB8">
        <w:tc>
          <w:tcPr>
            <w:tcW w:w="736" w:type="dxa"/>
            <w:tcBorders>
              <w:top w:val="nil"/>
              <w:bottom w:val="nil"/>
            </w:tcBorders>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TLP</w:t>
            </w:r>
          </w:p>
        </w:tc>
        <w:tc>
          <w:tcPr>
            <w:tcW w:w="2126" w:type="dxa"/>
            <w:tcBorders>
              <w:top w:val="nil"/>
              <w:bottom w:val="nil"/>
            </w:tcBorders>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Partial response</w:t>
            </w:r>
          </w:p>
        </w:tc>
        <w:tc>
          <w:tcPr>
            <w:tcW w:w="1496" w:type="dxa"/>
            <w:tcBorders>
              <w:top w:val="nil"/>
              <w:bottom w:val="nil"/>
            </w:tcBorders>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0</w:t>
            </w:r>
          </w:p>
        </w:tc>
        <w:tc>
          <w:tcPr>
            <w:tcW w:w="1171" w:type="dxa"/>
            <w:tcBorders>
              <w:top w:val="nil"/>
              <w:bottom w:val="nil"/>
            </w:tcBorders>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10</w:t>
            </w:r>
          </w:p>
        </w:tc>
        <w:tc>
          <w:tcPr>
            <w:tcW w:w="1161" w:type="dxa"/>
            <w:tcBorders>
              <w:top w:val="nil"/>
              <w:bottom w:val="nil"/>
            </w:tcBorders>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1</w:t>
            </w:r>
          </w:p>
        </w:tc>
        <w:tc>
          <w:tcPr>
            <w:tcW w:w="1336" w:type="dxa"/>
            <w:tcBorders>
              <w:top w:val="nil"/>
              <w:bottom w:val="nil"/>
            </w:tcBorders>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1</w:t>
            </w:r>
          </w:p>
        </w:tc>
      </w:tr>
      <w:tr w:rsidR="00FC5A67" w:rsidRPr="00A61AD9" w:rsidTr="00453FB8">
        <w:tc>
          <w:tcPr>
            <w:tcW w:w="736" w:type="dxa"/>
            <w:tcBorders>
              <w:top w:val="nil"/>
              <w:bottom w:val="nil"/>
            </w:tcBorders>
          </w:tcPr>
          <w:p w:rsidR="00FC5A67" w:rsidRPr="00A61AD9" w:rsidRDefault="00FC5A67" w:rsidP="00453FB8">
            <w:pPr>
              <w:rPr>
                <w:rFonts w:ascii="Times New Roman" w:hAnsi="Times New Roman" w:cs="Times New Roman"/>
                <w:sz w:val="20"/>
                <w:szCs w:val="20"/>
                <w:lang w:val="en-US"/>
              </w:rPr>
            </w:pPr>
          </w:p>
        </w:tc>
        <w:tc>
          <w:tcPr>
            <w:tcW w:w="2126" w:type="dxa"/>
            <w:tcBorders>
              <w:top w:val="nil"/>
              <w:bottom w:val="nil"/>
            </w:tcBorders>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Stable disease</w:t>
            </w:r>
          </w:p>
        </w:tc>
        <w:tc>
          <w:tcPr>
            <w:tcW w:w="1496" w:type="dxa"/>
            <w:tcBorders>
              <w:top w:val="nil"/>
              <w:bottom w:val="nil"/>
            </w:tcBorders>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0</w:t>
            </w:r>
          </w:p>
        </w:tc>
        <w:tc>
          <w:tcPr>
            <w:tcW w:w="1171" w:type="dxa"/>
            <w:tcBorders>
              <w:top w:val="nil"/>
              <w:bottom w:val="nil"/>
            </w:tcBorders>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9</w:t>
            </w:r>
          </w:p>
        </w:tc>
        <w:tc>
          <w:tcPr>
            <w:tcW w:w="1161" w:type="dxa"/>
            <w:tcBorders>
              <w:top w:val="nil"/>
              <w:bottom w:val="nil"/>
            </w:tcBorders>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7</w:t>
            </w:r>
          </w:p>
        </w:tc>
        <w:tc>
          <w:tcPr>
            <w:tcW w:w="1336" w:type="dxa"/>
            <w:tcBorders>
              <w:top w:val="nil"/>
              <w:bottom w:val="nil"/>
            </w:tcBorders>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3</w:t>
            </w:r>
          </w:p>
        </w:tc>
      </w:tr>
      <w:tr w:rsidR="00FC5A67" w:rsidRPr="00A61AD9" w:rsidTr="00453FB8">
        <w:tc>
          <w:tcPr>
            <w:tcW w:w="736" w:type="dxa"/>
            <w:tcBorders>
              <w:top w:val="nil"/>
              <w:bottom w:val="nil"/>
            </w:tcBorders>
          </w:tcPr>
          <w:p w:rsidR="00FC5A67" w:rsidRPr="00A61AD9" w:rsidRDefault="00FC5A67" w:rsidP="00453FB8">
            <w:pPr>
              <w:rPr>
                <w:rFonts w:ascii="Times New Roman" w:hAnsi="Times New Roman" w:cs="Times New Roman"/>
                <w:sz w:val="20"/>
                <w:szCs w:val="20"/>
                <w:lang w:val="en-US"/>
              </w:rPr>
            </w:pPr>
          </w:p>
        </w:tc>
        <w:tc>
          <w:tcPr>
            <w:tcW w:w="2126" w:type="dxa"/>
            <w:tcBorders>
              <w:top w:val="nil"/>
              <w:bottom w:val="nil"/>
            </w:tcBorders>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Progressive disease</w:t>
            </w:r>
          </w:p>
        </w:tc>
        <w:tc>
          <w:tcPr>
            <w:tcW w:w="1496" w:type="dxa"/>
            <w:tcBorders>
              <w:top w:val="nil"/>
              <w:bottom w:val="nil"/>
            </w:tcBorders>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0</w:t>
            </w:r>
          </w:p>
        </w:tc>
        <w:tc>
          <w:tcPr>
            <w:tcW w:w="1171" w:type="dxa"/>
            <w:tcBorders>
              <w:top w:val="nil"/>
              <w:bottom w:val="nil"/>
            </w:tcBorders>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0</w:t>
            </w:r>
          </w:p>
        </w:tc>
        <w:tc>
          <w:tcPr>
            <w:tcW w:w="1161" w:type="dxa"/>
            <w:tcBorders>
              <w:top w:val="nil"/>
              <w:bottom w:val="nil"/>
            </w:tcBorders>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3</w:t>
            </w:r>
          </w:p>
        </w:tc>
        <w:tc>
          <w:tcPr>
            <w:tcW w:w="1336" w:type="dxa"/>
            <w:tcBorders>
              <w:top w:val="nil"/>
              <w:bottom w:val="nil"/>
            </w:tcBorders>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6</w:t>
            </w:r>
          </w:p>
        </w:tc>
      </w:tr>
      <w:tr w:rsidR="00FC5A67" w:rsidRPr="00A61AD9" w:rsidTr="00453FB8">
        <w:tc>
          <w:tcPr>
            <w:tcW w:w="736" w:type="dxa"/>
            <w:tcBorders>
              <w:top w:val="nil"/>
              <w:bottom w:val="single" w:sz="4" w:space="0" w:color="auto"/>
            </w:tcBorders>
          </w:tcPr>
          <w:p w:rsidR="00FC5A67" w:rsidRPr="00A61AD9" w:rsidRDefault="00FC5A67" w:rsidP="00453FB8">
            <w:pPr>
              <w:rPr>
                <w:rFonts w:ascii="Times New Roman" w:hAnsi="Times New Roman" w:cs="Times New Roman"/>
                <w:sz w:val="20"/>
                <w:szCs w:val="20"/>
                <w:lang w:val="en-US"/>
              </w:rPr>
            </w:pPr>
          </w:p>
        </w:tc>
        <w:tc>
          <w:tcPr>
            <w:tcW w:w="2126" w:type="dxa"/>
            <w:tcBorders>
              <w:top w:val="nil"/>
              <w:bottom w:val="single" w:sz="4" w:space="0" w:color="auto"/>
            </w:tcBorders>
          </w:tcPr>
          <w:p w:rsidR="00FC5A67" w:rsidRPr="00A61AD9" w:rsidRDefault="00FC5A67" w:rsidP="00453FB8">
            <w:pPr>
              <w:rPr>
                <w:rFonts w:ascii="Times New Roman" w:hAnsi="Times New Roman" w:cs="Times New Roman"/>
                <w:sz w:val="20"/>
                <w:szCs w:val="20"/>
                <w:lang w:val="en-US"/>
              </w:rPr>
            </w:pPr>
          </w:p>
        </w:tc>
        <w:tc>
          <w:tcPr>
            <w:tcW w:w="5164" w:type="dxa"/>
            <w:gridSpan w:val="4"/>
            <w:tcBorders>
              <w:top w:val="nil"/>
              <w:bottom w:val="single" w:sz="4" w:space="0" w:color="auto"/>
            </w:tcBorders>
          </w:tcPr>
          <w:p w:rsidR="00FC5A67" w:rsidRPr="00A61AD9" w:rsidRDefault="00FC5A67" w:rsidP="00453FB8">
            <w:pPr>
              <w:rPr>
                <w:rFonts w:ascii="Times New Roman" w:hAnsi="Times New Roman" w:cs="Times New Roman"/>
                <w:sz w:val="20"/>
                <w:szCs w:val="20"/>
                <w:lang w:val="en-US"/>
              </w:rPr>
            </w:pPr>
            <w:r w:rsidRPr="00A61AD9">
              <w:rPr>
                <w:rFonts w:ascii="Times New Roman" w:hAnsi="Times New Roman" w:cs="Times New Roman"/>
                <w:sz w:val="20"/>
                <w:szCs w:val="20"/>
                <w:lang w:val="en-US"/>
              </w:rPr>
              <w:t>κ = 0.3663</w:t>
            </w:r>
          </w:p>
        </w:tc>
      </w:tr>
    </w:tbl>
    <w:p w:rsidR="00FC5A67" w:rsidRPr="00A61AD9" w:rsidRDefault="00FC5A67" w:rsidP="00FC5A67">
      <w:pPr>
        <w:rPr>
          <w:rFonts w:ascii="Times New Roman" w:hAnsi="Times New Roman" w:cs="Times New Roman"/>
          <w:sz w:val="20"/>
          <w:szCs w:val="20"/>
          <w:lang w:val="en-US"/>
        </w:rPr>
      </w:pPr>
    </w:p>
    <w:p w:rsidR="00FC5A67" w:rsidRPr="00A61AD9" w:rsidRDefault="00FC5A67" w:rsidP="00FC5A67">
      <w:pPr>
        <w:jc w:val="both"/>
        <w:rPr>
          <w:rFonts w:ascii="Times New Roman" w:hAnsi="Times New Roman" w:cs="Times New Roman"/>
          <w:sz w:val="20"/>
          <w:szCs w:val="20"/>
          <w:lang w:val="en-US"/>
        </w:rPr>
      </w:pPr>
    </w:p>
    <w:p w:rsidR="00FC5A67" w:rsidRPr="00A61AD9" w:rsidRDefault="00FC5A67" w:rsidP="00FC5A67">
      <w:pPr>
        <w:rPr>
          <w:rFonts w:ascii="Times New Roman" w:hAnsi="Times New Roman" w:cs="Times New Roman"/>
          <w:sz w:val="20"/>
          <w:szCs w:val="20"/>
          <w:lang w:val="en-US"/>
        </w:rPr>
      </w:pPr>
    </w:p>
    <w:p w:rsidR="00FC5A67" w:rsidRPr="00A61AD9" w:rsidRDefault="00FC5A67" w:rsidP="00FC5A67">
      <w:pPr>
        <w:jc w:val="both"/>
        <w:rPr>
          <w:rFonts w:ascii="Times New Roman" w:hAnsi="Times New Roman" w:cs="Times New Roman"/>
          <w:sz w:val="20"/>
          <w:szCs w:val="20"/>
          <w:lang w:val="en-US"/>
        </w:rPr>
      </w:pPr>
    </w:p>
    <w:p w:rsidR="00FC5A67" w:rsidRPr="00A61AD9" w:rsidRDefault="00FC5A67" w:rsidP="00FC5A67">
      <w:pPr>
        <w:jc w:val="both"/>
        <w:rPr>
          <w:rFonts w:ascii="Times New Roman" w:hAnsi="Times New Roman" w:cs="Times New Roman"/>
          <w:sz w:val="20"/>
          <w:szCs w:val="20"/>
          <w:lang w:val="en-US"/>
        </w:rPr>
      </w:pPr>
      <w:r w:rsidRPr="00A61AD9">
        <w:rPr>
          <w:rFonts w:ascii="Times New Roman" w:hAnsi="Times New Roman" w:cs="Times New Roman"/>
          <w:noProof/>
          <w:sz w:val="20"/>
          <w:szCs w:val="20"/>
          <w:lang w:val="pl-PL" w:eastAsia="pl-PL"/>
        </w:rPr>
        <w:drawing>
          <wp:inline distT="0" distB="0" distL="0" distR="0" wp14:anchorId="49B7981E" wp14:editId="235398D5">
            <wp:extent cx="5760720" cy="2400564"/>
            <wp:effectExtent l="0" t="0" r="0" b="0"/>
            <wp:docPr id="16" name="Obraz 16" descr="C:\Users\Wojtas\Desktop\Würzburg\PSMA\PSMA RLT\EJNMMI\Revised figures\Fig. 1S new.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ojtas\Desktop\Würzburg\PSMA\PSMA RLT\EJNMMI\Revised figures\Fig. 1S new.tif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2400564"/>
                    </a:xfrm>
                    <a:prstGeom prst="rect">
                      <a:avLst/>
                    </a:prstGeom>
                    <a:noFill/>
                    <a:ln>
                      <a:noFill/>
                    </a:ln>
                  </pic:spPr>
                </pic:pic>
              </a:graphicData>
            </a:graphic>
          </wp:inline>
        </w:drawing>
      </w:r>
    </w:p>
    <w:p w:rsidR="00FC5A67" w:rsidRPr="00A61AD9" w:rsidRDefault="00FC5A67" w:rsidP="00FC5A67">
      <w:pPr>
        <w:jc w:val="both"/>
        <w:rPr>
          <w:rFonts w:ascii="Times New Roman" w:hAnsi="Times New Roman" w:cs="Times New Roman"/>
          <w:sz w:val="20"/>
          <w:szCs w:val="20"/>
          <w:lang w:val="en-US"/>
        </w:rPr>
      </w:pPr>
      <w:r w:rsidRPr="00A61AD9">
        <w:rPr>
          <w:rFonts w:ascii="Times New Roman" w:hAnsi="Times New Roman" w:cs="Times New Roman"/>
          <w:sz w:val="20"/>
          <w:szCs w:val="20"/>
          <w:lang w:val="en-US"/>
        </w:rPr>
        <w:t xml:space="preserve">Fig. 1S. Kaplan-Meier analysis of survival stratified by the </w:t>
      </w:r>
      <w:r w:rsidRPr="00A61AD9">
        <w:rPr>
          <w:rFonts w:ascii="Times New Roman" w:hAnsi="Times New Roman" w:cs="Times New Roman"/>
          <w:b/>
          <w:sz w:val="20"/>
          <w:szCs w:val="20"/>
          <w:lang w:val="en-US"/>
        </w:rPr>
        <w:t>early</w:t>
      </w:r>
      <w:r w:rsidRPr="00A61AD9">
        <w:rPr>
          <w:rFonts w:ascii="Times New Roman" w:hAnsi="Times New Roman" w:cs="Times New Roman"/>
          <w:sz w:val="20"/>
          <w:szCs w:val="20"/>
          <w:lang w:val="en-US"/>
        </w:rPr>
        <w:t xml:space="preserve"> biochemical (A) and radiographic (B) response (PR/SD vs. PD) based on the relative change of PSA and TLP, respectively, in 40 patients with </w:t>
      </w:r>
      <w:proofErr w:type="spellStart"/>
      <w:r w:rsidRPr="00A61AD9">
        <w:rPr>
          <w:rFonts w:ascii="Times New Roman" w:hAnsi="Times New Roman" w:cs="Times New Roman"/>
          <w:sz w:val="20"/>
          <w:szCs w:val="20"/>
          <w:lang w:val="en-US"/>
        </w:rPr>
        <w:t>mCRPC</w:t>
      </w:r>
      <w:proofErr w:type="spellEnd"/>
      <w:r w:rsidRPr="00A61AD9">
        <w:rPr>
          <w:rFonts w:ascii="Times New Roman" w:hAnsi="Times New Roman" w:cs="Times New Roman"/>
          <w:sz w:val="20"/>
          <w:szCs w:val="20"/>
          <w:lang w:val="en-US"/>
        </w:rPr>
        <w:t xml:space="preserve"> after one cycle of [</w:t>
      </w:r>
      <w:r w:rsidRPr="00A61AD9">
        <w:rPr>
          <w:rFonts w:ascii="Times New Roman" w:hAnsi="Times New Roman" w:cs="Times New Roman"/>
          <w:sz w:val="20"/>
          <w:szCs w:val="20"/>
          <w:vertAlign w:val="superscript"/>
          <w:lang w:val="en-US"/>
        </w:rPr>
        <w:t>177</w:t>
      </w:r>
      <w:r w:rsidRPr="00A61AD9">
        <w:rPr>
          <w:rFonts w:ascii="Times New Roman" w:hAnsi="Times New Roman" w:cs="Times New Roman"/>
          <w:sz w:val="20"/>
          <w:szCs w:val="20"/>
          <w:lang w:val="en-US"/>
        </w:rPr>
        <w:t xml:space="preserve">Lu]Lu-PSMA I&amp;T. </w:t>
      </w:r>
      <w:proofErr w:type="spellStart"/>
      <w:r w:rsidRPr="00A61AD9">
        <w:rPr>
          <w:rFonts w:ascii="Times New Roman" w:hAnsi="Times New Roman" w:cs="Times New Roman"/>
          <w:sz w:val="20"/>
          <w:szCs w:val="20"/>
          <w:lang w:val="en-US"/>
        </w:rPr>
        <w:t>mCRPC</w:t>
      </w:r>
      <w:proofErr w:type="spellEnd"/>
      <w:r w:rsidRPr="00A61AD9">
        <w:rPr>
          <w:rFonts w:ascii="Times New Roman" w:hAnsi="Times New Roman" w:cs="Times New Roman"/>
          <w:sz w:val="20"/>
          <w:szCs w:val="20"/>
          <w:lang w:val="en-US"/>
        </w:rPr>
        <w:t xml:space="preserve"> – metastatic castration resistant prostate cancer. </w:t>
      </w:r>
    </w:p>
    <w:p w:rsidR="00FC5A67" w:rsidRPr="00A61AD9" w:rsidRDefault="00FC5A67" w:rsidP="00FC5A67">
      <w:pPr>
        <w:jc w:val="both"/>
        <w:rPr>
          <w:rFonts w:ascii="Times New Roman" w:hAnsi="Times New Roman" w:cs="Times New Roman"/>
          <w:sz w:val="20"/>
          <w:szCs w:val="20"/>
          <w:lang w:val="en-US"/>
        </w:rPr>
      </w:pPr>
    </w:p>
    <w:p w:rsidR="00FC5A67" w:rsidRPr="00A61AD9" w:rsidRDefault="00FC5A67" w:rsidP="00FC5A67">
      <w:pPr>
        <w:jc w:val="both"/>
        <w:rPr>
          <w:rFonts w:ascii="Times New Roman" w:hAnsi="Times New Roman" w:cs="Times New Roman"/>
          <w:sz w:val="20"/>
          <w:szCs w:val="20"/>
          <w:lang w:val="en-US"/>
        </w:rPr>
      </w:pPr>
    </w:p>
    <w:p w:rsidR="00FC5A67" w:rsidRPr="00A61AD9" w:rsidRDefault="00FC5A67" w:rsidP="00FC5A67">
      <w:pPr>
        <w:jc w:val="both"/>
        <w:rPr>
          <w:rFonts w:ascii="Times New Roman" w:hAnsi="Times New Roman" w:cs="Times New Roman"/>
          <w:sz w:val="20"/>
          <w:szCs w:val="20"/>
          <w:lang w:val="en-US"/>
        </w:rPr>
      </w:pPr>
      <w:r w:rsidRPr="00A61AD9">
        <w:rPr>
          <w:rFonts w:ascii="Times New Roman" w:hAnsi="Times New Roman" w:cs="Times New Roman"/>
          <w:noProof/>
          <w:sz w:val="20"/>
          <w:szCs w:val="20"/>
          <w:lang w:val="pl-PL" w:eastAsia="pl-PL"/>
        </w:rPr>
        <w:lastRenderedPageBreak/>
        <w:drawing>
          <wp:inline distT="0" distB="0" distL="0" distR="0" wp14:anchorId="591AE65D" wp14:editId="78046675">
            <wp:extent cx="3275938" cy="2360445"/>
            <wp:effectExtent l="0" t="0" r="1270" b="1905"/>
            <wp:docPr id="2" name="Obraz 2" descr="C:\Users\Wojtas\Desktop\Würzburg\PSMA\PSMA RLT\EJNMMI\Revised figures\Final\Fig. 2S new 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jtas\Desktop\Würzburg\PSMA\PSMA RLT\EJNMMI\Revised figures\Final\Fig. 2S new 2.tif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76898" cy="2361136"/>
                    </a:xfrm>
                    <a:prstGeom prst="rect">
                      <a:avLst/>
                    </a:prstGeom>
                    <a:noFill/>
                    <a:ln>
                      <a:noFill/>
                    </a:ln>
                  </pic:spPr>
                </pic:pic>
              </a:graphicData>
            </a:graphic>
          </wp:inline>
        </w:drawing>
      </w:r>
    </w:p>
    <w:p w:rsidR="00FC5A67" w:rsidRPr="00A61AD9" w:rsidRDefault="00FC5A67" w:rsidP="00FC5A67">
      <w:pPr>
        <w:jc w:val="both"/>
        <w:rPr>
          <w:rFonts w:ascii="Times New Roman" w:hAnsi="Times New Roman" w:cs="Times New Roman"/>
          <w:sz w:val="20"/>
          <w:szCs w:val="20"/>
          <w:lang w:val="en-US"/>
        </w:rPr>
      </w:pPr>
      <w:r w:rsidRPr="00A61AD9">
        <w:rPr>
          <w:rFonts w:ascii="Times New Roman" w:hAnsi="Times New Roman" w:cs="Times New Roman"/>
          <w:sz w:val="20"/>
          <w:szCs w:val="20"/>
          <w:lang w:val="en-US"/>
        </w:rPr>
        <w:t xml:space="preserve">Fig. 2S. Kaplan-Meier analysis of survival stratified by the radiographic response (CR/PR vs. SD/PD) after 2 cycles of RLT based on the relative change of PSA in 40 patients with </w:t>
      </w:r>
      <w:proofErr w:type="spellStart"/>
      <w:r w:rsidRPr="00A61AD9">
        <w:rPr>
          <w:rFonts w:ascii="Times New Roman" w:hAnsi="Times New Roman" w:cs="Times New Roman"/>
          <w:sz w:val="20"/>
          <w:szCs w:val="20"/>
          <w:lang w:val="en-US"/>
        </w:rPr>
        <w:t>mCRPC</w:t>
      </w:r>
      <w:proofErr w:type="spellEnd"/>
      <w:r w:rsidRPr="00A61AD9">
        <w:rPr>
          <w:rFonts w:ascii="Times New Roman" w:hAnsi="Times New Roman" w:cs="Times New Roman"/>
          <w:sz w:val="20"/>
          <w:szCs w:val="20"/>
          <w:lang w:val="en-US"/>
        </w:rPr>
        <w:t xml:space="preserve"> after one cycle of [</w:t>
      </w:r>
      <w:r w:rsidRPr="00A61AD9">
        <w:rPr>
          <w:rFonts w:ascii="Times New Roman" w:hAnsi="Times New Roman" w:cs="Times New Roman"/>
          <w:sz w:val="20"/>
          <w:szCs w:val="20"/>
          <w:vertAlign w:val="superscript"/>
          <w:lang w:val="en-US"/>
        </w:rPr>
        <w:t>177</w:t>
      </w:r>
      <w:r w:rsidRPr="00A61AD9">
        <w:rPr>
          <w:rFonts w:ascii="Times New Roman" w:hAnsi="Times New Roman" w:cs="Times New Roman"/>
          <w:sz w:val="20"/>
          <w:szCs w:val="20"/>
          <w:lang w:val="en-US"/>
        </w:rPr>
        <w:t xml:space="preserve">Lu]Lu-PSMA I&amp;T. </w:t>
      </w:r>
      <w:proofErr w:type="spellStart"/>
      <w:r w:rsidRPr="00A61AD9">
        <w:rPr>
          <w:rFonts w:ascii="Times New Roman" w:hAnsi="Times New Roman" w:cs="Times New Roman"/>
          <w:sz w:val="20"/>
          <w:szCs w:val="20"/>
          <w:lang w:val="en-US"/>
        </w:rPr>
        <w:t>mCRPC</w:t>
      </w:r>
      <w:proofErr w:type="spellEnd"/>
      <w:r w:rsidRPr="00A61AD9">
        <w:rPr>
          <w:rFonts w:ascii="Times New Roman" w:hAnsi="Times New Roman" w:cs="Times New Roman"/>
          <w:sz w:val="20"/>
          <w:szCs w:val="20"/>
          <w:lang w:val="en-US"/>
        </w:rPr>
        <w:t xml:space="preserve"> – metastatic castration resistant prostate cancer. </w:t>
      </w:r>
    </w:p>
    <w:p w:rsidR="00FC5A67" w:rsidRPr="00A61AD9" w:rsidRDefault="00FC5A67" w:rsidP="00FC5A67">
      <w:pPr>
        <w:jc w:val="both"/>
        <w:rPr>
          <w:rFonts w:ascii="Times New Roman" w:hAnsi="Times New Roman" w:cs="Times New Roman"/>
          <w:sz w:val="20"/>
          <w:szCs w:val="20"/>
          <w:lang w:val="en-US"/>
        </w:rPr>
      </w:pPr>
    </w:p>
    <w:p w:rsidR="00FC5A67" w:rsidRPr="00A61AD9" w:rsidRDefault="00FC5A67" w:rsidP="00FC5A67">
      <w:pPr>
        <w:jc w:val="both"/>
        <w:rPr>
          <w:rFonts w:ascii="Times New Roman" w:hAnsi="Times New Roman" w:cs="Times New Roman"/>
          <w:b/>
          <w:sz w:val="20"/>
          <w:szCs w:val="20"/>
          <w:lang w:val="en-US"/>
        </w:rPr>
      </w:pPr>
      <w:r w:rsidRPr="00A61AD9">
        <w:rPr>
          <w:rFonts w:ascii="Times New Roman" w:hAnsi="Times New Roman" w:cs="Times New Roman"/>
          <w:b/>
          <w:sz w:val="20"/>
          <w:szCs w:val="20"/>
          <w:lang w:val="en-US"/>
        </w:rPr>
        <w:br w:type="page"/>
      </w:r>
    </w:p>
    <w:p w:rsidR="00FC5A67" w:rsidRPr="00A61AD9" w:rsidRDefault="00FC5A67" w:rsidP="00FC5A67">
      <w:pPr>
        <w:jc w:val="both"/>
        <w:rPr>
          <w:rFonts w:ascii="Times New Roman" w:hAnsi="Times New Roman" w:cs="Times New Roman"/>
          <w:b/>
          <w:sz w:val="20"/>
          <w:szCs w:val="20"/>
          <w:lang w:val="en-US"/>
        </w:rPr>
      </w:pPr>
      <w:r w:rsidRPr="00A61AD9">
        <w:rPr>
          <w:rFonts w:ascii="Times New Roman" w:hAnsi="Times New Roman" w:cs="Times New Roman"/>
          <w:b/>
          <w:noProof/>
          <w:sz w:val="20"/>
          <w:szCs w:val="20"/>
          <w:lang w:val="pl-PL" w:eastAsia="pl-PL"/>
        </w:rPr>
        <w:lastRenderedPageBreak/>
        <w:drawing>
          <wp:inline distT="0" distB="0" distL="0" distR="0" wp14:anchorId="5BDB8D30" wp14:editId="10C45FDA">
            <wp:extent cx="4222750" cy="3973687"/>
            <wp:effectExtent l="0" t="0" r="6350" b="8255"/>
            <wp:docPr id="5" name="Obraz 5" descr="C:\Users\Wojtas\Desktop\Würzburg\PSMA\PSMA RLT\images\revised images\waterfall combined.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ojtas\Desktop\Würzburg\PSMA\PSMA RLT\images\revised images\waterfall combined.tif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24133" cy="3974988"/>
                    </a:xfrm>
                    <a:prstGeom prst="rect">
                      <a:avLst/>
                    </a:prstGeom>
                    <a:noFill/>
                    <a:ln>
                      <a:noFill/>
                    </a:ln>
                  </pic:spPr>
                </pic:pic>
              </a:graphicData>
            </a:graphic>
          </wp:inline>
        </w:drawing>
      </w:r>
    </w:p>
    <w:p w:rsidR="00FC5A67" w:rsidRPr="00A61AD9" w:rsidRDefault="00FC5A67" w:rsidP="00FC5A67">
      <w:pPr>
        <w:jc w:val="both"/>
        <w:rPr>
          <w:rFonts w:ascii="Times New Roman" w:hAnsi="Times New Roman" w:cs="Times New Roman"/>
          <w:sz w:val="20"/>
          <w:szCs w:val="20"/>
          <w:lang w:val="en-US"/>
        </w:rPr>
      </w:pPr>
      <w:r w:rsidRPr="00A61AD9">
        <w:rPr>
          <w:rFonts w:ascii="Times New Roman" w:hAnsi="Times New Roman" w:cs="Times New Roman"/>
          <w:sz w:val="20"/>
          <w:szCs w:val="20"/>
          <w:lang w:val="en-US"/>
        </w:rPr>
        <w:t>Fig. 3S. Waterfall plots of 40 patients showing relative percentage changes in PSA (A) and TLP (B) as a result of [</w:t>
      </w:r>
      <w:r w:rsidRPr="00A61AD9">
        <w:rPr>
          <w:rFonts w:ascii="Times New Roman" w:hAnsi="Times New Roman" w:cs="Times New Roman"/>
          <w:sz w:val="20"/>
          <w:szCs w:val="20"/>
          <w:vertAlign w:val="superscript"/>
          <w:lang w:val="en-US"/>
        </w:rPr>
        <w:t>177</w:t>
      </w:r>
      <w:r w:rsidRPr="00A61AD9">
        <w:rPr>
          <w:rFonts w:ascii="Times New Roman" w:hAnsi="Times New Roman" w:cs="Times New Roman"/>
          <w:sz w:val="20"/>
          <w:szCs w:val="20"/>
          <w:lang w:val="en-US"/>
        </w:rPr>
        <w:t xml:space="preserve">Lu]Lu-PSMA I&amp;T </w:t>
      </w:r>
      <w:proofErr w:type="spellStart"/>
      <w:r w:rsidRPr="00A61AD9">
        <w:rPr>
          <w:rFonts w:ascii="Times New Roman" w:hAnsi="Times New Roman" w:cs="Times New Roman"/>
          <w:sz w:val="20"/>
          <w:szCs w:val="20"/>
          <w:lang w:val="en-US"/>
        </w:rPr>
        <w:t>radioligand</w:t>
      </w:r>
      <w:proofErr w:type="spellEnd"/>
      <w:r w:rsidRPr="00A61AD9">
        <w:rPr>
          <w:rFonts w:ascii="Times New Roman" w:hAnsi="Times New Roman" w:cs="Times New Roman"/>
          <w:sz w:val="20"/>
          <w:szCs w:val="20"/>
          <w:lang w:val="en-US"/>
        </w:rPr>
        <w:t xml:space="preserve"> therapy. Gray bars represent changes of a given parameter after one treatment cycle, while blue bars represent overall changes from baseline. Values over 100% were cropped for simplicity. </w:t>
      </w:r>
    </w:p>
    <w:p w:rsidR="00FC5A67" w:rsidRPr="00A61AD9" w:rsidRDefault="00FC5A67" w:rsidP="00FC5A67">
      <w:pPr>
        <w:jc w:val="both"/>
        <w:rPr>
          <w:rFonts w:ascii="Times New Roman" w:hAnsi="Times New Roman" w:cs="Times New Roman"/>
          <w:b/>
          <w:sz w:val="20"/>
          <w:szCs w:val="20"/>
          <w:lang w:val="en-US"/>
        </w:rPr>
      </w:pPr>
    </w:p>
    <w:p w:rsidR="00FC5A67" w:rsidRPr="00A61AD9" w:rsidRDefault="00FC5A67" w:rsidP="00FC5A67">
      <w:pPr>
        <w:jc w:val="both"/>
        <w:rPr>
          <w:rFonts w:ascii="Times New Roman" w:hAnsi="Times New Roman" w:cs="Times New Roman"/>
          <w:sz w:val="20"/>
          <w:szCs w:val="20"/>
          <w:lang w:val="en-US"/>
        </w:rPr>
      </w:pPr>
      <w:r w:rsidRPr="00A61AD9">
        <w:rPr>
          <w:rFonts w:ascii="Times New Roman" w:hAnsi="Times New Roman" w:cs="Times New Roman"/>
          <w:noProof/>
          <w:sz w:val="20"/>
          <w:szCs w:val="20"/>
          <w:lang w:val="pl-PL" w:eastAsia="pl-PL"/>
        </w:rPr>
        <w:drawing>
          <wp:inline distT="0" distB="0" distL="0" distR="0" wp14:anchorId="589DF9DF" wp14:editId="3F87CB62">
            <wp:extent cx="5760720" cy="2414580"/>
            <wp:effectExtent l="0" t="0" r="0" b="5080"/>
            <wp:docPr id="12" name="Obraz 12" descr="C:\Users\Wojtas\Desktop\Würzburg\PSMA\PSMA RLT\EJNMMI\Revised figures\Fig. 4S new.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ojtas\Desktop\Würzburg\PSMA\PSMA RLT\EJNMMI\Revised figures\Fig. 4S new.tif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2414580"/>
                    </a:xfrm>
                    <a:prstGeom prst="rect">
                      <a:avLst/>
                    </a:prstGeom>
                    <a:noFill/>
                    <a:ln>
                      <a:noFill/>
                    </a:ln>
                  </pic:spPr>
                </pic:pic>
              </a:graphicData>
            </a:graphic>
          </wp:inline>
        </w:drawing>
      </w:r>
    </w:p>
    <w:p w:rsidR="00FC5A67" w:rsidRPr="00A61AD9" w:rsidRDefault="00FC5A67" w:rsidP="00FC5A67">
      <w:pPr>
        <w:jc w:val="both"/>
        <w:rPr>
          <w:rFonts w:ascii="Times New Roman" w:hAnsi="Times New Roman" w:cs="Times New Roman"/>
          <w:sz w:val="20"/>
          <w:szCs w:val="20"/>
          <w:lang w:val="en-US"/>
        </w:rPr>
      </w:pPr>
      <w:r w:rsidRPr="00A61AD9">
        <w:rPr>
          <w:rFonts w:ascii="Times New Roman" w:hAnsi="Times New Roman" w:cs="Times New Roman"/>
          <w:sz w:val="20"/>
          <w:szCs w:val="20"/>
          <w:lang w:val="en-US"/>
        </w:rPr>
        <w:t xml:space="preserve">Fig. 4S. Kaplan-Meier analysis of survival stratified by the early (A) and overall (B) radiographic response ([CR]/PR vs. SD/PD) based on the relative change of PSMA-positive TV in 40 patients with </w:t>
      </w:r>
      <w:proofErr w:type="spellStart"/>
      <w:r w:rsidRPr="00A61AD9">
        <w:rPr>
          <w:rFonts w:ascii="Times New Roman" w:hAnsi="Times New Roman" w:cs="Times New Roman"/>
          <w:sz w:val="20"/>
          <w:szCs w:val="20"/>
          <w:lang w:val="en-US"/>
        </w:rPr>
        <w:t>mCRPC</w:t>
      </w:r>
      <w:proofErr w:type="spellEnd"/>
      <w:r w:rsidRPr="00A61AD9">
        <w:rPr>
          <w:rFonts w:ascii="Times New Roman" w:hAnsi="Times New Roman" w:cs="Times New Roman"/>
          <w:sz w:val="20"/>
          <w:szCs w:val="20"/>
          <w:lang w:val="en-US"/>
        </w:rPr>
        <w:t xml:space="preserve"> after [</w:t>
      </w:r>
      <w:r w:rsidRPr="00A61AD9">
        <w:rPr>
          <w:rFonts w:ascii="Times New Roman" w:hAnsi="Times New Roman" w:cs="Times New Roman"/>
          <w:sz w:val="20"/>
          <w:szCs w:val="20"/>
          <w:vertAlign w:val="superscript"/>
          <w:lang w:val="en-US"/>
        </w:rPr>
        <w:t>177</w:t>
      </w:r>
      <w:r w:rsidRPr="00A61AD9">
        <w:rPr>
          <w:rFonts w:ascii="Times New Roman" w:hAnsi="Times New Roman" w:cs="Times New Roman"/>
          <w:sz w:val="20"/>
          <w:szCs w:val="20"/>
          <w:lang w:val="en-US"/>
        </w:rPr>
        <w:t xml:space="preserve">Lu]Lu-PSMA I&amp;T RLT. </w:t>
      </w:r>
      <w:proofErr w:type="spellStart"/>
      <w:r w:rsidRPr="00A61AD9">
        <w:rPr>
          <w:rFonts w:ascii="Times New Roman" w:hAnsi="Times New Roman" w:cs="Times New Roman"/>
          <w:sz w:val="20"/>
          <w:szCs w:val="20"/>
          <w:lang w:val="en-US"/>
        </w:rPr>
        <w:t>mCRPC</w:t>
      </w:r>
      <w:proofErr w:type="spellEnd"/>
      <w:r w:rsidRPr="00A61AD9">
        <w:rPr>
          <w:rFonts w:ascii="Times New Roman" w:hAnsi="Times New Roman" w:cs="Times New Roman"/>
          <w:sz w:val="20"/>
          <w:szCs w:val="20"/>
          <w:lang w:val="en-US"/>
        </w:rPr>
        <w:t xml:space="preserve"> – metastatic castration resistant prostate cancer. TV – tumor volume. </w:t>
      </w:r>
    </w:p>
    <w:p w:rsidR="00FC5A67" w:rsidRPr="00A61AD9" w:rsidRDefault="00FC5A67" w:rsidP="00FC5A67">
      <w:pPr>
        <w:rPr>
          <w:rFonts w:ascii="Times New Roman" w:hAnsi="Times New Roman" w:cs="Times New Roman"/>
          <w:b/>
          <w:sz w:val="20"/>
          <w:szCs w:val="20"/>
          <w:lang w:val="en-US"/>
        </w:rPr>
      </w:pPr>
      <w:r w:rsidRPr="00A61AD9">
        <w:rPr>
          <w:rFonts w:ascii="Times New Roman" w:hAnsi="Times New Roman" w:cs="Times New Roman"/>
          <w:b/>
          <w:sz w:val="20"/>
          <w:szCs w:val="20"/>
          <w:lang w:val="en-US"/>
        </w:rPr>
        <w:br w:type="page"/>
      </w:r>
    </w:p>
    <w:p w:rsidR="00FC5A67" w:rsidRPr="00A61AD9" w:rsidRDefault="00FC5A67" w:rsidP="00FC5A67">
      <w:pPr>
        <w:rPr>
          <w:rFonts w:ascii="Times New Roman" w:hAnsi="Times New Roman" w:cs="Times New Roman"/>
          <w:b/>
          <w:sz w:val="20"/>
          <w:szCs w:val="20"/>
          <w:lang w:val="en-US"/>
        </w:rPr>
      </w:pPr>
    </w:p>
    <w:p w:rsidR="00FC5A67" w:rsidRPr="00A61AD9" w:rsidRDefault="00FC5A67" w:rsidP="00FC5A67">
      <w:pPr>
        <w:jc w:val="both"/>
        <w:rPr>
          <w:rFonts w:ascii="Times New Roman" w:hAnsi="Times New Roman" w:cs="Times New Roman"/>
          <w:sz w:val="20"/>
          <w:szCs w:val="20"/>
          <w:lang w:val="en-US"/>
        </w:rPr>
      </w:pPr>
      <w:r w:rsidRPr="00A61AD9">
        <w:rPr>
          <w:rFonts w:ascii="Times New Roman" w:hAnsi="Times New Roman" w:cs="Times New Roman"/>
          <w:noProof/>
          <w:sz w:val="20"/>
          <w:szCs w:val="20"/>
          <w:lang w:val="pl-PL" w:eastAsia="pl-PL"/>
        </w:rPr>
        <w:drawing>
          <wp:inline distT="0" distB="0" distL="0" distR="0" wp14:anchorId="5792539B" wp14:editId="239E3575">
            <wp:extent cx="5760720" cy="2356270"/>
            <wp:effectExtent l="0" t="0" r="0" b="6350"/>
            <wp:docPr id="13" name="Obraz 13" descr="C:\Users\Wojtas\Desktop\Würzburg\PSMA\PSMA RLT\EJNMMI\Revised figures\Fig. 5S new.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ojtas\Desktop\Würzburg\PSMA\PSMA RLT\EJNMMI\Revised figures\Fig. 5S new.tif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2356270"/>
                    </a:xfrm>
                    <a:prstGeom prst="rect">
                      <a:avLst/>
                    </a:prstGeom>
                    <a:noFill/>
                    <a:ln>
                      <a:noFill/>
                    </a:ln>
                  </pic:spPr>
                </pic:pic>
              </a:graphicData>
            </a:graphic>
          </wp:inline>
        </w:drawing>
      </w:r>
    </w:p>
    <w:p w:rsidR="00FC5A67" w:rsidRPr="00A61AD9" w:rsidRDefault="00FC5A67" w:rsidP="00FC5A67">
      <w:pPr>
        <w:jc w:val="both"/>
        <w:rPr>
          <w:rFonts w:ascii="Times New Roman" w:hAnsi="Times New Roman" w:cs="Times New Roman"/>
          <w:sz w:val="20"/>
          <w:szCs w:val="20"/>
          <w:lang w:val="en-US"/>
        </w:rPr>
      </w:pPr>
      <w:r w:rsidRPr="00A61AD9">
        <w:rPr>
          <w:rFonts w:ascii="Times New Roman" w:hAnsi="Times New Roman" w:cs="Times New Roman"/>
          <w:sz w:val="20"/>
          <w:szCs w:val="20"/>
          <w:lang w:val="en-US"/>
        </w:rPr>
        <w:t xml:space="preserve">Fig. 5S. Kaplan-Meier analysis of survival stratified by the early (A) and overall (B) radiographic response ([CR]/PR/SD vs. PD) based on the relative change of PSMA-positive TV in 40 patients with </w:t>
      </w:r>
      <w:proofErr w:type="spellStart"/>
      <w:r w:rsidRPr="00A61AD9">
        <w:rPr>
          <w:rFonts w:ascii="Times New Roman" w:hAnsi="Times New Roman" w:cs="Times New Roman"/>
          <w:sz w:val="20"/>
          <w:szCs w:val="20"/>
          <w:lang w:val="en-US"/>
        </w:rPr>
        <w:t>mCRPC</w:t>
      </w:r>
      <w:proofErr w:type="spellEnd"/>
      <w:r w:rsidRPr="00A61AD9">
        <w:rPr>
          <w:rFonts w:ascii="Times New Roman" w:hAnsi="Times New Roman" w:cs="Times New Roman"/>
          <w:sz w:val="20"/>
          <w:szCs w:val="20"/>
          <w:lang w:val="en-US"/>
        </w:rPr>
        <w:t xml:space="preserve"> after [</w:t>
      </w:r>
      <w:r w:rsidRPr="00A61AD9">
        <w:rPr>
          <w:rFonts w:ascii="Times New Roman" w:hAnsi="Times New Roman" w:cs="Times New Roman"/>
          <w:sz w:val="20"/>
          <w:szCs w:val="20"/>
          <w:vertAlign w:val="superscript"/>
          <w:lang w:val="en-US"/>
        </w:rPr>
        <w:t>177</w:t>
      </w:r>
      <w:r w:rsidRPr="00A61AD9">
        <w:rPr>
          <w:rFonts w:ascii="Times New Roman" w:hAnsi="Times New Roman" w:cs="Times New Roman"/>
          <w:sz w:val="20"/>
          <w:szCs w:val="20"/>
          <w:lang w:val="en-US"/>
        </w:rPr>
        <w:t xml:space="preserve">Lu]Lu-PSMA I&amp;T RLT. </w:t>
      </w:r>
      <w:proofErr w:type="spellStart"/>
      <w:r w:rsidRPr="00A61AD9">
        <w:rPr>
          <w:rFonts w:ascii="Times New Roman" w:hAnsi="Times New Roman" w:cs="Times New Roman"/>
          <w:sz w:val="20"/>
          <w:szCs w:val="20"/>
          <w:lang w:val="en-US"/>
        </w:rPr>
        <w:t>mCRPC</w:t>
      </w:r>
      <w:proofErr w:type="spellEnd"/>
      <w:r w:rsidRPr="00A61AD9">
        <w:rPr>
          <w:rFonts w:ascii="Times New Roman" w:hAnsi="Times New Roman" w:cs="Times New Roman"/>
          <w:sz w:val="20"/>
          <w:szCs w:val="20"/>
          <w:lang w:val="en-US"/>
        </w:rPr>
        <w:t xml:space="preserve"> – metastatic castration resistant prostate cancer. TV – tumor volume. </w:t>
      </w:r>
    </w:p>
    <w:p w:rsidR="00FC5A67" w:rsidRPr="00A61AD9" w:rsidRDefault="00FC5A67" w:rsidP="00FC5A67">
      <w:pPr>
        <w:rPr>
          <w:rFonts w:ascii="Times New Roman" w:hAnsi="Times New Roman" w:cs="Times New Roman"/>
          <w:b/>
          <w:sz w:val="20"/>
          <w:szCs w:val="20"/>
          <w:lang w:val="en-US"/>
        </w:rPr>
      </w:pPr>
      <w:bookmarkStart w:id="0" w:name="_GoBack"/>
      <w:bookmarkEnd w:id="0"/>
    </w:p>
    <w:sectPr w:rsidR="00FC5A67" w:rsidRPr="00A61A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406DC3"/>
    <w:multiLevelType w:val="hybridMultilevel"/>
    <w:tmpl w:val="424246C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FC5A67"/>
    <w:rsid w:val="00000253"/>
    <w:rsid w:val="00000791"/>
    <w:rsid w:val="00001C64"/>
    <w:rsid w:val="00001E81"/>
    <w:rsid w:val="000027E8"/>
    <w:rsid w:val="00003290"/>
    <w:rsid w:val="000048B6"/>
    <w:rsid w:val="00006339"/>
    <w:rsid w:val="00011431"/>
    <w:rsid w:val="00012581"/>
    <w:rsid w:val="000158DE"/>
    <w:rsid w:val="00015CF9"/>
    <w:rsid w:val="00015DA9"/>
    <w:rsid w:val="000174DE"/>
    <w:rsid w:val="00017CC8"/>
    <w:rsid w:val="00021BC7"/>
    <w:rsid w:val="00023DA3"/>
    <w:rsid w:val="00027C3C"/>
    <w:rsid w:val="00031A2D"/>
    <w:rsid w:val="0003484F"/>
    <w:rsid w:val="00042D9A"/>
    <w:rsid w:val="0004436C"/>
    <w:rsid w:val="00044FB9"/>
    <w:rsid w:val="000515B8"/>
    <w:rsid w:val="0005231F"/>
    <w:rsid w:val="00052D05"/>
    <w:rsid w:val="000530C6"/>
    <w:rsid w:val="00057CB1"/>
    <w:rsid w:val="00061545"/>
    <w:rsid w:val="00063564"/>
    <w:rsid w:val="0006368D"/>
    <w:rsid w:val="00063AC2"/>
    <w:rsid w:val="000642BB"/>
    <w:rsid w:val="00066581"/>
    <w:rsid w:val="000702B2"/>
    <w:rsid w:val="00070E5C"/>
    <w:rsid w:val="00072D4F"/>
    <w:rsid w:val="00072EA3"/>
    <w:rsid w:val="0007396F"/>
    <w:rsid w:val="00077B6F"/>
    <w:rsid w:val="00077F13"/>
    <w:rsid w:val="000800C0"/>
    <w:rsid w:val="00080A0B"/>
    <w:rsid w:val="000826F1"/>
    <w:rsid w:val="00085F0E"/>
    <w:rsid w:val="000877C9"/>
    <w:rsid w:val="00094AA9"/>
    <w:rsid w:val="000A0889"/>
    <w:rsid w:val="000A31AA"/>
    <w:rsid w:val="000B15DD"/>
    <w:rsid w:val="000B6DD9"/>
    <w:rsid w:val="000B73D4"/>
    <w:rsid w:val="000C02D6"/>
    <w:rsid w:val="000C10FA"/>
    <w:rsid w:val="000C13FC"/>
    <w:rsid w:val="000D07CD"/>
    <w:rsid w:val="000D1685"/>
    <w:rsid w:val="000E163E"/>
    <w:rsid w:val="000E22C7"/>
    <w:rsid w:val="000E3A19"/>
    <w:rsid w:val="000E3DB6"/>
    <w:rsid w:val="000F23C6"/>
    <w:rsid w:val="001140BC"/>
    <w:rsid w:val="00114178"/>
    <w:rsid w:val="00115FEF"/>
    <w:rsid w:val="001167AF"/>
    <w:rsid w:val="00117C5F"/>
    <w:rsid w:val="00117EF9"/>
    <w:rsid w:val="00121B3F"/>
    <w:rsid w:val="00121B4A"/>
    <w:rsid w:val="00130D50"/>
    <w:rsid w:val="00131E9C"/>
    <w:rsid w:val="00136099"/>
    <w:rsid w:val="00142662"/>
    <w:rsid w:val="001436DB"/>
    <w:rsid w:val="00144920"/>
    <w:rsid w:val="001451FE"/>
    <w:rsid w:val="00151B93"/>
    <w:rsid w:val="00152535"/>
    <w:rsid w:val="00155410"/>
    <w:rsid w:val="00161722"/>
    <w:rsid w:val="00164D77"/>
    <w:rsid w:val="0016649B"/>
    <w:rsid w:val="00167BA8"/>
    <w:rsid w:val="001735C0"/>
    <w:rsid w:val="001767BB"/>
    <w:rsid w:val="00182C68"/>
    <w:rsid w:val="0018785D"/>
    <w:rsid w:val="0019213A"/>
    <w:rsid w:val="0019579E"/>
    <w:rsid w:val="001A0913"/>
    <w:rsid w:val="001A6997"/>
    <w:rsid w:val="001B294A"/>
    <w:rsid w:val="001B362E"/>
    <w:rsid w:val="001B563C"/>
    <w:rsid w:val="001B6AA8"/>
    <w:rsid w:val="001C1AAA"/>
    <w:rsid w:val="001C2BF9"/>
    <w:rsid w:val="001C4609"/>
    <w:rsid w:val="001C73B3"/>
    <w:rsid w:val="001D4CD7"/>
    <w:rsid w:val="001D4D88"/>
    <w:rsid w:val="001D5086"/>
    <w:rsid w:val="001D5D2E"/>
    <w:rsid w:val="001E0C0A"/>
    <w:rsid w:val="001F5C17"/>
    <w:rsid w:val="001F7EA7"/>
    <w:rsid w:val="002031FC"/>
    <w:rsid w:val="00205DA9"/>
    <w:rsid w:val="0020756E"/>
    <w:rsid w:val="00210131"/>
    <w:rsid w:val="0021199A"/>
    <w:rsid w:val="0021228A"/>
    <w:rsid w:val="00217613"/>
    <w:rsid w:val="00221CA8"/>
    <w:rsid w:val="0022269C"/>
    <w:rsid w:val="00224898"/>
    <w:rsid w:val="002252F1"/>
    <w:rsid w:val="00227D46"/>
    <w:rsid w:val="00231D1A"/>
    <w:rsid w:val="00240F04"/>
    <w:rsid w:val="00240F3B"/>
    <w:rsid w:val="002414F0"/>
    <w:rsid w:val="00244523"/>
    <w:rsid w:val="00250FE4"/>
    <w:rsid w:val="00252819"/>
    <w:rsid w:val="00254A39"/>
    <w:rsid w:val="0025568F"/>
    <w:rsid w:val="00260085"/>
    <w:rsid w:val="0026458D"/>
    <w:rsid w:val="0026528F"/>
    <w:rsid w:val="002669BE"/>
    <w:rsid w:val="00267497"/>
    <w:rsid w:val="00271F45"/>
    <w:rsid w:val="00272927"/>
    <w:rsid w:val="00273160"/>
    <w:rsid w:val="00273646"/>
    <w:rsid w:val="002746A9"/>
    <w:rsid w:val="00275C29"/>
    <w:rsid w:val="00280567"/>
    <w:rsid w:val="00285329"/>
    <w:rsid w:val="00290D19"/>
    <w:rsid w:val="002933EA"/>
    <w:rsid w:val="0029432A"/>
    <w:rsid w:val="00295CEB"/>
    <w:rsid w:val="00297220"/>
    <w:rsid w:val="002A002A"/>
    <w:rsid w:val="002B41A3"/>
    <w:rsid w:val="002B6643"/>
    <w:rsid w:val="002B6A08"/>
    <w:rsid w:val="002B72D8"/>
    <w:rsid w:val="002C3917"/>
    <w:rsid w:val="002C72E4"/>
    <w:rsid w:val="002C7FAE"/>
    <w:rsid w:val="002D0DCE"/>
    <w:rsid w:val="002D1175"/>
    <w:rsid w:val="002D1FE5"/>
    <w:rsid w:val="002D33C5"/>
    <w:rsid w:val="002D471D"/>
    <w:rsid w:val="002D6885"/>
    <w:rsid w:val="002D7E8F"/>
    <w:rsid w:val="002E1D0E"/>
    <w:rsid w:val="002E1DA2"/>
    <w:rsid w:val="002E2CA9"/>
    <w:rsid w:val="002E6944"/>
    <w:rsid w:val="002F1608"/>
    <w:rsid w:val="002F1F20"/>
    <w:rsid w:val="002F2A60"/>
    <w:rsid w:val="002F3393"/>
    <w:rsid w:val="002F34FF"/>
    <w:rsid w:val="002F5931"/>
    <w:rsid w:val="002F6350"/>
    <w:rsid w:val="002F657B"/>
    <w:rsid w:val="002F6CC4"/>
    <w:rsid w:val="002F7929"/>
    <w:rsid w:val="00301277"/>
    <w:rsid w:val="003035FB"/>
    <w:rsid w:val="003045AB"/>
    <w:rsid w:val="0030592F"/>
    <w:rsid w:val="00311461"/>
    <w:rsid w:val="00312B85"/>
    <w:rsid w:val="00312DFD"/>
    <w:rsid w:val="00312E00"/>
    <w:rsid w:val="00313A76"/>
    <w:rsid w:val="00315FBD"/>
    <w:rsid w:val="0031696D"/>
    <w:rsid w:val="00321BBD"/>
    <w:rsid w:val="00324335"/>
    <w:rsid w:val="00324F21"/>
    <w:rsid w:val="00324F28"/>
    <w:rsid w:val="00327B77"/>
    <w:rsid w:val="00334EF0"/>
    <w:rsid w:val="00335E4C"/>
    <w:rsid w:val="00342E94"/>
    <w:rsid w:val="003439D1"/>
    <w:rsid w:val="00343E17"/>
    <w:rsid w:val="00345771"/>
    <w:rsid w:val="0034620D"/>
    <w:rsid w:val="00347DBF"/>
    <w:rsid w:val="00350B2F"/>
    <w:rsid w:val="00352980"/>
    <w:rsid w:val="00355A77"/>
    <w:rsid w:val="00365C5B"/>
    <w:rsid w:val="00365F3A"/>
    <w:rsid w:val="003661C5"/>
    <w:rsid w:val="0037160F"/>
    <w:rsid w:val="00377745"/>
    <w:rsid w:val="00377B8F"/>
    <w:rsid w:val="00387BF4"/>
    <w:rsid w:val="00391A01"/>
    <w:rsid w:val="0039317B"/>
    <w:rsid w:val="0039397A"/>
    <w:rsid w:val="00394A4E"/>
    <w:rsid w:val="00396078"/>
    <w:rsid w:val="00397E18"/>
    <w:rsid w:val="003A1333"/>
    <w:rsid w:val="003A3D0A"/>
    <w:rsid w:val="003A43E7"/>
    <w:rsid w:val="003A4706"/>
    <w:rsid w:val="003A490D"/>
    <w:rsid w:val="003A4C52"/>
    <w:rsid w:val="003A580A"/>
    <w:rsid w:val="003B0993"/>
    <w:rsid w:val="003B0CA8"/>
    <w:rsid w:val="003B1512"/>
    <w:rsid w:val="003B596B"/>
    <w:rsid w:val="003B662B"/>
    <w:rsid w:val="003C026F"/>
    <w:rsid w:val="003C0D3B"/>
    <w:rsid w:val="003C6895"/>
    <w:rsid w:val="003C73BC"/>
    <w:rsid w:val="003D0839"/>
    <w:rsid w:val="003D0A81"/>
    <w:rsid w:val="003D2962"/>
    <w:rsid w:val="003D5192"/>
    <w:rsid w:val="003D57A0"/>
    <w:rsid w:val="003D6C72"/>
    <w:rsid w:val="003E0A58"/>
    <w:rsid w:val="003E0F15"/>
    <w:rsid w:val="003E15CD"/>
    <w:rsid w:val="003E7468"/>
    <w:rsid w:val="003F0C10"/>
    <w:rsid w:val="003F1082"/>
    <w:rsid w:val="00401307"/>
    <w:rsid w:val="004019DD"/>
    <w:rsid w:val="00402447"/>
    <w:rsid w:val="004034EB"/>
    <w:rsid w:val="00411078"/>
    <w:rsid w:val="004132BF"/>
    <w:rsid w:val="00417C14"/>
    <w:rsid w:val="00420440"/>
    <w:rsid w:val="00424DF8"/>
    <w:rsid w:val="00425BF0"/>
    <w:rsid w:val="00426980"/>
    <w:rsid w:val="00427DB1"/>
    <w:rsid w:val="00430728"/>
    <w:rsid w:val="00434A4E"/>
    <w:rsid w:val="00434EC9"/>
    <w:rsid w:val="004355BA"/>
    <w:rsid w:val="00440DBA"/>
    <w:rsid w:val="004420D9"/>
    <w:rsid w:val="00443C42"/>
    <w:rsid w:val="00446EDB"/>
    <w:rsid w:val="004477B4"/>
    <w:rsid w:val="00451CAD"/>
    <w:rsid w:val="00451E7E"/>
    <w:rsid w:val="0045504E"/>
    <w:rsid w:val="004558E2"/>
    <w:rsid w:val="00457B1C"/>
    <w:rsid w:val="00463ABB"/>
    <w:rsid w:val="004715D0"/>
    <w:rsid w:val="00472B6B"/>
    <w:rsid w:val="004804F1"/>
    <w:rsid w:val="00484A18"/>
    <w:rsid w:val="00491934"/>
    <w:rsid w:val="00493CD3"/>
    <w:rsid w:val="00496EFB"/>
    <w:rsid w:val="004A0FD1"/>
    <w:rsid w:val="004A1212"/>
    <w:rsid w:val="004A29A0"/>
    <w:rsid w:val="004A6213"/>
    <w:rsid w:val="004B0C77"/>
    <w:rsid w:val="004B12EA"/>
    <w:rsid w:val="004B2CE4"/>
    <w:rsid w:val="004B41E5"/>
    <w:rsid w:val="004B43BC"/>
    <w:rsid w:val="004B46C9"/>
    <w:rsid w:val="004B6704"/>
    <w:rsid w:val="004B6CD9"/>
    <w:rsid w:val="004C47D9"/>
    <w:rsid w:val="004D4605"/>
    <w:rsid w:val="004D4E55"/>
    <w:rsid w:val="004E29C5"/>
    <w:rsid w:val="004E5546"/>
    <w:rsid w:val="004E67DA"/>
    <w:rsid w:val="004F40E2"/>
    <w:rsid w:val="004F6772"/>
    <w:rsid w:val="005046B4"/>
    <w:rsid w:val="005063A5"/>
    <w:rsid w:val="00506F90"/>
    <w:rsid w:val="00507E47"/>
    <w:rsid w:val="00515313"/>
    <w:rsid w:val="00515493"/>
    <w:rsid w:val="00520C05"/>
    <w:rsid w:val="00523FDE"/>
    <w:rsid w:val="00524264"/>
    <w:rsid w:val="00535727"/>
    <w:rsid w:val="005364FF"/>
    <w:rsid w:val="00541CA7"/>
    <w:rsid w:val="00543415"/>
    <w:rsid w:val="00546984"/>
    <w:rsid w:val="0055008B"/>
    <w:rsid w:val="005577BB"/>
    <w:rsid w:val="005606D9"/>
    <w:rsid w:val="005639BD"/>
    <w:rsid w:val="005643CE"/>
    <w:rsid w:val="00566067"/>
    <w:rsid w:val="00566D7B"/>
    <w:rsid w:val="00571288"/>
    <w:rsid w:val="005715F9"/>
    <w:rsid w:val="00576D80"/>
    <w:rsid w:val="00580546"/>
    <w:rsid w:val="005809D5"/>
    <w:rsid w:val="00583D1C"/>
    <w:rsid w:val="00585051"/>
    <w:rsid w:val="0058566B"/>
    <w:rsid w:val="00592AD7"/>
    <w:rsid w:val="00594D41"/>
    <w:rsid w:val="00595C19"/>
    <w:rsid w:val="00596466"/>
    <w:rsid w:val="005976B3"/>
    <w:rsid w:val="005A1261"/>
    <w:rsid w:val="005A6275"/>
    <w:rsid w:val="005A7CE8"/>
    <w:rsid w:val="005B355B"/>
    <w:rsid w:val="005B3EA5"/>
    <w:rsid w:val="005B44B2"/>
    <w:rsid w:val="005B4E57"/>
    <w:rsid w:val="005B7BA2"/>
    <w:rsid w:val="005C2AF9"/>
    <w:rsid w:val="005C2FA1"/>
    <w:rsid w:val="005C354C"/>
    <w:rsid w:val="005C4430"/>
    <w:rsid w:val="005C47E2"/>
    <w:rsid w:val="005D3AE9"/>
    <w:rsid w:val="005D513A"/>
    <w:rsid w:val="005D69CE"/>
    <w:rsid w:val="005E3D0E"/>
    <w:rsid w:val="005E49D9"/>
    <w:rsid w:val="005E6742"/>
    <w:rsid w:val="005F46CD"/>
    <w:rsid w:val="005F64B5"/>
    <w:rsid w:val="00603408"/>
    <w:rsid w:val="00604C9F"/>
    <w:rsid w:val="00607FD5"/>
    <w:rsid w:val="00612CE8"/>
    <w:rsid w:val="0061308E"/>
    <w:rsid w:val="00614A01"/>
    <w:rsid w:val="00621031"/>
    <w:rsid w:val="00626E4B"/>
    <w:rsid w:val="0063103E"/>
    <w:rsid w:val="006310E1"/>
    <w:rsid w:val="00631509"/>
    <w:rsid w:val="006364D8"/>
    <w:rsid w:val="00643965"/>
    <w:rsid w:val="006444BC"/>
    <w:rsid w:val="00645BBD"/>
    <w:rsid w:val="00651027"/>
    <w:rsid w:val="00651948"/>
    <w:rsid w:val="00652206"/>
    <w:rsid w:val="00654A32"/>
    <w:rsid w:val="00654E76"/>
    <w:rsid w:val="00662807"/>
    <w:rsid w:val="00666EE4"/>
    <w:rsid w:val="006671CD"/>
    <w:rsid w:val="00670691"/>
    <w:rsid w:val="00671496"/>
    <w:rsid w:val="00671866"/>
    <w:rsid w:val="00676397"/>
    <w:rsid w:val="00681798"/>
    <w:rsid w:val="006904F3"/>
    <w:rsid w:val="006A30F2"/>
    <w:rsid w:val="006A6F21"/>
    <w:rsid w:val="006B017E"/>
    <w:rsid w:val="006B0B2C"/>
    <w:rsid w:val="006B1979"/>
    <w:rsid w:val="006B1F5F"/>
    <w:rsid w:val="006B23DB"/>
    <w:rsid w:val="006B68BC"/>
    <w:rsid w:val="006C3213"/>
    <w:rsid w:val="006C3FC4"/>
    <w:rsid w:val="006D1AFF"/>
    <w:rsid w:val="006D1CB8"/>
    <w:rsid w:val="006D1F6D"/>
    <w:rsid w:val="006E11A3"/>
    <w:rsid w:val="006E184F"/>
    <w:rsid w:val="006E277E"/>
    <w:rsid w:val="006E4DB0"/>
    <w:rsid w:val="006E6246"/>
    <w:rsid w:val="006E7FF7"/>
    <w:rsid w:val="006F47F4"/>
    <w:rsid w:val="006F62C8"/>
    <w:rsid w:val="006F66A9"/>
    <w:rsid w:val="006F6B80"/>
    <w:rsid w:val="007040B5"/>
    <w:rsid w:val="007071B1"/>
    <w:rsid w:val="007079BB"/>
    <w:rsid w:val="00710DAE"/>
    <w:rsid w:val="00711000"/>
    <w:rsid w:val="0071418C"/>
    <w:rsid w:val="00715870"/>
    <w:rsid w:val="00724CC7"/>
    <w:rsid w:val="00726086"/>
    <w:rsid w:val="00730502"/>
    <w:rsid w:val="00735969"/>
    <w:rsid w:val="007449CB"/>
    <w:rsid w:val="0074536D"/>
    <w:rsid w:val="007471AA"/>
    <w:rsid w:val="0075658E"/>
    <w:rsid w:val="00756940"/>
    <w:rsid w:val="00757FF9"/>
    <w:rsid w:val="00761E71"/>
    <w:rsid w:val="00765157"/>
    <w:rsid w:val="00771675"/>
    <w:rsid w:val="0077180E"/>
    <w:rsid w:val="0077380B"/>
    <w:rsid w:val="00774ADF"/>
    <w:rsid w:val="00775C9F"/>
    <w:rsid w:val="00775FB2"/>
    <w:rsid w:val="007804BC"/>
    <w:rsid w:val="00780586"/>
    <w:rsid w:val="007806F9"/>
    <w:rsid w:val="0078120A"/>
    <w:rsid w:val="007813D7"/>
    <w:rsid w:val="00792A15"/>
    <w:rsid w:val="00794BDA"/>
    <w:rsid w:val="00794FFC"/>
    <w:rsid w:val="007950A1"/>
    <w:rsid w:val="007A03CE"/>
    <w:rsid w:val="007A7D51"/>
    <w:rsid w:val="007B0639"/>
    <w:rsid w:val="007B4E40"/>
    <w:rsid w:val="007C138C"/>
    <w:rsid w:val="007C5883"/>
    <w:rsid w:val="007C5F50"/>
    <w:rsid w:val="007C6A86"/>
    <w:rsid w:val="007C7902"/>
    <w:rsid w:val="007D0287"/>
    <w:rsid w:val="007E1DE3"/>
    <w:rsid w:val="007E29A9"/>
    <w:rsid w:val="007E3CEE"/>
    <w:rsid w:val="007E574F"/>
    <w:rsid w:val="007F1D11"/>
    <w:rsid w:val="007F1DED"/>
    <w:rsid w:val="007F7CD3"/>
    <w:rsid w:val="008001D2"/>
    <w:rsid w:val="008014E5"/>
    <w:rsid w:val="008018FB"/>
    <w:rsid w:val="0081029C"/>
    <w:rsid w:val="00814054"/>
    <w:rsid w:val="00815B81"/>
    <w:rsid w:val="00815F7A"/>
    <w:rsid w:val="008172B6"/>
    <w:rsid w:val="00824AD9"/>
    <w:rsid w:val="00824D4D"/>
    <w:rsid w:val="008301DB"/>
    <w:rsid w:val="008313F1"/>
    <w:rsid w:val="00837410"/>
    <w:rsid w:val="00840364"/>
    <w:rsid w:val="00840725"/>
    <w:rsid w:val="0084212E"/>
    <w:rsid w:val="00842457"/>
    <w:rsid w:val="0084257B"/>
    <w:rsid w:val="008475CF"/>
    <w:rsid w:val="008507D5"/>
    <w:rsid w:val="008511CB"/>
    <w:rsid w:val="008523CE"/>
    <w:rsid w:val="00853DE6"/>
    <w:rsid w:val="008549A2"/>
    <w:rsid w:val="00856A70"/>
    <w:rsid w:val="008613DB"/>
    <w:rsid w:val="00864BB4"/>
    <w:rsid w:val="00864F5E"/>
    <w:rsid w:val="00870CE8"/>
    <w:rsid w:val="008715B6"/>
    <w:rsid w:val="008741AA"/>
    <w:rsid w:val="00874743"/>
    <w:rsid w:val="008759C4"/>
    <w:rsid w:val="008773EE"/>
    <w:rsid w:val="008807E0"/>
    <w:rsid w:val="008812E8"/>
    <w:rsid w:val="00885D47"/>
    <w:rsid w:val="00886B43"/>
    <w:rsid w:val="00887AEC"/>
    <w:rsid w:val="00891B4D"/>
    <w:rsid w:val="0089706D"/>
    <w:rsid w:val="00897517"/>
    <w:rsid w:val="00897BF4"/>
    <w:rsid w:val="008A12C8"/>
    <w:rsid w:val="008A44A6"/>
    <w:rsid w:val="008A749C"/>
    <w:rsid w:val="008B3E9E"/>
    <w:rsid w:val="008B4C37"/>
    <w:rsid w:val="008B78C3"/>
    <w:rsid w:val="008B7EE3"/>
    <w:rsid w:val="008C41D0"/>
    <w:rsid w:val="008C70D4"/>
    <w:rsid w:val="008D0E8B"/>
    <w:rsid w:val="008D7B66"/>
    <w:rsid w:val="008E39DB"/>
    <w:rsid w:val="008E3E16"/>
    <w:rsid w:val="008F491E"/>
    <w:rsid w:val="00900CD1"/>
    <w:rsid w:val="0090127A"/>
    <w:rsid w:val="00903C0A"/>
    <w:rsid w:val="00906901"/>
    <w:rsid w:val="00911DFC"/>
    <w:rsid w:val="009176DE"/>
    <w:rsid w:val="00922CBA"/>
    <w:rsid w:val="009245DF"/>
    <w:rsid w:val="00924737"/>
    <w:rsid w:val="00925011"/>
    <w:rsid w:val="009302D5"/>
    <w:rsid w:val="00931E8B"/>
    <w:rsid w:val="00932BB8"/>
    <w:rsid w:val="00932E28"/>
    <w:rsid w:val="0093578E"/>
    <w:rsid w:val="00935D1B"/>
    <w:rsid w:val="00935FA6"/>
    <w:rsid w:val="009375FF"/>
    <w:rsid w:val="00941414"/>
    <w:rsid w:val="009454AE"/>
    <w:rsid w:val="00950A31"/>
    <w:rsid w:val="00953298"/>
    <w:rsid w:val="00955F0B"/>
    <w:rsid w:val="00956995"/>
    <w:rsid w:val="00957BB2"/>
    <w:rsid w:val="009611C9"/>
    <w:rsid w:val="00961783"/>
    <w:rsid w:val="00962F2E"/>
    <w:rsid w:val="00964483"/>
    <w:rsid w:val="009673C3"/>
    <w:rsid w:val="009675F7"/>
    <w:rsid w:val="00967C94"/>
    <w:rsid w:val="00967FF6"/>
    <w:rsid w:val="009743A0"/>
    <w:rsid w:val="00974555"/>
    <w:rsid w:val="00974F98"/>
    <w:rsid w:val="00975310"/>
    <w:rsid w:val="009756AD"/>
    <w:rsid w:val="00976144"/>
    <w:rsid w:val="00982976"/>
    <w:rsid w:val="0098326E"/>
    <w:rsid w:val="00984404"/>
    <w:rsid w:val="00985E99"/>
    <w:rsid w:val="00985FEE"/>
    <w:rsid w:val="0098782A"/>
    <w:rsid w:val="009919A5"/>
    <w:rsid w:val="009933FD"/>
    <w:rsid w:val="00993EFC"/>
    <w:rsid w:val="009940FF"/>
    <w:rsid w:val="009944C2"/>
    <w:rsid w:val="00994975"/>
    <w:rsid w:val="00994C5C"/>
    <w:rsid w:val="00994CC6"/>
    <w:rsid w:val="009A263D"/>
    <w:rsid w:val="009A3F7D"/>
    <w:rsid w:val="009B0C68"/>
    <w:rsid w:val="009B139C"/>
    <w:rsid w:val="009B1646"/>
    <w:rsid w:val="009B2EE8"/>
    <w:rsid w:val="009B42DB"/>
    <w:rsid w:val="009B698D"/>
    <w:rsid w:val="009B7466"/>
    <w:rsid w:val="009C2124"/>
    <w:rsid w:val="009C2EF3"/>
    <w:rsid w:val="009C3B2C"/>
    <w:rsid w:val="009C4E3A"/>
    <w:rsid w:val="009C5CAA"/>
    <w:rsid w:val="009C78BA"/>
    <w:rsid w:val="009D13A5"/>
    <w:rsid w:val="009D383A"/>
    <w:rsid w:val="009D3F87"/>
    <w:rsid w:val="009D67B8"/>
    <w:rsid w:val="009D7DEB"/>
    <w:rsid w:val="009E0727"/>
    <w:rsid w:val="009E07CC"/>
    <w:rsid w:val="009E275F"/>
    <w:rsid w:val="009E412C"/>
    <w:rsid w:val="009F1D15"/>
    <w:rsid w:val="009F20A9"/>
    <w:rsid w:val="009F4FD4"/>
    <w:rsid w:val="009F5D69"/>
    <w:rsid w:val="009F6D14"/>
    <w:rsid w:val="009F6E4E"/>
    <w:rsid w:val="009F727A"/>
    <w:rsid w:val="009F76EE"/>
    <w:rsid w:val="00A017C2"/>
    <w:rsid w:val="00A029F9"/>
    <w:rsid w:val="00A05663"/>
    <w:rsid w:val="00A05D21"/>
    <w:rsid w:val="00A06DF9"/>
    <w:rsid w:val="00A141B5"/>
    <w:rsid w:val="00A17C6E"/>
    <w:rsid w:val="00A218F7"/>
    <w:rsid w:val="00A21F68"/>
    <w:rsid w:val="00A23CBF"/>
    <w:rsid w:val="00A2737E"/>
    <w:rsid w:val="00A2765A"/>
    <w:rsid w:val="00A3343C"/>
    <w:rsid w:val="00A33973"/>
    <w:rsid w:val="00A41AAA"/>
    <w:rsid w:val="00A434E5"/>
    <w:rsid w:val="00A4393F"/>
    <w:rsid w:val="00A456B7"/>
    <w:rsid w:val="00A459DD"/>
    <w:rsid w:val="00A55F09"/>
    <w:rsid w:val="00A60E65"/>
    <w:rsid w:val="00A62448"/>
    <w:rsid w:val="00A66347"/>
    <w:rsid w:val="00A67F0A"/>
    <w:rsid w:val="00A700D2"/>
    <w:rsid w:val="00A7026F"/>
    <w:rsid w:val="00A73219"/>
    <w:rsid w:val="00A7382B"/>
    <w:rsid w:val="00A75F0C"/>
    <w:rsid w:val="00A760B4"/>
    <w:rsid w:val="00A800E2"/>
    <w:rsid w:val="00A82AF1"/>
    <w:rsid w:val="00A83FBC"/>
    <w:rsid w:val="00A8446C"/>
    <w:rsid w:val="00A8666E"/>
    <w:rsid w:val="00A923D6"/>
    <w:rsid w:val="00A93EDB"/>
    <w:rsid w:val="00A94B50"/>
    <w:rsid w:val="00A965D5"/>
    <w:rsid w:val="00AA05F2"/>
    <w:rsid w:val="00AA0FA8"/>
    <w:rsid w:val="00AA7387"/>
    <w:rsid w:val="00AA7E29"/>
    <w:rsid w:val="00AB03E6"/>
    <w:rsid w:val="00AB2FEC"/>
    <w:rsid w:val="00AB6279"/>
    <w:rsid w:val="00AC01D5"/>
    <w:rsid w:val="00AC0E13"/>
    <w:rsid w:val="00AC29DC"/>
    <w:rsid w:val="00AC7869"/>
    <w:rsid w:val="00AD220E"/>
    <w:rsid w:val="00AD30D1"/>
    <w:rsid w:val="00AD4452"/>
    <w:rsid w:val="00AD700E"/>
    <w:rsid w:val="00AE5B5E"/>
    <w:rsid w:val="00AE63A5"/>
    <w:rsid w:val="00AE6AF4"/>
    <w:rsid w:val="00AE7665"/>
    <w:rsid w:val="00AF1EF6"/>
    <w:rsid w:val="00AF4121"/>
    <w:rsid w:val="00AF447E"/>
    <w:rsid w:val="00B001BF"/>
    <w:rsid w:val="00B01676"/>
    <w:rsid w:val="00B03DBC"/>
    <w:rsid w:val="00B04466"/>
    <w:rsid w:val="00B10955"/>
    <w:rsid w:val="00B11FF8"/>
    <w:rsid w:val="00B135F6"/>
    <w:rsid w:val="00B145E5"/>
    <w:rsid w:val="00B1748B"/>
    <w:rsid w:val="00B215B9"/>
    <w:rsid w:val="00B32D57"/>
    <w:rsid w:val="00B343D2"/>
    <w:rsid w:val="00B34BC5"/>
    <w:rsid w:val="00B352E9"/>
    <w:rsid w:val="00B35E63"/>
    <w:rsid w:val="00B44947"/>
    <w:rsid w:val="00B4504B"/>
    <w:rsid w:val="00B45F34"/>
    <w:rsid w:val="00B4663B"/>
    <w:rsid w:val="00B47BDC"/>
    <w:rsid w:val="00B50190"/>
    <w:rsid w:val="00B52150"/>
    <w:rsid w:val="00B52F9D"/>
    <w:rsid w:val="00B55311"/>
    <w:rsid w:val="00B55888"/>
    <w:rsid w:val="00B62B0B"/>
    <w:rsid w:val="00B65894"/>
    <w:rsid w:val="00B65D82"/>
    <w:rsid w:val="00B66A9E"/>
    <w:rsid w:val="00B675B3"/>
    <w:rsid w:val="00B7001B"/>
    <w:rsid w:val="00B738ED"/>
    <w:rsid w:val="00B764FA"/>
    <w:rsid w:val="00B778EB"/>
    <w:rsid w:val="00B80BBE"/>
    <w:rsid w:val="00B82135"/>
    <w:rsid w:val="00B82ADA"/>
    <w:rsid w:val="00B83B1F"/>
    <w:rsid w:val="00B83DCB"/>
    <w:rsid w:val="00B9229A"/>
    <w:rsid w:val="00B9400C"/>
    <w:rsid w:val="00B94041"/>
    <w:rsid w:val="00B94A28"/>
    <w:rsid w:val="00B952BC"/>
    <w:rsid w:val="00B959A6"/>
    <w:rsid w:val="00BA59A9"/>
    <w:rsid w:val="00BA71AC"/>
    <w:rsid w:val="00BA7461"/>
    <w:rsid w:val="00BB1C1A"/>
    <w:rsid w:val="00BB1C59"/>
    <w:rsid w:val="00BB754B"/>
    <w:rsid w:val="00BC02E3"/>
    <w:rsid w:val="00BC0D75"/>
    <w:rsid w:val="00BC27D0"/>
    <w:rsid w:val="00BC6667"/>
    <w:rsid w:val="00BD17EA"/>
    <w:rsid w:val="00BD3AE0"/>
    <w:rsid w:val="00BD46CC"/>
    <w:rsid w:val="00BD5AB6"/>
    <w:rsid w:val="00BD6174"/>
    <w:rsid w:val="00BE27F2"/>
    <w:rsid w:val="00BE3340"/>
    <w:rsid w:val="00BF0293"/>
    <w:rsid w:val="00BF392F"/>
    <w:rsid w:val="00BF43C4"/>
    <w:rsid w:val="00C010B9"/>
    <w:rsid w:val="00C06740"/>
    <w:rsid w:val="00C06ED0"/>
    <w:rsid w:val="00C072BD"/>
    <w:rsid w:val="00C07663"/>
    <w:rsid w:val="00C15CA2"/>
    <w:rsid w:val="00C201C7"/>
    <w:rsid w:val="00C22533"/>
    <w:rsid w:val="00C228C0"/>
    <w:rsid w:val="00C233B2"/>
    <w:rsid w:val="00C26147"/>
    <w:rsid w:val="00C30E2D"/>
    <w:rsid w:val="00C34A1F"/>
    <w:rsid w:val="00C35B08"/>
    <w:rsid w:val="00C378B4"/>
    <w:rsid w:val="00C431AE"/>
    <w:rsid w:val="00C45760"/>
    <w:rsid w:val="00C46655"/>
    <w:rsid w:val="00C52D32"/>
    <w:rsid w:val="00C55C4E"/>
    <w:rsid w:val="00C57359"/>
    <w:rsid w:val="00C61DCB"/>
    <w:rsid w:val="00C64B1E"/>
    <w:rsid w:val="00C729FD"/>
    <w:rsid w:val="00C72CAD"/>
    <w:rsid w:val="00C806F9"/>
    <w:rsid w:val="00C82B76"/>
    <w:rsid w:val="00C86B0F"/>
    <w:rsid w:val="00C9180A"/>
    <w:rsid w:val="00CA072E"/>
    <w:rsid w:val="00CA1F4D"/>
    <w:rsid w:val="00CA4B1D"/>
    <w:rsid w:val="00CB0274"/>
    <w:rsid w:val="00CB0864"/>
    <w:rsid w:val="00CB3D78"/>
    <w:rsid w:val="00CB49D7"/>
    <w:rsid w:val="00CC3509"/>
    <w:rsid w:val="00CC432F"/>
    <w:rsid w:val="00CD30F6"/>
    <w:rsid w:val="00CE08BC"/>
    <w:rsid w:val="00CE141A"/>
    <w:rsid w:val="00CE4B53"/>
    <w:rsid w:val="00CE5A8E"/>
    <w:rsid w:val="00CF099C"/>
    <w:rsid w:val="00CF23F5"/>
    <w:rsid w:val="00D065AB"/>
    <w:rsid w:val="00D06D47"/>
    <w:rsid w:val="00D0762D"/>
    <w:rsid w:val="00D12046"/>
    <w:rsid w:val="00D1301A"/>
    <w:rsid w:val="00D13A78"/>
    <w:rsid w:val="00D14C8B"/>
    <w:rsid w:val="00D165F4"/>
    <w:rsid w:val="00D17FED"/>
    <w:rsid w:val="00D21C79"/>
    <w:rsid w:val="00D2269F"/>
    <w:rsid w:val="00D27A3B"/>
    <w:rsid w:val="00D322BD"/>
    <w:rsid w:val="00D358B4"/>
    <w:rsid w:val="00D35D67"/>
    <w:rsid w:val="00D36D52"/>
    <w:rsid w:val="00D37774"/>
    <w:rsid w:val="00D411E1"/>
    <w:rsid w:val="00D419E9"/>
    <w:rsid w:val="00D44FE1"/>
    <w:rsid w:val="00D519B6"/>
    <w:rsid w:val="00D522C6"/>
    <w:rsid w:val="00D52908"/>
    <w:rsid w:val="00D64FFD"/>
    <w:rsid w:val="00D65BDD"/>
    <w:rsid w:val="00D73747"/>
    <w:rsid w:val="00D75EB8"/>
    <w:rsid w:val="00D7606D"/>
    <w:rsid w:val="00D7781A"/>
    <w:rsid w:val="00D808D9"/>
    <w:rsid w:val="00D82BCE"/>
    <w:rsid w:val="00D87937"/>
    <w:rsid w:val="00D93788"/>
    <w:rsid w:val="00D93E3C"/>
    <w:rsid w:val="00D969C3"/>
    <w:rsid w:val="00DA00B6"/>
    <w:rsid w:val="00DA100A"/>
    <w:rsid w:val="00DA3B3B"/>
    <w:rsid w:val="00DB0448"/>
    <w:rsid w:val="00DB1AFC"/>
    <w:rsid w:val="00DB1D00"/>
    <w:rsid w:val="00DB207D"/>
    <w:rsid w:val="00DB236F"/>
    <w:rsid w:val="00DB3DA8"/>
    <w:rsid w:val="00DB4091"/>
    <w:rsid w:val="00DB48BD"/>
    <w:rsid w:val="00DB5FFB"/>
    <w:rsid w:val="00DC40E2"/>
    <w:rsid w:val="00DC5E47"/>
    <w:rsid w:val="00DC6ECF"/>
    <w:rsid w:val="00DD064A"/>
    <w:rsid w:val="00DD3A30"/>
    <w:rsid w:val="00DE0D86"/>
    <w:rsid w:val="00DE62EF"/>
    <w:rsid w:val="00E036C5"/>
    <w:rsid w:val="00E0443E"/>
    <w:rsid w:val="00E04465"/>
    <w:rsid w:val="00E06C9D"/>
    <w:rsid w:val="00E06EF0"/>
    <w:rsid w:val="00E076ED"/>
    <w:rsid w:val="00E0784E"/>
    <w:rsid w:val="00E12EDB"/>
    <w:rsid w:val="00E22B4E"/>
    <w:rsid w:val="00E23E0C"/>
    <w:rsid w:val="00E30453"/>
    <w:rsid w:val="00E326EE"/>
    <w:rsid w:val="00E329EF"/>
    <w:rsid w:val="00E40B39"/>
    <w:rsid w:val="00E43C38"/>
    <w:rsid w:val="00E4577F"/>
    <w:rsid w:val="00E5501B"/>
    <w:rsid w:val="00E612C5"/>
    <w:rsid w:val="00E62E9B"/>
    <w:rsid w:val="00E64A22"/>
    <w:rsid w:val="00E65467"/>
    <w:rsid w:val="00E65DB0"/>
    <w:rsid w:val="00E66F8E"/>
    <w:rsid w:val="00E71C8E"/>
    <w:rsid w:val="00E728F8"/>
    <w:rsid w:val="00E72E8F"/>
    <w:rsid w:val="00E75031"/>
    <w:rsid w:val="00E75B30"/>
    <w:rsid w:val="00E75CF0"/>
    <w:rsid w:val="00E76EAD"/>
    <w:rsid w:val="00E80956"/>
    <w:rsid w:val="00E82756"/>
    <w:rsid w:val="00E82AB0"/>
    <w:rsid w:val="00E86D11"/>
    <w:rsid w:val="00E87D87"/>
    <w:rsid w:val="00E90952"/>
    <w:rsid w:val="00E915AF"/>
    <w:rsid w:val="00E929A3"/>
    <w:rsid w:val="00E954F4"/>
    <w:rsid w:val="00E97169"/>
    <w:rsid w:val="00EA14E1"/>
    <w:rsid w:val="00EA212B"/>
    <w:rsid w:val="00EA3A2D"/>
    <w:rsid w:val="00EB41E8"/>
    <w:rsid w:val="00EB4304"/>
    <w:rsid w:val="00EB43D8"/>
    <w:rsid w:val="00EC0459"/>
    <w:rsid w:val="00EC24B1"/>
    <w:rsid w:val="00EC34A6"/>
    <w:rsid w:val="00EC3949"/>
    <w:rsid w:val="00EC48F6"/>
    <w:rsid w:val="00ED3FF2"/>
    <w:rsid w:val="00ED6749"/>
    <w:rsid w:val="00EE644D"/>
    <w:rsid w:val="00EE77A9"/>
    <w:rsid w:val="00EF5903"/>
    <w:rsid w:val="00F00829"/>
    <w:rsid w:val="00F052E9"/>
    <w:rsid w:val="00F10354"/>
    <w:rsid w:val="00F11DFA"/>
    <w:rsid w:val="00F15B55"/>
    <w:rsid w:val="00F1793B"/>
    <w:rsid w:val="00F234D4"/>
    <w:rsid w:val="00F242A7"/>
    <w:rsid w:val="00F24810"/>
    <w:rsid w:val="00F263B2"/>
    <w:rsid w:val="00F30EAE"/>
    <w:rsid w:val="00F31D05"/>
    <w:rsid w:val="00F326E8"/>
    <w:rsid w:val="00F34777"/>
    <w:rsid w:val="00F36780"/>
    <w:rsid w:val="00F412B8"/>
    <w:rsid w:val="00F5017C"/>
    <w:rsid w:val="00F5177C"/>
    <w:rsid w:val="00F539E0"/>
    <w:rsid w:val="00F54E1E"/>
    <w:rsid w:val="00F55FD9"/>
    <w:rsid w:val="00F61253"/>
    <w:rsid w:val="00F67EE2"/>
    <w:rsid w:val="00F75E8A"/>
    <w:rsid w:val="00F776BF"/>
    <w:rsid w:val="00F77AF4"/>
    <w:rsid w:val="00F83603"/>
    <w:rsid w:val="00F925D0"/>
    <w:rsid w:val="00F934A0"/>
    <w:rsid w:val="00F93518"/>
    <w:rsid w:val="00F93809"/>
    <w:rsid w:val="00FA00B6"/>
    <w:rsid w:val="00FA0A7B"/>
    <w:rsid w:val="00FA23CD"/>
    <w:rsid w:val="00FA6C37"/>
    <w:rsid w:val="00FA7FE6"/>
    <w:rsid w:val="00FB7105"/>
    <w:rsid w:val="00FC01A7"/>
    <w:rsid w:val="00FC0BD2"/>
    <w:rsid w:val="00FC27EB"/>
    <w:rsid w:val="00FC40D1"/>
    <w:rsid w:val="00FC5A67"/>
    <w:rsid w:val="00FC6BF0"/>
    <w:rsid w:val="00FD0EA3"/>
    <w:rsid w:val="00FE0FBB"/>
    <w:rsid w:val="00FE2407"/>
    <w:rsid w:val="00FE454B"/>
    <w:rsid w:val="00FE4B4E"/>
    <w:rsid w:val="00FE5084"/>
    <w:rsid w:val="00FF6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813703-EF8D-4EC1-876F-5CE892F52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5A67"/>
    <w:pPr>
      <w:spacing w:after="160" w:line="259" w:lineRule="auto"/>
    </w:pPr>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FC5A67"/>
    <w:pPr>
      <w:spacing w:after="0" w:line="240" w:lineRule="auto"/>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FC5A6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C5A67"/>
    <w:rPr>
      <w:rFonts w:ascii="Tahoma" w:hAnsi="Tahoma" w:cs="Tahoma"/>
      <w:sz w:val="16"/>
      <w:szCs w:val="16"/>
      <w:lang w:val="en-GB"/>
    </w:rPr>
  </w:style>
  <w:style w:type="paragraph" w:styleId="Akapitzlist">
    <w:name w:val="List Paragraph"/>
    <w:basedOn w:val="Normalny"/>
    <w:uiPriority w:val="34"/>
    <w:qFormat/>
    <w:rsid w:val="00221C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2967/jnumed.118.224055" TargetMode="External"/><Relationship Id="rId12" Type="http://schemas.openxmlformats.org/officeDocument/2006/relationships/image" Target="media/image5.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bmed.ncbi.nlm.nih.gov/?sort=date&amp;term=Bieth+M&amp;cauthor_id=30850484" TargetMode="External"/><Relationship Id="rId11" Type="http://schemas.openxmlformats.org/officeDocument/2006/relationships/image" Target="media/image4.tiff"/><Relationship Id="rId5" Type="http://schemas.openxmlformats.org/officeDocument/2006/relationships/hyperlink" Target="https://pubmed.ncbi.nlm.nih.gov/?sort=date&amp;term=Gafita+A&amp;cauthor_id=30850484" TargetMode="Externa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649</Words>
  <Characters>3899</Characters>
  <Application>Microsoft Office Word</Application>
  <DocSecurity>0</DocSecurity>
  <Lines>32</Lines>
  <Paragraphs>9</Paragraphs>
  <ScaleCrop>false</ScaleCrop>
  <Company/>
  <LinksUpToDate>false</LinksUpToDate>
  <CharactersWithSpaces>4539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E749633</dc:creator>
  <cp:lastModifiedBy>Wojciech Cytawa</cp:lastModifiedBy>
  <cp:revision>4</cp:revision>
  <dcterms:created xsi:type="dcterms:W3CDTF">2023-07-03T13:57:00Z</dcterms:created>
  <dcterms:modified xsi:type="dcterms:W3CDTF">2023-07-18T12:29:00Z</dcterms:modified>
</cp:coreProperties>
</file>