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Arial" w:hAnsi="Arial" w:cs="Arial"/>
          <w:b/>
          <w:sz w:val="40"/>
          <w:lang w:val="en-GB"/>
        </w:rPr>
      </w:pPr>
      <w:bookmarkStart w:id="0" w:name="_GoBack"/>
      <w:bookmarkEnd w:id="0"/>
      <w:r>
        <w:rPr>
          <w:rFonts w:ascii="Arial" w:hAnsi="Arial" w:cs="Arial"/>
          <w:b/>
          <w:sz w:val="40"/>
          <w:lang w:val="en-GB"/>
        </w:rPr>
        <w:t>Supplementary Material</w:t>
      </w:r>
    </w:p>
    <w:p>
      <w:pPr>
        <w:rPr>
          <w:lang w:val="en-GB"/>
        </w:rPr>
      </w:pPr>
    </w:p>
    <w:p>
      <w:pPr>
        <w:spacing w:after="0" w:line="240" w:lineRule="auto"/>
        <w:rPr>
          <w:rFonts w:ascii="Arial" w:eastAsia="Times New Roman" w:hAnsi="Arial" w:cs="Arial"/>
          <w:bCs/>
          <w:kern w:val="24"/>
          <w:lang w:val="en-GB" w:eastAsia="en-GB"/>
        </w:rPr>
      </w:pPr>
      <w:r>
        <w:rPr>
          <w:rFonts w:ascii="Arial" w:hAnsi="Arial" w:cs="Arial"/>
          <w:b/>
          <w:u w:val="single"/>
          <w:lang w:val="en-GB"/>
        </w:rPr>
        <w:t xml:space="preserve">Table 1: </w:t>
      </w:r>
      <w:r>
        <w:rPr>
          <w:rFonts w:ascii="Arial" w:hAnsi="Arial" w:cs="Arial"/>
          <w:lang w:val="en-GB"/>
        </w:rPr>
        <w:tab/>
      </w:r>
      <w:r>
        <w:rPr>
          <w:rFonts w:ascii="Arial" w:eastAsia="Times New Roman" w:hAnsi="Arial" w:cs="Arial"/>
          <w:bCs/>
          <w:kern w:val="24"/>
          <w:lang w:val="en-GB" w:eastAsia="en-GB"/>
        </w:rPr>
        <w:t>Patients` characteristics (sex, height, weight, BMI, age and applied activity) of 108 included patients receiving [</w:t>
      </w:r>
      <w:r>
        <w:rPr>
          <w:rFonts w:ascii="Arial" w:eastAsia="Times New Roman" w:hAnsi="Arial" w:cs="Arial"/>
          <w:bCs/>
          <w:kern w:val="24"/>
          <w:vertAlign w:val="superscript"/>
          <w:lang w:val="en-GB" w:eastAsia="en-GB"/>
        </w:rPr>
        <w:t>68</w:t>
      </w:r>
      <w:r>
        <w:rPr>
          <w:rFonts w:ascii="Arial" w:eastAsia="Times New Roman" w:hAnsi="Arial" w:cs="Arial"/>
          <w:bCs/>
          <w:kern w:val="24"/>
          <w:lang w:val="en-GB" w:eastAsia="en-GB"/>
        </w:rPr>
        <w:t>Ga</w:t>
      </w:r>
      <w:proofErr w:type="gramStart"/>
      <w:r>
        <w:rPr>
          <w:rFonts w:ascii="Arial" w:eastAsia="Times New Roman" w:hAnsi="Arial" w:cs="Arial"/>
          <w:bCs/>
          <w:kern w:val="24"/>
          <w:lang w:val="en-GB" w:eastAsia="en-GB"/>
        </w:rPr>
        <w:t>]Ga</w:t>
      </w:r>
      <w:proofErr w:type="gramEnd"/>
      <w:r>
        <w:rPr>
          <w:rFonts w:ascii="Arial" w:eastAsia="Times New Roman" w:hAnsi="Arial" w:cs="Arial"/>
          <w:bCs/>
          <w:kern w:val="24"/>
          <w:lang w:val="en-GB" w:eastAsia="en-GB"/>
        </w:rPr>
        <w:t>-DOTA-TOC PET/CT are outlined. Additionally primary tumour location, tumour stage and treatment are given.</w:t>
      </w:r>
    </w:p>
    <w:p>
      <w:pPr>
        <w:spacing w:after="0" w:line="240" w:lineRule="auto"/>
        <w:rPr>
          <w:rFonts w:ascii="Arial" w:eastAsia="Times New Roman" w:hAnsi="Arial" w:cs="Arial"/>
          <w:b/>
          <w:bCs/>
          <w:kern w:val="24"/>
          <w:sz w:val="20"/>
          <w:lang w:val="en-GB" w:eastAsia="en-GB"/>
        </w:rPr>
      </w:pPr>
    </w:p>
    <w:tbl>
      <w:tblPr>
        <w:tblStyle w:val="EinfacheTabel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1274"/>
        <w:gridCol w:w="1343"/>
        <w:gridCol w:w="1406"/>
        <w:gridCol w:w="1026"/>
        <w:gridCol w:w="1134"/>
        <w:gridCol w:w="1986"/>
        <w:gridCol w:w="1983"/>
        <w:gridCol w:w="280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tcBorders>
              <w:bottom w:val="single" w:sz="4" w:space="0" w:color="auto"/>
            </w:tcBorders>
          </w:tcPr>
          <w:p>
            <w:pPr>
              <w:spacing w:before="120" w:after="120"/>
              <w:rPr>
                <w:rFonts w:ascii="Arial" w:eastAsia="Times New Roman" w:hAnsi="Arial" w:cs="Arial"/>
                <w:bCs w:val="0"/>
                <w:kern w:val="24"/>
                <w:lang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eastAsia="en-GB"/>
              </w:rPr>
              <w:t>Sex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 xml:space="preserve">Height </w:t>
            </w: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br/>
              <w:t>[cm]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 xml:space="preserve">Weight </w:t>
            </w: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br/>
              <w:t>[kg]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 xml:space="preserve">BMI </w:t>
            </w: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br/>
              <w:t>[kg/m</w:t>
            </w:r>
            <w:r>
              <w:rPr>
                <w:rFonts w:ascii="Arial" w:eastAsia="Times New Roman" w:hAnsi="Arial" w:cs="Arial"/>
                <w:bCs w:val="0"/>
                <w:kern w:val="24"/>
                <w:vertAlign w:val="superscript"/>
                <w:lang w:val="en-GB" w:eastAsia="en-GB"/>
              </w:rPr>
              <w:t>2</w:t>
            </w: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>]</w:t>
            </w:r>
          </w:p>
        </w:tc>
        <w:tc>
          <w:tcPr>
            <w:tcW w:w="359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>Age</w:t>
            </w: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br/>
              <w:t>[years]</w:t>
            </w:r>
          </w:p>
        </w:tc>
        <w:tc>
          <w:tcPr>
            <w:tcW w:w="397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>Activity [</w:t>
            </w:r>
            <w:proofErr w:type="spellStart"/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>MBq</w:t>
            </w:r>
            <w:proofErr w:type="spellEnd"/>
            <w:r>
              <w:rPr>
                <w:rFonts w:ascii="Arial" w:eastAsia="Times New Roman" w:hAnsi="Arial" w:cs="Arial"/>
                <w:bCs w:val="0"/>
                <w:kern w:val="24"/>
                <w:lang w:val="en-GB" w:eastAsia="en-GB"/>
              </w:rPr>
              <w:t>]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kern w:val="24"/>
                <w:lang w:val="en-GB" w:eastAsia="en-GB"/>
              </w:rPr>
              <w:t>Primary tumour location</w:t>
            </w:r>
          </w:p>
        </w:tc>
        <w:tc>
          <w:tcPr>
            <w:tcW w:w="694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kern w:val="24"/>
                <w:lang w:val="en-GB" w:eastAsia="en-GB"/>
              </w:rPr>
              <w:t>Tumour stage</w:t>
            </w:r>
          </w:p>
        </w:tc>
        <w:tc>
          <w:tcPr>
            <w:tcW w:w="982" w:type="pct"/>
            <w:tcBorders>
              <w:bottom w:val="single" w:sz="4" w:space="0" w:color="auto"/>
            </w:tcBorders>
          </w:tcPr>
          <w:p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24"/>
                <w:lang w:val="en-GB" w:eastAsia="en-GB"/>
              </w:rPr>
            </w:pPr>
            <w:r>
              <w:rPr>
                <w:rFonts w:ascii="Arial" w:eastAsia="Times New Roman" w:hAnsi="Arial" w:cs="Arial"/>
                <w:kern w:val="24"/>
                <w:lang w:val="en-GB" w:eastAsia="en-GB"/>
              </w:rPr>
              <w:t>Treatment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tcBorders>
              <w:top w:val="single" w:sz="4" w:space="0" w:color="auto"/>
            </w:tcBorders>
          </w:tcPr>
          <w:p>
            <w:pPr>
              <w:spacing w:before="120" w:after="120"/>
              <w:rPr>
                <w:rFonts w:ascii="Arial" w:eastAsia="Times New Roman" w:hAnsi="Arial" w:cs="Arial"/>
                <w:b w:val="0"/>
                <w:bCs w:val="0"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 w:val="0"/>
                <w:bCs w:val="0"/>
                <w:kern w:val="24"/>
                <w:sz w:val="20"/>
                <w:lang w:val="en-GB" w:eastAsia="en-GB"/>
              </w:rPr>
              <w:t>Male: 67</w:t>
            </w:r>
          </w:p>
          <w:p>
            <w:pPr>
              <w:spacing w:before="120" w:after="120"/>
              <w:rPr>
                <w:rFonts w:ascii="Arial" w:eastAsia="Times New Roman" w:hAnsi="Arial" w:cs="Arial"/>
                <w:b w:val="0"/>
                <w:bCs w:val="0"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 w:val="0"/>
                <w:bCs w:val="0"/>
                <w:kern w:val="24"/>
                <w:sz w:val="20"/>
                <w:lang w:val="en-GB" w:eastAsia="en-GB"/>
              </w:rPr>
              <w:t>Female: 41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172 (148-184)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75.5 (39-122)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25.8±5.6</w:t>
            </w:r>
          </w:p>
        </w:tc>
        <w:tc>
          <w:tcPr>
            <w:tcW w:w="359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64±15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152.2±9.2</w:t>
            </w:r>
          </w:p>
        </w:tc>
        <w:tc>
          <w:tcPr>
            <w:tcW w:w="695" w:type="pct"/>
            <w:tcBorders>
              <w:top w:val="single" w:sz="4" w:space="0" w:color="auto"/>
            </w:tcBorders>
          </w:tcPr>
          <w:p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Gastrointestinal: 74</w:t>
            </w:r>
          </w:p>
          <w:p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  <w:t>(Stomach/Ileum/Colon)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Pancreas: 20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Paraganglioma</w:t>
            </w:r>
            <w:proofErr w:type="spellEnd"/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: 5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Lung: 3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Testicular: 1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Medullary thyroid cancer: 2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Unknown: 3</w:t>
            </w:r>
          </w:p>
        </w:tc>
        <w:tc>
          <w:tcPr>
            <w:tcW w:w="694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Metastases: 99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No metastases: 9</w:t>
            </w:r>
          </w:p>
        </w:tc>
        <w:tc>
          <w:tcPr>
            <w:tcW w:w="982" w:type="pct"/>
            <w:tcBorders>
              <w:top w:val="single" w:sz="4" w:space="0" w:color="auto"/>
            </w:tcBorders>
          </w:tcPr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No treatment: 11</w:t>
            </w:r>
          </w:p>
          <w:p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Somatostatin analogue : 97</w:t>
            </w: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br/>
            </w:r>
            <w:r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  <w:t xml:space="preserve">(e.g. </w:t>
            </w:r>
            <w:proofErr w:type="spellStart"/>
            <w:r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  <w:t>lanreotide</w:t>
            </w:r>
            <w:proofErr w:type="spellEnd"/>
            <w:r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  <w:t>)</w:t>
            </w:r>
          </w:p>
          <w:p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  <w:t>PRRT: 4</w:t>
            </w:r>
          </w:p>
          <w:p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kern w:val="24"/>
                <w:sz w:val="20"/>
                <w:lang w:val="en-GB" w:eastAsia="en-GB"/>
              </w:rPr>
            </w:pPr>
            <w:r>
              <w:rPr>
                <w:rFonts w:ascii="Arial" w:eastAsia="Times New Roman" w:hAnsi="Arial" w:cs="Arial"/>
                <w:bCs/>
                <w:kern w:val="24"/>
                <w:sz w:val="14"/>
                <w:szCs w:val="14"/>
                <w:lang w:val="en-GB" w:eastAsia="en-GB"/>
              </w:rPr>
              <w:t>(Pancreas: 2; Ileum: 2)</w:t>
            </w:r>
          </w:p>
        </w:tc>
      </w:tr>
    </w:tbl>
    <w:p>
      <w:pPr>
        <w:spacing w:after="0" w:line="240" w:lineRule="auto"/>
        <w:rPr>
          <w:rFonts w:ascii="Arial" w:eastAsia="Times New Roman" w:hAnsi="Arial" w:cs="Arial"/>
          <w:b/>
          <w:bCs/>
          <w:kern w:val="24"/>
          <w:sz w:val="20"/>
          <w:lang w:val="en-GB" w:eastAsia="en-GB"/>
        </w:rPr>
      </w:pPr>
    </w:p>
    <w:p>
      <w:pPr>
        <w:rPr>
          <w:rFonts w:ascii="Arial" w:eastAsia="Times New Roman" w:hAnsi="Arial" w:cs="Arial"/>
          <w:b/>
          <w:bCs/>
          <w:kern w:val="24"/>
          <w:sz w:val="20"/>
          <w:lang w:val="en-GB" w:eastAsia="en-GB"/>
        </w:rPr>
      </w:pPr>
    </w:p>
    <w:p>
      <w:pPr>
        <w:spacing w:after="0" w:line="240" w:lineRule="auto"/>
        <w:rPr>
          <w:rFonts w:ascii="Arial" w:eastAsia="Times New Roman" w:hAnsi="Arial" w:cs="Arial"/>
          <w:b/>
          <w:bCs/>
          <w:kern w:val="24"/>
          <w:sz w:val="20"/>
          <w:lang w:val="en-GB" w:eastAsia="en-GB"/>
        </w:rPr>
        <w:sectPr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Arial" w:eastAsia="Times New Roman" w:hAnsi="Arial" w:cs="Arial"/>
          <w:b/>
          <w:bCs/>
          <w:kern w:val="24"/>
          <w:sz w:val="20"/>
          <w:lang w:val="en-GB" w:eastAsia="en-GB"/>
        </w:rPr>
      </w:pPr>
    </w:p>
    <w:p>
      <w:pPr>
        <w:spacing w:line="360" w:lineRule="auto"/>
        <w:contextualSpacing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2743200" cy="2607256"/>
            <wp:effectExtent l="0" t="0" r="0" b="3175"/>
            <wp:docPr id="2" name="Grafik 2" descr="\\FILER300\USERS3003\I0327695\Documents\2022 - Forschung\007 - DOTATOC Herz\JNM\Supplementary Material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ILER300\USERS3003\I0327695\Documents\2022 - Forschung\007 - DOTATOC Herz\JNM\Supplementary Material Figur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930" cy="260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eschriftung"/>
        <w:jc w:val="both"/>
        <w:rPr>
          <w:color w:val="auto"/>
          <w:lang w:val="en-US"/>
        </w:rPr>
      </w:pPr>
      <w:bookmarkStart w:id="1" w:name="_Ref42096723"/>
      <w:r>
        <w:rPr>
          <w:b/>
          <w:color w:val="auto"/>
          <w:u w:val="single"/>
          <w:lang w:val="en-US"/>
        </w:rPr>
        <w:t xml:space="preserve">Figure </w:t>
      </w:r>
      <w:bookmarkEnd w:id="1"/>
      <w:proofErr w:type="gramStart"/>
      <w:r>
        <w:rPr>
          <w:b/>
          <w:color w:val="auto"/>
          <w:u w:val="single"/>
          <w:lang w:val="en-US"/>
        </w:rPr>
        <w:t>1</w:t>
      </w:r>
      <w:proofErr w:type="gramEnd"/>
      <w:r>
        <w:rPr>
          <w:color w:val="auto"/>
          <w:lang w:val="en-US"/>
        </w:rPr>
        <w:tab/>
      </w:r>
      <w:proofErr w:type="spellStart"/>
      <w:r>
        <w:rPr>
          <w:color w:val="auto"/>
          <w:lang w:val="en-US"/>
        </w:rPr>
        <w:t>SUV</w:t>
      </w:r>
      <w:r>
        <w:rPr>
          <w:color w:val="auto"/>
          <w:vertAlign w:val="subscript"/>
          <w:lang w:val="en-US"/>
        </w:rPr>
        <w:t>max</w:t>
      </w:r>
      <w:proofErr w:type="spellEnd"/>
      <w:r>
        <w:rPr>
          <w:color w:val="auto"/>
          <w:lang w:val="en-US"/>
        </w:rPr>
        <w:t xml:space="preserve"> in calcified coronary artery plaques per affected vessel. </w:t>
      </w:r>
    </w:p>
    <w:p>
      <w:pPr>
        <w:pStyle w:val="Beschriftung"/>
        <w:jc w:val="both"/>
        <w:rPr>
          <w:rFonts w:cs="Arial"/>
          <w:lang w:val="en-US"/>
        </w:rPr>
      </w:pPr>
      <w:r>
        <w:rPr>
          <w:color w:val="auto"/>
          <w:lang w:val="en-US"/>
        </w:rPr>
        <w:t>LM: left main; LAD: left anterior descending, RCX: left circumflex artery; RCA: right coronary artery</w:t>
      </w:r>
    </w:p>
    <w:p>
      <w:pPr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5760720" cy="7644363"/>
            <wp:effectExtent l="0" t="0" r="0" b="0"/>
            <wp:docPr id="1" name="Grafik 1" descr="\\FILER300\USERS3003\I0327695\Documents\2022 - Forschung\007 - DOTATOC Herz\JNM\Supplementary Material Fig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R300\USERS3003\I0327695\Documents\2022 - Forschung\007 - DOTATOC Herz\JNM\Supplementary Material Figur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20" w:line="240" w:lineRule="auto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Figure </w:t>
      </w:r>
      <w:proofErr w:type="gramStart"/>
      <w:r>
        <w:rPr>
          <w:rFonts w:ascii="Arial" w:hAnsi="Arial" w:cs="Arial"/>
          <w:b/>
          <w:u w:val="single"/>
          <w:lang w:val="en-GB"/>
        </w:rPr>
        <w:t>2</w:t>
      </w:r>
      <w:proofErr w:type="gram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sz w:val="20"/>
          <w:lang w:val="en-GB"/>
        </w:rPr>
        <w:t xml:space="preserve">Linear correlation of Calcium Score and </w:t>
      </w:r>
      <w:proofErr w:type="spellStart"/>
      <w:r>
        <w:rPr>
          <w:rFonts w:ascii="Arial" w:hAnsi="Arial" w:cs="Arial"/>
          <w:sz w:val="20"/>
          <w:lang w:val="en-GB"/>
        </w:rPr>
        <w:t>SUV</w:t>
      </w:r>
      <w:r>
        <w:rPr>
          <w:rFonts w:ascii="Arial" w:hAnsi="Arial" w:cs="Arial"/>
          <w:sz w:val="20"/>
          <w:vertAlign w:val="subscript"/>
          <w:lang w:val="en-GB"/>
        </w:rPr>
        <w:t>max</w:t>
      </w:r>
      <w:proofErr w:type="spellEnd"/>
    </w:p>
    <w:p>
      <w:pPr>
        <w:spacing w:after="0" w:line="240" w:lineRule="auto"/>
        <w:contextualSpacing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Indicated are the linear regression models (best fit and standard deviations) of LM (A), LCX (B) and RCA (C) Calcium Score to </w:t>
      </w:r>
      <w:proofErr w:type="spellStart"/>
      <w:r>
        <w:rPr>
          <w:rFonts w:ascii="Arial" w:hAnsi="Arial" w:cs="Arial"/>
          <w:sz w:val="20"/>
          <w:lang w:val="en-GB"/>
        </w:rPr>
        <w:t>SUV</w:t>
      </w:r>
      <w:r>
        <w:rPr>
          <w:rFonts w:ascii="Arial" w:hAnsi="Arial" w:cs="Arial"/>
          <w:sz w:val="20"/>
          <w:vertAlign w:val="subscript"/>
          <w:lang w:val="en-GB"/>
        </w:rPr>
        <w:t>max</w:t>
      </w:r>
      <w:proofErr w:type="spellEnd"/>
      <w:r>
        <w:rPr>
          <w:rFonts w:ascii="Arial" w:hAnsi="Arial" w:cs="Arial"/>
          <w:sz w:val="20"/>
          <w:vertAlign w:val="subscript"/>
          <w:lang w:val="en-GB"/>
        </w:rPr>
        <w:t xml:space="preserve"> </w:t>
      </w:r>
      <w:r>
        <w:rPr>
          <w:rFonts w:ascii="Arial" w:hAnsi="Arial" w:cs="Arial"/>
          <w:sz w:val="20"/>
          <w:lang w:val="en-GB"/>
        </w:rPr>
        <w:t xml:space="preserve">; p-values are given. </w:t>
      </w:r>
    </w:p>
    <w:p>
      <w:pPr>
        <w:rPr>
          <w:rFonts w:ascii="Arial" w:hAnsi="Arial" w:cs="Arial"/>
          <w:lang w:val="en-GB"/>
        </w:rPr>
      </w:pP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F807D95-849A-4D35-BB02-B4FF0C64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rFonts w:ascii="Arial" w:eastAsiaTheme="minorHAnsi" w:hAnsi="Arial"/>
      <w:iCs/>
      <w:color w:val="44546A" w:themeColor="text2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INSELGRUPPE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Mingels, Clemens</dc:creator>
  <cp:keywords/>
  <dc:description/>
  <cp:lastModifiedBy>SYSTEM</cp:lastModifiedBy>
  <cp:revision>9</cp:revision>
  <dcterms:created xsi:type="dcterms:W3CDTF">2023-08-17T08:03:00Z</dcterms:created>
  <dcterms:modified xsi:type="dcterms:W3CDTF">2023-09-12T07:15:00Z</dcterms:modified>
</cp:coreProperties>
</file>