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22EF3" w14:textId="77777777" w:rsidR="00D14EA9" w:rsidRDefault="0037032F" w:rsidP="00D14EA9">
      <w:pPr>
        <w:spacing w:after="160" w:line="240" w:lineRule="auto"/>
        <w:contextualSpacing/>
        <w:rPr>
          <w:b/>
          <w:i/>
          <w:color w:val="000000" w:themeColor="text1"/>
          <w:sz w:val="20"/>
          <w:szCs w:val="20"/>
          <w:lang w:val="en-US"/>
        </w:rPr>
      </w:pPr>
      <w:r w:rsidRPr="0037032F">
        <w:rPr>
          <w:b/>
          <w:iCs/>
          <w:color w:val="000000" w:themeColor="text1"/>
          <w:sz w:val="20"/>
          <w:szCs w:val="20"/>
          <w:lang w:val="en-US"/>
        </w:rPr>
        <w:t>Diagnostic accuracy of</w:t>
      </w:r>
      <w:r w:rsidRPr="0037032F">
        <w:rPr>
          <w:b/>
          <w:i/>
          <w:color w:val="000000" w:themeColor="text1"/>
          <w:sz w:val="20"/>
          <w:szCs w:val="20"/>
          <w:lang w:val="en-US"/>
        </w:rPr>
        <w:t xml:space="preserve"> anti</w:t>
      </w:r>
      <w:r w:rsidRPr="0037032F">
        <w:rPr>
          <w:b/>
          <w:color w:val="000000" w:themeColor="text1"/>
          <w:sz w:val="20"/>
          <w:szCs w:val="20"/>
          <w:lang w:val="en-US"/>
        </w:rPr>
        <w:t>-3-[</w:t>
      </w:r>
      <w:r w:rsidRPr="0037032F">
        <w:rPr>
          <w:b/>
          <w:color w:val="000000" w:themeColor="text1"/>
          <w:sz w:val="20"/>
          <w:szCs w:val="20"/>
          <w:vertAlign w:val="superscript"/>
          <w:lang w:val="en-US"/>
        </w:rPr>
        <w:t>18</w:t>
      </w:r>
      <w:r w:rsidRPr="0037032F">
        <w:rPr>
          <w:b/>
          <w:color w:val="000000" w:themeColor="text1"/>
          <w:sz w:val="20"/>
          <w:szCs w:val="20"/>
          <w:lang w:val="en-US"/>
        </w:rPr>
        <w:t>F]-FACBC PET/MRI in gliomas</w:t>
      </w:r>
    </w:p>
    <w:p w14:paraId="5F608E26" w14:textId="3CC83E75" w:rsidR="00D14EA9" w:rsidRPr="00D14EA9" w:rsidRDefault="0037032F" w:rsidP="00D14EA9">
      <w:pPr>
        <w:spacing w:after="160" w:line="240" w:lineRule="auto"/>
        <w:contextualSpacing/>
        <w:rPr>
          <w:b/>
          <w:i/>
          <w:color w:val="000000" w:themeColor="text1"/>
          <w:sz w:val="20"/>
          <w:szCs w:val="20"/>
          <w:lang w:val="en-US"/>
        </w:rPr>
      </w:pPr>
      <w:r w:rsidRPr="0037032F">
        <w:rPr>
          <w:bCs/>
          <w:i/>
          <w:color w:val="000000" w:themeColor="text1"/>
          <w:sz w:val="20"/>
          <w:szCs w:val="20"/>
          <w:lang w:val="en-US"/>
        </w:rPr>
        <w:t>European Journal of Nuclear Medicine and Molecular Imaging</w:t>
      </w:r>
    </w:p>
    <w:p w14:paraId="5ECF0181" w14:textId="4DDFD1C8" w:rsidR="0037032F" w:rsidRPr="00D14EA9" w:rsidRDefault="0037032F" w:rsidP="00D14EA9">
      <w:pPr>
        <w:spacing w:after="160" w:line="240" w:lineRule="auto"/>
        <w:contextualSpacing/>
        <w:rPr>
          <w:bCs/>
          <w:i/>
          <w:color w:val="000000" w:themeColor="text1"/>
          <w:sz w:val="20"/>
          <w:szCs w:val="20"/>
        </w:rPr>
      </w:pPr>
      <w:r w:rsidRPr="00D14EA9">
        <w:rPr>
          <w:color w:val="000000" w:themeColor="text1"/>
          <w:sz w:val="20"/>
          <w:szCs w:val="20"/>
          <w:u w:val="single"/>
        </w:rPr>
        <w:t>Authors:</w:t>
      </w:r>
      <w:r w:rsidRPr="0037032F">
        <w:rPr>
          <w:color w:val="000000" w:themeColor="text1"/>
          <w:sz w:val="20"/>
          <w:szCs w:val="20"/>
        </w:rPr>
        <w:t xml:space="preserve"> Anna Karlberg,</w:t>
      </w:r>
      <w:r w:rsidRPr="00A878AF">
        <w:rPr>
          <w:color w:val="000000" w:themeColor="text1"/>
          <w:sz w:val="20"/>
          <w:szCs w:val="20"/>
        </w:rPr>
        <w:t xml:space="preserve"> Lars Kjelsberg Pedersen</w:t>
      </w:r>
      <w:r w:rsidRPr="0037032F">
        <w:rPr>
          <w:color w:val="000000" w:themeColor="text1"/>
          <w:sz w:val="20"/>
          <w:szCs w:val="20"/>
        </w:rPr>
        <w:t>,</w:t>
      </w:r>
      <w:r w:rsidRPr="00A878AF">
        <w:rPr>
          <w:color w:val="000000" w:themeColor="text1"/>
          <w:sz w:val="20"/>
          <w:szCs w:val="20"/>
        </w:rPr>
        <w:t xml:space="preserve"> Benedikte Emilie Vindstad, Anne Jarstein Skjulsvik, Håkon Johansen,</w:t>
      </w:r>
      <w:r>
        <w:rPr>
          <w:color w:val="000000" w:themeColor="text1"/>
          <w:sz w:val="20"/>
          <w:szCs w:val="20"/>
        </w:rPr>
        <w:t xml:space="preserve"> </w:t>
      </w:r>
      <w:r w:rsidRPr="00A878AF">
        <w:rPr>
          <w:color w:val="000000" w:themeColor="text1"/>
          <w:sz w:val="20"/>
          <w:szCs w:val="20"/>
        </w:rPr>
        <w:t xml:space="preserve">Ole Solheim, </w:t>
      </w:r>
      <w:r w:rsidRPr="00995E27">
        <w:rPr>
          <w:color w:val="000000" w:themeColor="text1"/>
          <w:sz w:val="20"/>
          <w:szCs w:val="20"/>
        </w:rPr>
        <w:t xml:space="preserve">Karoline Skogen, Kjell Arne Kvistad, </w:t>
      </w:r>
      <w:r w:rsidRPr="00A878AF">
        <w:rPr>
          <w:color w:val="000000" w:themeColor="text1"/>
          <w:sz w:val="20"/>
          <w:szCs w:val="20"/>
        </w:rPr>
        <w:t xml:space="preserve">Trond Velde </w:t>
      </w:r>
      <w:proofErr w:type="spellStart"/>
      <w:r w:rsidRPr="00A878AF">
        <w:rPr>
          <w:color w:val="000000" w:themeColor="text1"/>
          <w:sz w:val="20"/>
          <w:szCs w:val="20"/>
        </w:rPr>
        <w:t>Bogsrud</w:t>
      </w:r>
      <w:proofErr w:type="spellEnd"/>
      <w:r w:rsidRPr="00A878AF">
        <w:rPr>
          <w:color w:val="000000" w:themeColor="text1"/>
          <w:sz w:val="20"/>
          <w:szCs w:val="20"/>
        </w:rPr>
        <w:t xml:space="preserve">, </w:t>
      </w:r>
      <w:r w:rsidRPr="001A5F17">
        <w:rPr>
          <w:color w:val="000000" w:themeColor="text1"/>
          <w:sz w:val="20"/>
          <w:szCs w:val="20"/>
        </w:rPr>
        <w:t xml:space="preserve">Kristin Smistad </w:t>
      </w:r>
      <w:proofErr w:type="spellStart"/>
      <w:r w:rsidRPr="001A5F17">
        <w:rPr>
          <w:color w:val="000000" w:themeColor="text1"/>
          <w:sz w:val="20"/>
          <w:szCs w:val="20"/>
        </w:rPr>
        <w:t>Myrmel</w:t>
      </w:r>
      <w:proofErr w:type="spellEnd"/>
      <w:r w:rsidRPr="00165E11">
        <w:rPr>
          <w:color w:val="000000" w:themeColor="text1"/>
          <w:sz w:val="20"/>
          <w:szCs w:val="20"/>
        </w:rPr>
        <w:t>,</w:t>
      </w:r>
      <w:r>
        <w:rPr>
          <w:color w:val="000000" w:themeColor="text1"/>
          <w:sz w:val="20"/>
          <w:szCs w:val="20"/>
        </w:rPr>
        <w:t xml:space="preserve"> </w:t>
      </w:r>
      <w:r w:rsidRPr="009F7F78">
        <w:rPr>
          <w:color w:val="000000" w:themeColor="text1"/>
          <w:sz w:val="20"/>
          <w:szCs w:val="20"/>
        </w:rPr>
        <w:t xml:space="preserve">Guro F. </w:t>
      </w:r>
      <w:proofErr w:type="spellStart"/>
      <w:r w:rsidRPr="009F7F78">
        <w:rPr>
          <w:color w:val="000000" w:themeColor="text1"/>
          <w:sz w:val="20"/>
          <w:szCs w:val="20"/>
        </w:rPr>
        <w:t>Giskeødegård</w:t>
      </w:r>
      <w:proofErr w:type="spellEnd"/>
      <w:r w:rsidRPr="009F7F78">
        <w:rPr>
          <w:rStyle w:val="Emphasis"/>
          <w:rFonts w:cstheme="minorHAnsi"/>
          <w:color w:val="000000" w:themeColor="text1"/>
          <w:sz w:val="20"/>
          <w:szCs w:val="20"/>
        </w:rPr>
        <w:t>,</w:t>
      </w:r>
      <w:r w:rsidRPr="009F7F78">
        <w:rPr>
          <w:rFonts w:cstheme="minorHAnsi"/>
          <w:color w:val="000000" w:themeColor="text1"/>
          <w:sz w:val="20"/>
          <w:szCs w:val="20"/>
        </w:rPr>
        <w:t xml:space="preserve"> </w:t>
      </w:r>
      <w:r w:rsidRPr="00A878AF">
        <w:rPr>
          <w:color w:val="000000" w:themeColor="text1"/>
          <w:sz w:val="20"/>
          <w:szCs w:val="20"/>
        </w:rPr>
        <w:t>Tor Ingebrigtsen,</w:t>
      </w:r>
      <w:r>
        <w:rPr>
          <w:color w:val="000000" w:themeColor="text1"/>
          <w:sz w:val="20"/>
          <w:szCs w:val="20"/>
        </w:rPr>
        <w:t xml:space="preserve"> </w:t>
      </w:r>
      <w:r w:rsidRPr="00A878AF">
        <w:rPr>
          <w:color w:val="000000" w:themeColor="text1"/>
          <w:sz w:val="20"/>
          <w:szCs w:val="20"/>
        </w:rPr>
        <w:t>Erik Magnus Berntsen</w:t>
      </w:r>
      <w:r>
        <w:rPr>
          <w:color w:val="000000" w:themeColor="text1"/>
          <w:sz w:val="20"/>
          <w:szCs w:val="20"/>
        </w:rPr>
        <w:t xml:space="preserve"> and </w:t>
      </w:r>
      <w:r w:rsidRPr="00A878AF">
        <w:rPr>
          <w:color w:val="000000" w:themeColor="text1"/>
          <w:sz w:val="20"/>
          <w:szCs w:val="20"/>
        </w:rPr>
        <w:t>Live Eikenes</w:t>
      </w:r>
    </w:p>
    <w:p w14:paraId="7A04A875" w14:textId="0D334F88" w:rsidR="00D14EA9" w:rsidRDefault="0037032F" w:rsidP="00D14EA9">
      <w:pPr>
        <w:spacing w:line="240" w:lineRule="auto"/>
        <w:jc w:val="both"/>
        <w:rPr>
          <w:rStyle w:val="Hyperlink"/>
          <w:sz w:val="20"/>
          <w:szCs w:val="20"/>
          <w:lang w:val="en-US"/>
        </w:rPr>
      </w:pPr>
      <w:r w:rsidRPr="00D14EA9">
        <w:rPr>
          <w:color w:val="000000" w:themeColor="text1"/>
          <w:sz w:val="20"/>
          <w:szCs w:val="20"/>
          <w:u w:val="single"/>
          <w:lang w:val="en-US"/>
        </w:rPr>
        <w:t>Corresponding author:</w:t>
      </w:r>
      <w:r w:rsidRPr="0037032F">
        <w:rPr>
          <w:color w:val="000000" w:themeColor="text1"/>
          <w:sz w:val="20"/>
          <w:szCs w:val="20"/>
          <w:lang w:val="en-US"/>
        </w:rPr>
        <w:t xml:space="preserve"> </w:t>
      </w:r>
      <w:r w:rsidRPr="0059040B">
        <w:rPr>
          <w:color w:val="000000" w:themeColor="text1"/>
          <w:sz w:val="20"/>
          <w:szCs w:val="20"/>
          <w:lang w:val="en-US"/>
        </w:rPr>
        <w:t xml:space="preserve">Anna Karlberg, Department of </w:t>
      </w:r>
      <w:r w:rsidRPr="0059040B">
        <w:rPr>
          <w:sz w:val="20"/>
          <w:szCs w:val="20"/>
          <w:lang w:val="en-US"/>
        </w:rPr>
        <w:t xml:space="preserve">Radiology and Nuclear Medicine, St. </w:t>
      </w:r>
      <w:proofErr w:type="spellStart"/>
      <w:r w:rsidRPr="0059040B">
        <w:rPr>
          <w:sz w:val="20"/>
          <w:szCs w:val="20"/>
          <w:lang w:val="en-US"/>
        </w:rPr>
        <w:t>Olavs</w:t>
      </w:r>
      <w:proofErr w:type="spellEnd"/>
      <w:r w:rsidRPr="0059040B">
        <w:rPr>
          <w:sz w:val="20"/>
          <w:szCs w:val="20"/>
          <w:lang w:val="en-US"/>
        </w:rPr>
        <w:t xml:space="preserve"> Hospital, Trondheim, Norway. </w:t>
      </w:r>
      <w:hyperlink r:id="rId4" w:history="1">
        <w:r w:rsidRPr="00D14DAB">
          <w:rPr>
            <w:rStyle w:val="Hyperlink"/>
            <w:sz w:val="20"/>
            <w:szCs w:val="20"/>
            <w:lang w:val="en-US"/>
          </w:rPr>
          <w:t>annamka@stud.ntnu.no</w:t>
        </w:r>
      </w:hyperlink>
    </w:p>
    <w:p w14:paraId="6E787BCF" w14:textId="77777777" w:rsidR="00D14EA9" w:rsidRPr="00D14EA9" w:rsidRDefault="00D14EA9" w:rsidP="00D14EA9">
      <w:pPr>
        <w:spacing w:line="240" w:lineRule="auto"/>
        <w:jc w:val="both"/>
        <w:rPr>
          <w:sz w:val="20"/>
          <w:szCs w:val="20"/>
          <w:lang w:val="en-US"/>
        </w:rPr>
      </w:pPr>
    </w:p>
    <w:p w14:paraId="65E69F49" w14:textId="6B1E0879" w:rsidR="00220D0E" w:rsidRPr="00E04AAD" w:rsidRDefault="00E04AAD" w:rsidP="0099090C">
      <w:pPr>
        <w:spacing w:line="360" w:lineRule="auto"/>
        <w:rPr>
          <w:rFonts w:cstheme="minorHAnsi"/>
          <w:b/>
          <w:sz w:val="24"/>
          <w:szCs w:val="24"/>
          <w:lang w:val="en-US"/>
        </w:rPr>
      </w:pPr>
      <w:r w:rsidRPr="00E04AAD">
        <w:rPr>
          <w:rFonts w:cstheme="minorHAnsi"/>
          <w:b/>
          <w:sz w:val="24"/>
          <w:szCs w:val="24"/>
          <w:lang w:val="en-US"/>
        </w:rPr>
        <w:t xml:space="preserve">Supplementary Information 1 - </w:t>
      </w:r>
      <w:r w:rsidR="00197F42" w:rsidRPr="00E04AAD">
        <w:rPr>
          <w:rFonts w:cstheme="minorHAnsi"/>
          <w:b/>
          <w:sz w:val="24"/>
          <w:szCs w:val="24"/>
          <w:lang w:val="en-US"/>
        </w:rPr>
        <w:t xml:space="preserve">Methods for </w:t>
      </w:r>
      <w:proofErr w:type="spellStart"/>
      <w:r w:rsidR="00197F42" w:rsidRPr="00766639">
        <w:rPr>
          <w:rFonts w:cstheme="minorHAnsi"/>
          <w:b/>
          <w:sz w:val="24"/>
          <w:szCs w:val="24"/>
          <w:lang w:val="en-US"/>
        </w:rPr>
        <w:t>histo</w:t>
      </w:r>
      <w:r w:rsidR="000126F6" w:rsidRPr="00766639">
        <w:rPr>
          <w:rFonts w:cstheme="minorHAnsi"/>
          <w:b/>
          <w:sz w:val="24"/>
          <w:szCs w:val="24"/>
          <w:lang w:val="en-US"/>
        </w:rPr>
        <w:t>molecula</w:t>
      </w:r>
      <w:r w:rsidR="00766639">
        <w:rPr>
          <w:rFonts w:cstheme="minorHAnsi"/>
          <w:b/>
          <w:sz w:val="24"/>
          <w:szCs w:val="24"/>
          <w:lang w:val="en-US"/>
        </w:rPr>
        <w:t>r</w:t>
      </w:r>
      <w:proofErr w:type="spellEnd"/>
      <w:r w:rsidR="00766639">
        <w:rPr>
          <w:rFonts w:cstheme="minorHAnsi"/>
          <w:b/>
          <w:sz w:val="24"/>
          <w:szCs w:val="24"/>
          <w:lang w:val="en-US"/>
        </w:rPr>
        <w:t xml:space="preserve"> </w:t>
      </w:r>
      <w:r w:rsidR="00197F42" w:rsidRPr="00E04AAD">
        <w:rPr>
          <w:rFonts w:cstheme="minorHAnsi"/>
          <w:b/>
          <w:sz w:val="24"/>
          <w:szCs w:val="24"/>
          <w:lang w:val="en-US"/>
        </w:rPr>
        <w:t>examination</w:t>
      </w:r>
    </w:p>
    <w:p w14:paraId="5BCBE83F" w14:textId="7207701A" w:rsidR="00E04AAD" w:rsidRPr="000126F6" w:rsidRDefault="00E04AAD" w:rsidP="001E5B05">
      <w:pPr>
        <w:spacing w:after="0"/>
        <w:jc w:val="both"/>
        <w:rPr>
          <w:rFonts w:cstheme="minorHAnsi"/>
          <w:b/>
          <w:sz w:val="24"/>
          <w:szCs w:val="24"/>
          <w:lang w:val="en-US"/>
        </w:rPr>
      </w:pPr>
      <w:r w:rsidRPr="000126F6">
        <w:rPr>
          <w:rFonts w:cstheme="minorHAnsi"/>
          <w:b/>
          <w:sz w:val="24"/>
          <w:szCs w:val="24"/>
          <w:lang w:val="en-US"/>
        </w:rPr>
        <w:t xml:space="preserve">St. </w:t>
      </w:r>
      <w:proofErr w:type="spellStart"/>
      <w:r w:rsidRPr="000126F6">
        <w:rPr>
          <w:rFonts w:cstheme="minorHAnsi"/>
          <w:b/>
          <w:sz w:val="24"/>
          <w:szCs w:val="24"/>
          <w:lang w:val="en-US"/>
        </w:rPr>
        <w:t>Olavs</w:t>
      </w:r>
      <w:proofErr w:type="spellEnd"/>
      <w:r w:rsidRPr="000126F6">
        <w:rPr>
          <w:rFonts w:cstheme="minorHAnsi"/>
          <w:b/>
          <w:sz w:val="24"/>
          <w:szCs w:val="24"/>
          <w:lang w:val="en-US"/>
        </w:rPr>
        <w:t xml:space="preserve"> hospital, Trondheim University Hospital, Trondheim</w:t>
      </w:r>
    </w:p>
    <w:p w14:paraId="08748B8E" w14:textId="77777777" w:rsidR="00E04AAD" w:rsidRPr="000126F6" w:rsidRDefault="00E04AAD" w:rsidP="001E5B05">
      <w:pPr>
        <w:spacing w:after="0"/>
        <w:jc w:val="both"/>
        <w:rPr>
          <w:rFonts w:cstheme="minorHAnsi"/>
          <w:b/>
          <w:sz w:val="20"/>
          <w:szCs w:val="20"/>
          <w:lang w:val="en-US"/>
        </w:rPr>
      </w:pPr>
    </w:p>
    <w:p w14:paraId="5B79AA48" w14:textId="5B1F534F" w:rsidR="00D36657" w:rsidRPr="00E04AAD" w:rsidRDefault="005A1797" w:rsidP="001E5B05">
      <w:pPr>
        <w:spacing w:after="0"/>
        <w:jc w:val="both"/>
        <w:rPr>
          <w:rFonts w:cstheme="minorHAnsi"/>
          <w:b/>
          <w:sz w:val="20"/>
          <w:szCs w:val="20"/>
          <w:lang w:val="en-US"/>
        </w:rPr>
      </w:pPr>
      <w:r w:rsidRPr="00E04AAD">
        <w:rPr>
          <w:rFonts w:cstheme="minorHAnsi"/>
          <w:b/>
          <w:sz w:val="20"/>
          <w:szCs w:val="20"/>
          <w:lang w:val="en-US"/>
        </w:rPr>
        <w:t>I</w:t>
      </w:r>
      <w:r w:rsidR="00C9069A" w:rsidRPr="00E04AAD">
        <w:rPr>
          <w:rFonts w:cstheme="minorHAnsi"/>
          <w:b/>
          <w:sz w:val="20"/>
          <w:szCs w:val="20"/>
          <w:lang w:val="en-US"/>
        </w:rPr>
        <w:t>mmunohistochemistry</w:t>
      </w:r>
    </w:p>
    <w:p w14:paraId="6586622C" w14:textId="77777777" w:rsidR="005A1797" w:rsidRPr="00E04AAD" w:rsidRDefault="005A1797" w:rsidP="001E5B05">
      <w:pPr>
        <w:spacing w:after="0"/>
        <w:jc w:val="both"/>
        <w:rPr>
          <w:rFonts w:cstheme="minorHAnsi"/>
          <w:b/>
          <w:sz w:val="20"/>
          <w:szCs w:val="20"/>
          <w:lang w:val="en-US"/>
        </w:rPr>
      </w:pPr>
      <w:r w:rsidRPr="00E04AAD">
        <w:rPr>
          <w:rFonts w:cstheme="minorHAnsi"/>
          <w:sz w:val="20"/>
          <w:szCs w:val="20"/>
          <w:lang w:val="en-US"/>
        </w:rPr>
        <w:t xml:space="preserve">All tumor samples were fixed in buffered formalin. Paraffin sections (3-μm-thick) were cut, mounted on </w:t>
      </w:r>
      <w:proofErr w:type="spellStart"/>
      <w:r w:rsidRPr="00E04AAD">
        <w:rPr>
          <w:rFonts w:cstheme="minorHAnsi"/>
          <w:sz w:val="20"/>
          <w:szCs w:val="20"/>
          <w:lang w:val="en-US"/>
        </w:rPr>
        <w:t>Superfrost</w:t>
      </w:r>
      <w:proofErr w:type="spellEnd"/>
      <w:r w:rsidRPr="00E04AAD">
        <w:rPr>
          <w:rFonts w:cstheme="minorHAnsi"/>
          <w:sz w:val="20"/>
          <w:szCs w:val="20"/>
          <w:lang w:val="en-US"/>
        </w:rPr>
        <w:t xml:space="preserve"> Plus glass and dried at 60°C for 60 minutes. </w:t>
      </w:r>
    </w:p>
    <w:p w14:paraId="6F711FE7" w14:textId="77777777" w:rsidR="005A1797" w:rsidRPr="00E04AAD" w:rsidRDefault="005A1797" w:rsidP="00D36657">
      <w:pPr>
        <w:jc w:val="both"/>
        <w:rPr>
          <w:rFonts w:cstheme="minorHAnsi"/>
          <w:sz w:val="20"/>
          <w:szCs w:val="20"/>
          <w:lang w:val="en-US"/>
        </w:rPr>
      </w:pPr>
      <w:r w:rsidRPr="00E04AAD">
        <w:rPr>
          <w:rFonts w:cstheme="minorHAnsi"/>
          <w:sz w:val="20"/>
          <w:szCs w:val="20"/>
          <w:lang w:val="en-US"/>
        </w:rPr>
        <w:t xml:space="preserve">Immunohistochemical staining was done on </w:t>
      </w:r>
      <w:proofErr w:type="spellStart"/>
      <w:r w:rsidRPr="00E04AAD">
        <w:rPr>
          <w:rFonts w:cstheme="minorHAnsi"/>
          <w:sz w:val="20"/>
          <w:szCs w:val="20"/>
          <w:lang w:val="en-US"/>
        </w:rPr>
        <w:t>BenchMark</w:t>
      </w:r>
      <w:proofErr w:type="spellEnd"/>
      <w:r w:rsidRPr="00E04AAD">
        <w:rPr>
          <w:rFonts w:cstheme="minorHAnsi"/>
          <w:sz w:val="20"/>
          <w:szCs w:val="20"/>
          <w:lang w:val="en-US"/>
        </w:rPr>
        <w:t xml:space="preserve"> Ultra fully automated tissue staining system (Ventana Medical Systems, Inc., Tucson,</w:t>
      </w:r>
      <w:r w:rsidR="00E95D47" w:rsidRPr="00E04AAD">
        <w:rPr>
          <w:rFonts w:cstheme="minorHAnsi"/>
          <w:sz w:val="20"/>
          <w:szCs w:val="20"/>
          <w:lang w:val="en-US"/>
        </w:rPr>
        <w:t xml:space="preserve"> AZ) using validated protocols </w:t>
      </w:r>
      <w:r w:rsidRPr="00E04AAD">
        <w:rPr>
          <w:rFonts w:cstheme="minorHAnsi"/>
          <w:sz w:val="20"/>
          <w:szCs w:val="20"/>
          <w:lang w:val="en-US"/>
        </w:rPr>
        <w:t>with the following antibodies:</w:t>
      </w:r>
    </w:p>
    <w:p w14:paraId="61E1CCAA" w14:textId="77777777" w:rsidR="005A1797" w:rsidRPr="00E04AAD" w:rsidRDefault="005A1797" w:rsidP="003977D9">
      <w:pPr>
        <w:spacing w:before="240" w:line="240" w:lineRule="auto"/>
        <w:contextualSpacing/>
        <w:jc w:val="both"/>
        <w:rPr>
          <w:rFonts w:cstheme="minorHAnsi"/>
          <w:sz w:val="20"/>
          <w:szCs w:val="20"/>
          <w:lang w:val="en-US"/>
        </w:rPr>
      </w:pPr>
      <w:r w:rsidRPr="00E04AAD">
        <w:rPr>
          <w:rFonts w:cstheme="minorHAnsi"/>
          <w:sz w:val="20"/>
          <w:szCs w:val="20"/>
          <w:lang w:val="en-US"/>
        </w:rPr>
        <w:t xml:space="preserve">-Mouse monoclonal IDH1-R132H antibody (clone H09, </w:t>
      </w:r>
      <w:proofErr w:type="spellStart"/>
      <w:r w:rsidRPr="00E04AAD">
        <w:rPr>
          <w:rFonts w:cstheme="minorHAnsi"/>
          <w:sz w:val="20"/>
          <w:szCs w:val="20"/>
          <w:lang w:val="en-US"/>
        </w:rPr>
        <w:t>Dianova</w:t>
      </w:r>
      <w:proofErr w:type="spellEnd"/>
      <w:r w:rsidRPr="00E04AAD">
        <w:rPr>
          <w:rFonts w:cstheme="minorHAnsi"/>
          <w:sz w:val="20"/>
          <w:szCs w:val="20"/>
          <w:lang w:val="en-US"/>
        </w:rPr>
        <w:t>, 1:100)</w:t>
      </w:r>
    </w:p>
    <w:p w14:paraId="2E757764" w14:textId="77777777" w:rsidR="005A1797" w:rsidRPr="00E04AAD" w:rsidRDefault="005A1797" w:rsidP="003977D9">
      <w:pPr>
        <w:spacing w:before="240" w:line="240" w:lineRule="auto"/>
        <w:contextualSpacing/>
        <w:jc w:val="both"/>
        <w:rPr>
          <w:rFonts w:cstheme="minorHAnsi"/>
          <w:sz w:val="20"/>
          <w:szCs w:val="20"/>
          <w:lang w:val="en-US"/>
        </w:rPr>
      </w:pPr>
      <w:r w:rsidRPr="00E04AAD">
        <w:rPr>
          <w:rFonts w:cstheme="minorHAnsi"/>
          <w:sz w:val="20"/>
          <w:szCs w:val="20"/>
          <w:lang w:val="en-US"/>
        </w:rPr>
        <w:t>-ATRX antibody (polyclonal, Sigma Aldrich</w:t>
      </w:r>
      <w:r w:rsidR="0054534F" w:rsidRPr="00E04AAD">
        <w:rPr>
          <w:rFonts w:cstheme="minorHAnsi"/>
          <w:sz w:val="20"/>
          <w:szCs w:val="20"/>
          <w:lang w:val="en-US"/>
        </w:rPr>
        <w:t>, 1:500</w:t>
      </w:r>
      <w:r w:rsidRPr="00E04AAD">
        <w:rPr>
          <w:rFonts w:cstheme="minorHAnsi"/>
          <w:sz w:val="20"/>
          <w:szCs w:val="20"/>
          <w:lang w:val="en-US"/>
        </w:rPr>
        <w:t xml:space="preserve">) </w:t>
      </w:r>
    </w:p>
    <w:p w14:paraId="6B7204CD" w14:textId="77777777" w:rsidR="005A1797" w:rsidRPr="00E04AAD" w:rsidRDefault="0054534F" w:rsidP="003977D9">
      <w:pPr>
        <w:spacing w:before="240" w:line="240" w:lineRule="auto"/>
        <w:contextualSpacing/>
        <w:jc w:val="both"/>
        <w:rPr>
          <w:rFonts w:cstheme="minorHAnsi"/>
          <w:sz w:val="20"/>
          <w:szCs w:val="20"/>
          <w:lang w:val="en-US"/>
        </w:rPr>
      </w:pPr>
      <w:r w:rsidRPr="00E04AAD">
        <w:rPr>
          <w:rFonts w:cstheme="minorHAnsi"/>
          <w:sz w:val="20"/>
          <w:szCs w:val="20"/>
          <w:lang w:val="en-US"/>
        </w:rPr>
        <w:t>-Mouse monoclonal</w:t>
      </w:r>
      <w:r w:rsidR="005A1797" w:rsidRPr="00E04AAD">
        <w:rPr>
          <w:rFonts w:cstheme="minorHAnsi"/>
          <w:sz w:val="20"/>
          <w:szCs w:val="20"/>
          <w:lang w:val="en-US"/>
        </w:rPr>
        <w:t xml:space="preserve"> p53 (clone DO-7, </w:t>
      </w:r>
      <w:proofErr w:type="spellStart"/>
      <w:r w:rsidR="005A1797" w:rsidRPr="00E04AAD">
        <w:rPr>
          <w:rFonts w:cstheme="minorHAnsi"/>
          <w:sz w:val="20"/>
          <w:szCs w:val="20"/>
          <w:lang w:val="en-US"/>
        </w:rPr>
        <w:t>Dako</w:t>
      </w:r>
      <w:proofErr w:type="spellEnd"/>
      <w:r w:rsidR="005A1797" w:rsidRPr="00E04AAD">
        <w:rPr>
          <w:rFonts w:cstheme="minorHAnsi"/>
          <w:sz w:val="20"/>
          <w:szCs w:val="20"/>
          <w:lang w:val="en-US"/>
        </w:rPr>
        <w:t>, 1:1000)</w:t>
      </w:r>
    </w:p>
    <w:p w14:paraId="102F25A3" w14:textId="77777777" w:rsidR="005A1797" w:rsidRDefault="005A1797" w:rsidP="003977D9">
      <w:pPr>
        <w:spacing w:before="240" w:line="240" w:lineRule="auto"/>
        <w:contextualSpacing/>
        <w:jc w:val="both"/>
        <w:rPr>
          <w:rFonts w:cstheme="minorHAnsi"/>
          <w:sz w:val="20"/>
          <w:szCs w:val="20"/>
          <w:lang w:val="en-US"/>
        </w:rPr>
      </w:pPr>
      <w:r w:rsidRPr="00E04AAD">
        <w:rPr>
          <w:rFonts w:cstheme="minorHAnsi"/>
          <w:sz w:val="20"/>
          <w:szCs w:val="20"/>
          <w:lang w:val="en-US"/>
        </w:rPr>
        <w:t>-</w:t>
      </w:r>
      <w:r w:rsidR="0069679A" w:rsidRPr="00E04AAD">
        <w:rPr>
          <w:rFonts w:cstheme="minorHAnsi"/>
          <w:sz w:val="20"/>
          <w:szCs w:val="20"/>
          <w:lang w:val="en-US"/>
        </w:rPr>
        <w:t xml:space="preserve">Mouse monoclonal Ki-67 (clone MIB-1, </w:t>
      </w:r>
      <w:proofErr w:type="spellStart"/>
      <w:r w:rsidR="0069679A" w:rsidRPr="00E04AAD">
        <w:rPr>
          <w:rFonts w:cstheme="minorHAnsi"/>
          <w:sz w:val="20"/>
          <w:szCs w:val="20"/>
          <w:lang w:val="en-US"/>
        </w:rPr>
        <w:t>Dako</w:t>
      </w:r>
      <w:proofErr w:type="spellEnd"/>
      <w:r w:rsidR="0069679A" w:rsidRPr="00E04AAD">
        <w:rPr>
          <w:rFonts w:cstheme="minorHAnsi"/>
          <w:sz w:val="20"/>
          <w:szCs w:val="20"/>
          <w:lang w:val="en-US"/>
        </w:rPr>
        <w:t>, 1:350)</w:t>
      </w:r>
    </w:p>
    <w:p w14:paraId="7543D61C" w14:textId="77777777" w:rsidR="003977D9" w:rsidRPr="00E04AAD" w:rsidRDefault="003977D9" w:rsidP="003977D9">
      <w:pPr>
        <w:spacing w:before="240" w:line="240" w:lineRule="auto"/>
        <w:contextualSpacing/>
        <w:jc w:val="both"/>
        <w:rPr>
          <w:rFonts w:cstheme="minorHAnsi"/>
          <w:sz w:val="20"/>
          <w:szCs w:val="20"/>
          <w:lang w:val="en-US"/>
        </w:rPr>
      </w:pPr>
    </w:p>
    <w:p w14:paraId="7A6723E7" w14:textId="18084B2F" w:rsidR="003977D9" w:rsidRPr="003977D9" w:rsidRDefault="005A1797" w:rsidP="008F39E7">
      <w:pPr>
        <w:jc w:val="both"/>
        <w:rPr>
          <w:rFonts w:cstheme="minorHAnsi"/>
          <w:sz w:val="20"/>
          <w:szCs w:val="20"/>
          <w:lang w:val="en-US"/>
        </w:rPr>
      </w:pPr>
      <w:r w:rsidRPr="00E04AAD">
        <w:rPr>
          <w:rFonts w:cstheme="minorHAnsi"/>
          <w:sz w:val="20"/>
          <w:szCs w:val="20"/>
          <w:lang w:val="en-US"/>
        </w:rPr>
        <w:t xml:space="preserve">For IDH1 only moderate and strong cytoplasmic staining was considered positive. For ATRX only nuclear staining was considered for evaluation, and cases with more than 10% positive tumor cells were considered positive. </w:t>
      </w:r>
      <w:r w:rsidR="0069679A" w:rsidRPr="00E04AAD">
        <w:rPr>
          <w:rFonts w:cstheme="minorHAnsi"/>
          <w:sz w:val="20"/>
          <w:szCs w:val="20"/>
          <w:lang w:val="en-US"/>
        </w:rPr>
        <w:t xml:space="preserve"> </w:t>
      </w:r>
    </w:p>
    <w:p w14:paraId="171557DB" w14:textId="093ACD56" w:rsidR="007C183A" w:rsidRPr="00E04AAD" w:rsidRDefault="007C183A" w:rsidP="001E5B05">
      <w:pPr>
        <w:spacing w:after="0"/>
        <w:jc w:val="both"/>
        <w:rPr>
          <w:rFonts w:cstheme="minorHAnsi"/>
          <w:b/>
          <w:sz w:val="20"/>
          <w:szCs w:val="20"/>
          <w:lang w:val="en-US"/>
        </w:rPr>
      </w:pPr>
      <w:r w:rsidRPr="00E04AAD">
        <w:rPr>
          <w:rFonts w:cstheme="minorHAnsi"/>
          <w:b/>
          <w:sz w:val="20"/>
          <w:szCs w:val="20"/>
          <w:lang w:val="en-US"/>
        </w:rPr>
        <w:t>Realtime PCR for detection of IDH R132H</w:t>
      </w:r>
    </w:p>
    <w:p w14:paraId="3ED972DE" w14:textId="4F34BA96" w:rsidR="003977D9" w:rsidRPr="00E04AAD" w:rsidRDefault="007C183A" w:rsidP="001E5B05">
      <w:pPr>
        <w:spacing w:after="0"/>
        <w:jc w:val="both"/>
        <w:rPr>
          <w:rFonts w:cstheme="minorHAnsi"/>
          <w:sz w:val="20"/>
          <w:szCs w:val="20"/>
          <w:lang w:val="en-US"/>
        </w:rPr>
      </w:pPr>
      <w:r w:rsidRPr="00E04AAD">
        <w:rPr>
          <w:rFonts w:cstheme="minorHAnsi"/>
          <w:sz w:val="20"/>
          <w:szCs w:val="20"/>
          <w:lang w:val="en-US"/>
        </w:rPr>
        <w:t xml:space="preserve">Detection IDH1 R132H was performed by </w:t>
      </w:r>
      <w:proofErr w:type="spellStart"/>
      <w:r w:rsidRPr="00E04AAD">
        <w:rPr>
          <w:rFonts w:cstheme="minorHAnsi"/>
          <w:sz w:val="20"/>
          <w:szCs w:val="20"/>
          <w:lang w:val="en-US"/>
        </w:rPr>
        <w:t>realtime</w:t>
      </w:r>
      <w:proofErr w:type="spellEnd"/>
      <w:r w:rsidRPr="00E04AAD">
        <w:rPr>
          <w:rFonts w:cstheme="minorHAnsi"/>
          <w:sz w:val="20"/>
          <w:szCs w:val="20"/>
          <w:lang w:val="en-US"/>
        </w:rPr>
        <w:t xml:space="preserve"> PCR using two </w:t>
      </w:r>
      <w:proofErr w:type="spellStart"/>
      <w:r w:rsidRPr="00E04AAD">
        <w:rPr>
          <w:rFonts w:cstheme="minorHAnsi"/>
          <w:sz w:val="20"/>
          <w:szCs w:val="20"/>
          <w:lang w:val="en-US"/>
        </w:rPr>
        <w:t>Taqman</w:t>
      </w:r>
      <w:proofErr w:type="spellEnd"/>
      <w:r w:rsidRPr="00E04AAD">
        <w:rPr>
          <w:rFonts w:cstheme="minorHAnsi"/>
          <w:sz w:val="20"/>
          <w:szCs w:val="20"/>
          <w:lang w:val="en-US"/>
        </w:rPr>
        <w:t xml:space="preserve"> probes specific for IDH1 </w:t>
      </w:r>
      <w:proofErr w:type="spellStart"/>
      <w:r w:rsidRPr="00E04AAD">
        <w:rPr>
          <w:rFonts w:cstheme="minorHAnsi"/>
          <w:sz w:val="20"/>
          <w:szCs w:val="20"/>
          <w:lang w:val="en-US"/>
        </w:rPr>
        <w:t>Wt</w:t>
      </w:r>
      <w:proofErr w:type="spellEnd"/>
      <w:r w:rsidRPr="00E04AAD">
        <w:rPr>
          <w:rFonts w:cstheme="minorHAnsi"/>
          <w:sz w:val="20"/>
          <w:szCs w:val="20"/>
          <w:lang w:val="en-US"/>
        </w:rPr>
        <w:t xml:space="preserve"> and </w:t>
      </w:r>
      <w:proofErr w:type="spellStart"/>
      <w:r w:rsidRPr="00E04AAD">
        <w:rPr>
          <w:rFonts w:cstheme="minorHAnsi"/>
          <w:sz w:val="20"/>
          <w:szCs w:val="20"/>
          <w:lang w:val="en-US"/>
        </w:rPr>
        <w:t>mutatant</w:t>
      </w:r>
      <w:proofErr w:type="spellEnd"/>
      <w:r w:rsidRPr="00E04AAD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E04AAD">
        <w:rPr>
          <w:rFonts w:cstheme="minorHAnsi"/>
          <w:sz w:val="20"/>
          <w:szCs w:val="20"/>
          <w:lang w:val="en-US"/>
        </w:rPr>
        <w:t>allel</w:t>
      </w:r>
      <w:proofErr w:type="spellEnd"/>
      <w:r w:rsidRPr="00E04AAD">
        <w:rPr>
          <w:rFonts w:cstheme="minorHAnsi"/>
          <w:sz w:val="20"/>
          <w:szCs w:val="20"/>
          <w:lang w:val="en-US"/>
        </w:rPr>
        <w:t xml:space="preserve"> at mutation hot spot R132. The primer pairs used were CGGTCTTCAGAGAAGCCATT-3’and 5’- GCAAAATCACATTATTGCCAAC-3’. The </w:t>
      </w:r>
      <w:proofErr w:type="spellStart"/>
      <w:r w:rsidRPr="00E04AAD">
        <w:rPr>
          <w:rFonts w:cstheme="minorHAnsi"/>
          <w:sz w:val="20"/>
          <w:szCs w:val="20"/>
          <w:lang w:val="en-US"/>
        </w:rPr>
        <w:t>Taqman</w:t>
      </w:r>
      <w:proofErr w:type="spellEnd"/>
      <w:r w:rsidRPr="00E04AAD">
        <w:rPr>
          <w:rFonts w:cstheme="minorHAnsi"/>
          <w:sz w:val="20"/>
          <w:szCs w:val="20"/>
          <w:lang w:val="en-US"/>
        </w:rPr>
        <w:t xml:space="preserve"> probe were 5´-TCATAGGTCG(</w:t>
      </w:r>
      <w:proofErr w:type="spellStart"/>
      <w:r w:rsidRPr="00E04AAD">
        <w:rPr>
          <w:rFonts w:cstheme="minorHAnsi"/>
          <w:sz w:val="20"/>
          <w:szCs w:val="20"/>
          <w:lang w:val="en-US"/>
        </w:rPr>
        <w:t>A_</w:t>
      </w:r>
      <w:proofErr w:type="gramStart"/>
      <w:r w:rsidRPr="00E04AAD">
        <w:rPr>
          <w:rFonts w:cstheme="minorHAnsi"/>
          <w:sz w:val="20"/>
          <w:szCs w:val="20"/>
          <w:lang w:val="en-US"/>
        </w:rPr>
        <w:t>mut</w:t>
      </w:r>
      <w:proofErr w:type="spellEnd"/>
      <w:r w:rsidRPr="00E04AAD">
        <w:rPr>
          <w:rFonts w:cstheme="minorHAnsi"/>
          <w:sz w:val="20"/>
          <w:szCs w:val="20"/>
          <w:lang w:val="en-US"/>
        </w:rPr>
        <w:t>)TCATGCTTA</w:t>
      </w:r>
      <w:proofErr w:type="gramEnd"/>
      <w:r w:rsidRPr="00E04AAD">
        <w:rPr>
          <w:rFonts w:cstheme="minorHAnsi"/>
          <w:sz w:val="20"/>
          <w:szCs w:val="20"/>
          <w:lang w:val="en-US"/>
        </w:rPr>
        <w:t>-3´ labeled with Yakima yellow and Fam respectively.</w:t>
      </w:r>
      <w:r w:rsidR="002F39AF" w:rsidRPr="00E04AAD">
        <w:rPr>
          <w:rFonts w:cstheme="minorHAnsi"/>
          <w:sz w:val="20"/>
          <w:szCs w:val="20"/>
          <w:lang w:val="en-US"/>
        </w:rPr>
        <w:t xml:space="preserve"> </w:t>
      </w:r>
      <w:r w:rsidR="00D36657" w:rsidRPr="00E04AAD">
        <w:rPr>
          <w:rFonts w:cstheme="minorHAnsi"/>
          <w:sz w:val="20"/>
          <w:szCs w:val="20"/>
          <w:lang w:val="en-US"/>
        </w:rPr>
        <w:t>The PCR reaction was run with</w:t>
      </w:r>
      <w:r w:rsidR="002F39AF" w:rsidRPr="00E04AAD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2F39AF" w:rsidRPr="00E04AAD">
        <w:rPr>
          <w:rFonts w:cstheme="minorHAnsi"/>
          <w:sz w:val="20"/>
          <w:szCs w:val="20"/>
          <w:lang w:val="en-US"/>
        </w:rPr>
        <w:t>BioRad</w:t>
      </w:r>
      <w:proofErr w:type="spellEnd"/>
      <w:r w:rsidR="002F39AF" w:rsidRPr="00E04AAD">
        <w:rPr>
          <w:rFonts w:cstheme="minorHAnsi"/>
          <w:sz w:val="20"/>
          <w:szCs w:val="20"/>
          <w:lang w:val="en-US"/>
        </w:rPr>
        <w:t xml:space="preserve"> CFX96</w:t>
      </w:r>
      <w:r w:rsidRPr="00E04AAD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E04AAD">
        <w:rPr>
          <w:rFonts w:cstheme="minorHAnsi"/>
          <w:sz w:val="20"/>
          <w:szCs w:val="20"/>
          <w:lang w:val="en-US"/>
        </w:rPr>
        <w:t>realtime</w:t>
      </w:r>
      <w:proofErr w:type="spellEnd"/>
      <w:r w:rsidRPr="00E04AAD">
        <w:rPr>
          <w:rFonts w:cstheme="minorHAnsi"/>
          <w:sz w:val="20"/>
          <w:szCs w:val="20"/>
          <w:lang w:val="en-US"/>
        </w:rPr>
        <w:t xml:space="preserve"> PCR instrument. PCR cycle</w:t>
      </w:r>
      <w:r w:rsidR="006D5163" w:rsidRPr="00E04AAD">
        <w:rPr>
          <w:rFonts w:cstheme="minorHAnsi"/>
          <w:sz w:val="20"/>
          <w:szCs w:val="20"/>
          <w:lang w:val="en-US"/>
        </w:rPr>
        <w:t xml:space="preserve"> was </w:t>
      </w:r>
      <w:proofErr w:type="gramStart"/>
      <w:r w:rsidR="006D5163" w:rsidRPr="00E04AAD">
        <w:rPr>
          <w:rFonts w:cstheme="minorHAnsi"/>
          <w:sz w:val="20"/>
          <w:szCs w:val="20"/>
          <w:lang w:val="en-US"/>
        </w:rPr>
        <w:t>following:</w:t>
      </w:r>
      <w:proofErr w:type="gramEnd"/>
      <w:r w:rsidR="006D5163" w:rsidRPr="00E04AAD">
        <w:rPr>
          <w:rFonts w:cstheme="minorHAnsi"/>
          <w:sz w:val="20"/>
          <w:szCs w:val="20"/>
          <w:lang w:val="en-US"/>
        </w:rPr>
        <w:t xml:space="preserve"> denaturation 95°</w:t>
      </w:r>
      <w:r w:rsidRPr="00E04AAD">
        <w:rPr>
          <w:rFonts w:cstheme="minorHAnsi"/>
          <w:sz w:val="20"/>
          <w:szCs w:val="20"/>
          <w:lang w:val="en-US"/>
        </w:rPr>
        <w:t>C, followed by 40 cy</w:t>
      </w:r>
      <w:r w:rsidR="006D5163" w:rsidRPr="00E04AAD">
        <w:rPr>
          <w:rFonts w:cstheme="minorHAnsi"/>
          <w:sz w:val="20"/>
          <w:szCs w:val="20"/>
          <w:lang w:val="en-US"/>
        </w:rPr>
        <w:t>cles of 95°C 30 sec and 60°</w:t>
      </w:r>
      <w:r w:rsidRPr="00E04AAD">
        <w:rPr>
          <w:rFonts w:cstheme="minorHAnsi"/>
          <w:sz w:val="20"/>
          <w:szCs w:val="20"/>
          <w:lang w:val="en-US"/>
        </w:rPr>
        <w:t>C for 60 sec.</w:t>
      </w:r>
      <w:r w:rsidR="0049515D" w:rsidRPr="00E04AAD">
        <w:rPr>
          <w:rFonts w:cstheme="minorHAnsi"/>
          <w:sz w:val="20"/>
          <w:szCs w:val="20"/>
          <w:lang w:val="en-US"/>
        </w:rPr>
        <w:t xml:space="preserve"> </w:t>
      </w:r>
    </w:p>
    <w:p w14:paraId="0A2E9E75" w14:textId="77777777" w:rsidR="00F72425" w:rsidRPr="00E04AAD" w:rsidRDefault="00F72425" w:rsidP="001E5B05">
      <w:pPr>
        <w:spacing w:after="0"/>
        <w:jc w:val="both"/>
        <w:rPr>
          <w:rFonts w:cstheme="minorHAnsi"/>
          <w:sz w:val="20"/>
          <w:szCs w:val="20"/>
          <w:lang w:val="en-US"/>
        </w:rPr>
      </w:pPr>
    </w:p>
    <w:p w14:paraId="3981A354" w14:textId="77777777" w:rsidR="00C66664" w:rsidRPr="00E04AAD" w:rsidRDefault="00C66664" w:rsidP="001E5B05">
      <w:pPr>
        <w:spacing w:after="0"/>
        <w:jc w:val="both"/>
        <w:rPr>
          <w:rFonts w:cstheme="minorHAnsi"/>
          <w:b/>
          <w:sz w:val="20"/>
          <w:szCs w:val="20"/>
          <w:lang w:val="en-US"/>
        </w:rPr>
      </w:pPr>
      <w:r w:rsidRPr="00E04AAD">
        <w:rPr>
          <w:rFonts w:cstheme="minorHAnsi"/>
          <w:b/>
          <w:sz w:val="20"/>
          <w:szCs w:val="20"/>
          <w:lang w:val="en-US"/>
        </w:rPr>
        <w:t>FISH LOH1p/19q</w:t>
      </w:r>
    </w:p>
    <w:p w14:paraId="218CF3E5" w14:textId="19578FCF" w:rsidR="003977D9" w:rsidRDefault="008D66DC" w:rsidP="00D36657">
      <w:pPr>
        <w:jc w:val="both"/>
        <w:rPr>
          <w:rFonts w:cstheme="minorHAnsi"/>
          <w:sz w:val="20"/>
          <w:szCs w:val="20"/>
          <w:lang w:val="en-US"/>
        </w:rPr>
      </w:pPr>
      <w:r w:rsidRPr="00E04AAD">
        <w:rPr>
          <w:rFonts w:cstheme="minorHAnsi"/>
          <w:sz w:val="20"/>
          <w:szCs w:val="20"/>
          <w:lang w:val="en-US"/>
        </w:rPr>
        <w:t xml:space="preserve">FISH analysis of 1p/19q status was performed using the </w:t>
      </w:r>
      <w:proofErr w:type="spellStart"/>
      <w:r w:rsidR="00506D24" w:rsidRPr="00E04AAD">
        <w:rPr>
          <w:rFonts w:cstheme="minorHAnsi"/>
          <w:sz w:val="20"/>
          <w:szCs w:val="20"/>
          <w:lang w:val="en-US"/>
        </w:rPr>
        <w:t>Vysis</w:t>
      </w:r>
      <w:proofErr w:type="spellEnd"/>
      <w:r w:rsidRPr="00E04AAD">
        <w:rPr>
          <w:rFonts w:cstheme="minorHAnsi"/>
          <w:sz w:val="20"/>
          <w:szCs w:val="20"/>
          <w:lang w:val="en-US"/>
        </w:rPr>
        <w:t xml:space="preserve"> 1p36/1q25 and 19q13/19p13 </w:t>
      </w:r>
      <w:r w:rsidR="00506D24" w:rsidRPr="00E04AAD">
        <w:rPr>
          <w:rFonts w:cstheme="minorHAnsi"/>
          <w:sz w:val="20"/>
          <w:szCs w:val="20"/>
          <w:lang w:val="en-US"/>
        </w:rPr>
        <w:t>FISH Probe Kit</w:t>
      </w:r>
      <w:r w:rsidRPr="00E04AAD">
        <w:rPr>
          <w:rFonts w:cstheme="minorHAnsi"/>
          <w:sz w:val="20"/>
          <w:szCs w:val="20"/>
          <w:lang w:val="en-US"/>
        </w:rPr>
        <w:t xml:space="preserve"> (Abbott Molecular Inc., Abbott </w:t>
      </w:r>
      <w:r w:rsidR="0053631C" w:rsidRPr="00E04AAD">
        <w:rPr>
          <w:rFonts w:cstheme="minorHAnsi"/>
          <w:sz w:val="20"/>
          <w:szCs w:val="20"/>
          <w:lang w:val="en-US"/>
        </w:rPr>
        <w:t>Park, Illinois, USA)</w:t>
      </w:r>
      <w:r w:rsidR="009C357B" w:rsidRPr="00E04AAD">
        <w:rPr>
          <w:rFonts w:cstheme="minorHAnsi"/>
          <w:sz w:val="20"/>
          <w:szCs w:val="20"/>
          <w:lang w:val="en-US"/>
        </w:rPr>
        <w:t xml:space="preserve"> and Histology FISH Accessory Kit (</w:t>
      </w:r>
      <w:proofErr w:type="spellStart"/>
      <w:r w:rsidR="00795381" w:rsidRPr="00E04AAD">
        <w:rPr>
          <w:rFonts w:cstheme="minorHAnsi"/>
          <w:sz w:val="20"/>
          <w:szCs w:val="20"/>
          <w:lang w:val="en-US"/>
        </w:rPr>
        <w:t>Dako</w:t>
      </w:r>
      <w:proofErr w:type="spellEnd"/>
      <w:r w:rsidR="009172EA" w:rsidRPr="00E04AAD">
        <w:rPr>
          <w:rFonts w:cstheme="minorHAnsi"/>
          <w:sz w:val="20"/>
          <w:szCs w:val="20"/>
          <w:lang w:val="en-US"/>
        </w:rPr>
        <w:t xml:space="preserve">, </w:t>
      </w:r>
      <w:proofErr w:type="spellStart"/>
      <w:r w:rsidR="009172EA" w:rsidRPr="00E04AAD">
        <w:rPr>
          <w:rFonts w:cstheme="minorHAnsi"/>
          <w:sz w:val="20"/>
          <w:szCs w:val="20"/>
          <w:lang w:val="en-US"/>
        </w:rPr>
        <w:t>Glostrup</w:t>
      </w:r>
      <w:proofErr w:type="spellEnd"/>
      <w:r w:rsidR="009172EA" w:rsidRPr="00E04AAD">
        <w:rPr>
          <w:rFonts w:cstheme="minorHAnsi"/>
          <w:sz w:val="20"/>
          <w:szCs w:val="20"/>
          <w:lang w:val="en-US"/>
        </w:rPr>
        <w:t>, Denmark</w:t>
      </w:r>
      <w:r w:rsidR="00A9406B" w:rsidRPr="00E04AAD">
        <w:rPr>
          <w:rFonts w:cstheme="minorHAnsi"/>
          <w:sz w:val="20"/>
          <w:szCs w:val="20"/>
          <w:lang w:val="en-US"/>
        </w:rPr>
        <w:t>)</w:t>
      </w:r>
      <w:r w:rsidR="00BC2716" w:rsidRPr="00E04AAD">
        <w:rPr>
          <w:rFonts w:cstheme="minorHAnsi"/>
          <w:sz w:val="20"/>
          <w:szCs w:val="20"/>
          <w:lang w:val="en-US"/>
        </w:rPr>
        <w:t xml:space="preserve"> </w:t>
      </w:r>
      <w:r w:rsidR="00855839" w:rsidRPr="00E04AAD">
        <w:rPr>
          <w:rFonts w:cstheme="minorHAnsi"/>
          <w:sz w:val="20"/>
          <w:szCs w:val="20"/>
          <w:lang w:val="en-US"/>
        </w:rPr>
        <w:t>using a validated protocol</w:t>
      </w:r>
      <w:r w:rsidR="0053631C" w:rsidRPr="00E04AAD">
        <w:rPr>
          <w:rFonts w:cstheme="minorHAnsi"/>
          <w:sz w:val="20"/>
          <w:szCs w:val="20"/>
          <w:lang w:val="en-US"/>
        </w:rPr>
        <w:t xml:space="preserve">. </w:t>
      </w:r>
      <w:r w:rsidR="0026203F" w:rsidRPr="00E04AAD">
        <w:rPr>
          <w:rFonts w:cstheme="minorHAnsi"/>
          <w:sz w:val="20"/>
          <w:szCs w:val="20"/>
          <w:lang w:val="en-US"/>
        </w:rPr>
        <w:t xml:space="preserve">Sections were viewed using a </w:t>
      </w:r>
      <w:r w:rsidR="00C70821" w:rsidRPr="00E04AAD">
        <w:rPr>
          <w:rFonts w:cstheme="minorHAnsi"/>
          <w:sz w:val="20"/>
          <w:szCs w:val="20"/>
          <w:lang w:val="en-US"/>
        </w:rPr>
        <w:t>Nikon Eclipse 90i</w:t>
      </w:r>
      <w:r w:rsidR="004308F9" w:rsidRPr="00E04AAD">
        <w:rPr>
          <w:rFonts w:cstheme="minorHAnsi"/>
          <w:sz w:val="20"/>
          <w:szCs w:val="20"/>
          <w:lang w:val="en-US"/>
        </w:rPr>
        <w:t xml:space="preserve"> with </w:t>
      </w:r>
      <w:proofErr w:type="spellStart"/>
      <w:r w:rsidR="0026203F" w:rsidRPr="00E04AAD">
        <w:rPr>
          <w:rFonts w:cstheme="minorHAnsi"/>
          <w:sz w:val="20"/>
          <w:szCs w:val="20"/>
          <w:lang w:val="en-US"/>
        </w:rPr>
        <w:t>CytoV</w:t>
      </w:r>
      <w:r w:rsidR="004308F9" w:rsidRPr="00E04AAD">
        <w:rPr>
          <w:rFonts w:cstheme="minorHAnsi"/>
          <w:sz w:val="20"/>
          <w:szCs w:val="20"/>
          <w:lang w:val="en-US"/>
        </w:rPr>
        <w:t>ision</w:t>
      </w:r>
      <w:proofErr w:type="spellEnd"/>
      <w:r w:rsidR="004308F9" w:rsidRPr="00E04AAD">
        <w:rPr>
          <w:rFonts w:cstheme="minorHAnsi"/>
          <w:sz w:val="20"/>
          <w:szCs w:val="20"/>
          <w:lang w:val="en-US"/>
        </w:rPr>
        <w:t xml:space="preserve"> </w:t>
      </w:r>
      <w:r w:rsidR="0026203F" w:rsidRPr="00E04AAD">
        <w:rPr>
          <w:rFonts w:cstheme="minorHAnsi"/>
          <w:sz w:val="20"/>
          <w:szCs w:val="20"/>
          <w:lang w:val="en-US"/>
        </w:rPr>
        <w:t xml:space="preserve">software </w:t>
      </w:r>
      <w:r w:rsidR="004308F9" w:rsidRPr="00E04AAD">
        <w:rPr>
          <w:rFonts w:cstheme="minorHAnsi"/>
          <w:sz w:val="20"/>
          <w:szCs w:val="20"/>
          <w:lang w:val="en-US"/>
        </w:rPr>
        <w:t>v</w:t>
      </w:r>
      <w:r w:rsidR="0026203F" w:rsidRPr="00E04AAD">
        <w:rPr>
          <w:rFonts w:cstheme="minorHAnsi"/>
          <w:sz w:val="20"/>
          <w:szCs w:val="20"/>
          <w:lang w:val="en-US"/>
        </w:rPr>
        <w:t>ersion 3.7</w:t>
      </w:r>
      <w:r w:rsidR="004308F9" w:rsidRPr="00E04AAD">
        <w:rPr>
          <w:rFonts w:cstheme="minorHAnsi"/>
          <w:sz w:val="20"/>
          <w:szCs w:val="20"/>
          <w:lang w:val="en-US"/>
        </w:rPr>
        <w:t xml:space="preserve"> (</w:t>
      </w:r>
      <w:r w:rsidR="0026203F" w:rsidRPr="00E04AAD">
        <w:rPr>
          <w:rFonts w:cstheme="minorHAnsi"/>
          <w:sz w:val="20"/>
          <w:szCs w:val="20"/>
          <w:lang w:val="en-US"/>
        </w:rPr>
        <w:t>Applied Imaging International Ltd, Newcastle-upon-Tyne, UK</w:t>
      </w:r>
      <w:r w:rsidR="004308F9" w:rsidRPr="00E04AAD">
        <w:rPr>
          <w:rFonts w:cstheme="minorHAnsi"/>
          <w:sz w:val="20"/>
          <w:szCs w:val="20"/>
          <w:lang w:val="en-US"/>
        </w:rPr>
        <w:t xml:space="preserve">). The signal ratio was assessed </w:t>
      </w:r>
      <w:r w:rsidR="0026203F" w:rsidRPr="00E04AAD">
        <w:rPr>
          <w:rFonts w:cstheme="minorHAnsi"/>
          <w:sz w:val="20"/>
          <w:szCs w:val="20"/>
          <w:lang w:val="en-US"/>
        </w:rPr>
        <w:t>individually for chromosomes 1 and 19</w:t>
      </w:r>
      <w:r w:rsidR="00E15747" w:rsidRPr="00E04AAD">
        <w:rPr>
          <w:rFonts w:cstheme="minorHAnsi"/>
          <w:sz w:val="20"/>
          <w:szCs w:val="20"/>
          <w:lang w:val="en-US"/>
        </w:rPr>
        <w:t>. Target signals (red) and control si</w:t>
      </w:r>
      <w:r w:rsidR="00440E7B" w:rsidRPr="00E04AAD">
        <w:rPr>
          <w:rFonts w:cstheme="minorHAnsi"/>
          <w:sz w:val="20"/>
          <w:szCs w:val="20"/>
          <w:lang w:val="en-US"/>
        </w:rPr>
        <w:t>gnals (green) were counted in 50-</w:t>
      </w:r>
      <w:r w:rsidR="004308F9" w:rsidRPr="00E04AAD">
        <w:rPr>
          <w:rFonts w:cstheme="minorHAnsi"/>
          <w:sz w:val="20"/>
          <w:szCs w:val="20"/>
          <w:lang w:val="en-US"/>
        </w:rPr>
        <w:t xml:space="preserve">100 adjacent, non-overlapping </w:t>
      </w:r>
      <w:r w:rsidR="00BF7DB7" w:rsidRPr="00E04AAD">
        <w:rPr>
          <w:rFonts w:cstheme="minorHAnsi"/>
          <w:sz w:val="20"/>
          <w:szCs w:val="20"/>
          <w:lang w:val="en-US"/>
        </w:rPr>
        <w:t xml:space="preserve">nuclei. </w:t>
      </w:r>
      <w:r w:rsidR="00E15747" w:rsidRPr="00E04AAD">
        <w:rPr>
          <w:rFonts w:cstheme="minorHAnsi"/>
          <w:sz w:val="20"/>
          <w:szCs w:val="20"/>
          <w:lang w:val="en-US"/>
        </w:rPr>
        <w:t xml:space="preserve">The </w:t>
      </w:r>
      <w:r w:rsidR="00BF7DB7" w:rsidRPr="00E04AAD">
        <w:rPr>
          <w:rFonts w:cstheme="minorHAnsi"/>
          <w:sz w:val="20"/>
          <w:szCs w:val="20"/>
          <w:lang w:val="en-US"/>
        </w:rPr>
        <w:t>ratio between red and green signals was</w:t>
      </w:r>
      <w:r w:rsidR="0026203F" w:rsidRPr="00E04AAD">
        <w:rPr>
          <w:rFonts w:cstheme="minorHAnsi"/>
          <w:sz w:val="20"/>
          <w:szCs w:val="20"/>
          <w:lang w:val="en-US"/>
        </w:rPr>
        <w:t xml:space="preserve"> calculated</w:t>
      </w:r>
      <w:r w:rsidR="00BF7DB7" w:rsidRPr="00E04AAD">
        <w:rPr>
          <w:rFonts w:cstheme="minorHAnsi"/>
          <w:sz w:val="20"/>
          <w:szCs w:val="20"/>
          <w:lang w:val="en-US"/>
        </w:rPr>
        <w:t xml:space="preserve">, and our </w:t>
      </w:r>
      <w:r w:rsidR="0026203F" w:rsidRPr="00E04AAD">
        <w:rPr>
          <w:rFonts w:cstheme="minorHAnsi"/>
          <w:sz w:val="20"/>
          <w:szCs w:val="20"/>
          <w:lang w:val="en-US"/>
        </w:rPr>
        <w:t xml:space="preserve">lab-specific cut-off is a ratio </w:t>
      </w:r>
      <w:r w:rsidR="00E15747" w:rsidRPr="00E04AAD">
        <w:rPr>
          <w:rFonts w:cstheme="minorHAnsi"/>
          <w:sz w:val="20"/>
          <w:szCs w:val="20"/>
          <w:lang w:val="en-US"/>
        </w:rPr>
        <w:t xml:space="preserve">of </w:t>
      </w:r>
      <w:r w:rsidR="0026203F" w:rsidRPr="00E04AAD">
        <w:rPr>
          <w:rFonts w:cstheme="minorHAnsi"/>
          <w:sz w:val="20"/>
          <w:szCs w:val="20"/>
          <w:lang w:val="en-US"/>
        </w:rPr>
        <w:t>&lt;0</w:t>
      </w:r>
      <w:r w:rsidR="00BF7DB7" w:rsidRPr="00E04AAD">
        <w:rPr>
          <w:rFonts w:cstheme="minorHAnsi"/>
          <w:sz w:val="20"/>
          <w:szCs w:val="20"/>
          <w:lang w:val="en-US"/>
        </w:rPr>
        <w:t>.85</w:t>
      </w:r>
      <w:r w:rsidR="0026203F" w:rsidRPr="00E04AAD">
        <w:rPr>
          <w:rFonts w:cstheme="minorHAnsi"/>
          <w:sz w:val="20"/>
          <w:szCs w:val="20"/>
          <w:lang w:val="en-US"/>
        </w:rPr>
        <w:t xml:space="preserve"> to </w:t>
      </w:r>
      <w:r w:rsidR="007666B8" w:rsidRPr="00E04AAD">
        <w:rPr>
          <w:rFonts w:cstheme="minorHAnsi"/>
          <w:sz w:val="20"/>
          <w:szCs w:val="20"/>
          <w:lang w:val="en-US"/>
        </w:rPr>
        <w:t>conclude with deletion.</w:t>
      </w:r>
      <w:r w:rsidR="00E15747" w:rsidRPr="00E04AAD">
        <w:rPr>
          <w:rFonts w:cstheme="minorHAnsi"/>
          <w:sz w:val="20"/>
          <w:szCs w:val="20"/>
          <w:lang w:val="en-US"/>
        </w:rPr>
        <w:t xml:space="preserve"> </w:t>
      </w:r>
    </w:p>
    <w:p w14:paraId="4345F28C" w14:textId="77777777" w:rsidR="003977D9" w:rsidRDefault="003977D9" w:rsidP="003977D9">
      <w:pPr>
        <w:spacing w:after="0"/>
        <w:jc w:val="both"/>
        <w:rPr>
          <w:b/>
          <w:bCs/>
          <w:sz w:val="20"/>
          <w:szCs w:val="20"/>
          <w:lang w:val="en-US"/>
        </w:rPr>
      </w:pPr>
      <w:r w:rsidRPr="67EF49EA">
        <w:rPr>
          <w:b/>
          <w:bCs/>
          <w:sz w:val="20"/>
          <w:szCs w:val="20"/>
          <w:lang w:val="en-US"/>
        </w:rPr>
        <w:t>FISH CDKN2A/B</w:t>
      </w:r>
    </w:p>
    <w:p w14:paraId="6D76BAE0" w14:textId="77777777" w:rsidR="003977D9" w:rsidRDefault="003977D9" w:rsidP="003977D9">
      <w:pPr>
        <w:jc w:val="both"/>
        <w:rPr>
          <w:sz w:val="20"/>
          <w:szCs w:val="20"/>
          <w:lang w:val="en-US"/>
        </w:rPr>
      </w:pPr>
      <w:r w:rsidRPr="67EF49EA">
        <w:rPr>
          <w:sz w:val="20"/>
          <w:szCs w:val="20"/>
          <w:lang w:val="en-US"/>
        </w:rPr>
        <w:t xml:space="preserve">FISH analysis of CDKN2A/B status was performed using the </w:t>
      </w:r>
      <w:proofErr w:type="spellStart"/>
      <w:r w:rsidRPr="67EF49EA">
        <w:rPr>
          <w:sz w:val="20"/>
          <w:szCs w:val="20"/>
          <w:lang w:val="en-US"/>
        </w:rPr>
        <w:t>Vysis</w:t>
      </w:r>
      <w:proofErr w:type="spellEnd"/>
      <w:r w:rsidRPr="67EF49EA">
        <w:rPr>
          <w:sz w:val="20"/>
          <w:szCs w:val="20"/>
          <w:lang w:val="en-US"/>
        </w:rPr>
        <w:t xml:space="preserve"> CDKN2A/CEP9 FISH Probe Kit (Abbott Molecular Inc., Abbott Park, Illinois, USA) and Histology FISH Accessory Kit (</w:t>
      </w:r>
      <w:proofErr w:type="spellStart"/>
      <w:r w:rsidRPr="67EF49EA">
        <w:rPr>
          <w:sz w:val="20"/>
          <w:szCs w:val="20"/>
          <w:lang w:val="en-US"/>
        </w:rPr>
        <w:t>Dako</w:t>
      </w:r>
      <w:proofErr w:type="spellEnd"/>
      <w:r w:rsidRPr="67EF49EA">
        <w:rPr>
          <w:sz w:val="20"/>
          <w:szCs w:val="20"/>
          <w:lang w:val="en-US"/>
        </w:rPr>
        <w:t xml:space="preserve">, </w:t>
      </w:r>
      <w:proofErr w:type="spellStart"/>
      <w:r w:rsidRPr="67EF49EA">
        <w:rPr>
          <w:sz w:val="20"/>
          <w:szCs w:val="20"/>
          <w:lang w:val="en-US"/>
        </w:rPr>
        <w:t>Glostrup</w:t>
      </w:r>
      <w:proofErr w:type="spellEnd"/>
      <w:r w:rsidRPr="67EF49EA">
        <w:rPr>
          <w:sz w:val="20"/>
          <w:szCs w:val="20"/>
          <w:lang w:val="en-US"/>
        </w:rPr>
        <w:t xml:space="preserve">, Denmark) using a validated protocol. Sections were viewed using a Nikon Eclipse 90i with </w:t>
      </w:r>
      <w:proofErr w:type="spellStart"/>
      <w:r w:rsidRPr="67EF49EA">
        <w:rPr>
          <w:sz w:val="20"/>
          <w:szCs w:val="20"/>
          <w:lang w:val="en-US"/>
        </w:rPr>
        <w:t>CytoVision</w:t>
      </w:r>
      <w:proofErr w:type="spellEnd"/>
      <w:r w:rsidRPr="67EF49EA">
        <w:rPr>
          <w:sz w:val="20"/>
          <w:szCs w:val="20"/>
          <w:lang w:val="en-US"/>
        </w:rPr>
        <w:t xml:space="preserve"> software version 3.7 (Applied Imaging International Ltd, Newcastle-upon-Tyne, UK). Target signals (red) and control signals (green) were counted in 50-100 adjacent, non-overlapping nuclei. A positive cell was counted as positive if 2 green signals were present with no red signals, other combinations were counted as negative. &gt;10% of tumor cells had to be positive to conclude with homozygous deletion.</w:t>
      </w:r>
    </w:p>
    <w:p w14:paraId="336B7BFB" w14:textId="77777777" w:rsidR="00892008" w:rsidRPr="00E04AAD" w:rsidRDefault="00892008" w:rsidP="001E5B05">
      <w:pPr>
        <w:spacing w:after="0"/>
        <w:jc w:val="both"/>
        <w:rPr>
          <w:rFonts w:cstheme="minorHAnsi"/>
          <w:b/>
          <w:sz w:val="20"/>
          <w:szCs w:val="20"/>
          <w:lang w:val="en-US"/>
        </w:rPr>
      </w:pPr>
      <w:r w:rsidRPr="00E04AAD">
        <w:rPr>
          <w:rFonts w:cstheme="minorHAnsi"/>
          <w:b/>
          <w:sz w:val="20"/>
          <w:szCs w:val="20"/>
          <w:lang w:val="en-US"/>
        </w:rPr>
        <w:lastRenderedPageBreak/>
        <w:t>M</w:t>
      </w:r>
      <w:r w:rsidR="00E95D47" w:rsidRPr="00E04AAD">
        <w:rPr>
          <w:rFonts w:cstheme="minorHAnsi"/>
          <w:b/>
          <w:sz w:val="20"/>
          <w:szCs w:val="20"/>
          <w:lang w:val="en-US"/>
        </w:rPr>
        <w:t>e</w:t>
      </w:r>
      <w:r w:rsidRPr="00E04AAD">
        <w:rPr>
          <w:rFonts w:cstheme="minorHAnsi"/>
          <w:b/>
          <w:sz w:val="20"/>
          <w:szCs w:val="20"/>
          <w:lang w:val="en-US"/>
        </w:rPr>
        <w:t xml:space="preserve">thylation of MGMT and mutation analysis of TERT promoter </w:t>
      </w:r>
    </w:p>
    <w:p w14:paraId="3D802127" w14:textId="77777777" w:rsidR="00892008" w:rsidRPr="00E04AAD" w:rsidRDefault="00892008" w:rsidP="001E5B05">
      <w:pPr>
        <w:spacing w:after="0"/>
        <w:jc w:val="both"/>
        <w:rPr>
          <w:rFonts w:cstheme="minorHAnsi"/>
          <w:sz w:val="20"/>
          <w:szCs w:val="20"/>
          <w:lang w:val="en-US"/>
        </w:rPr>
      </w:pPr>
      <w:r w:rsidRPr="00E04AAD">
        <w:rPr>
          <w:rFonts w:cstheme="minorHAnsi"/>
          <w:sz w:val="20"/>
          <w:szCs w:val="20"/>
          <w:lang w:val="en-US"/>
        </w:rPr>
        <w:t>DNA</w:t>
      </w:r>
      <w:r w:rsidR="0054534F" w:rsidRPr="00E04AAD">
        <w:rPr>
          <w:rFonts w:cstheme="minorHAnsi"/>
          <w:sz w:val="20"/>
          <w:szCs w:val="20"/>
          <w:lang w:val="en-US"/>
        </w:rPr>
        <w:t xml:space="preserve"> was isolated from FFPE tissue.</w:t>
      </w:r>
      <w:r w:rsidRPr="00E04AAD">
        <w:rPr>
          <w:rFonts w:cstheme="minorHAnsi"/>
          <w:sz w:val="20"/>
          <w:szCs w:val="20"/>
          <w:lang w:val="en-US"/>
        </w:rPr>
        <w:t xml:space="preserve"> Methylation of MGMT was assessed on bisulfite converted DNA using methylation specific PCR of the methylation hot-spot region in the first exon of MGMT genes. Mutation of TERT promoter region was revealed by PCR and then Sanger sequencing of the promoter region.</w:t>
      </w:r>
    </w:p>
    <w:p w14:paraId="41605611" w14:textId="77777777" w:rsidR="003977D9" w:rsidRDefault="003977D9" w:rsidP="003977D9">
      <w:pPr>
        <w:spacing w:after="0"/>
        <w:jc w:val="both"/>
        <w:rPr>
          <w:rFonts w:cstheme="minorHAnsi"/>
          <w:sz w:val="20"/>
          <w:szCs w:val="20"/>
          <w:lang w:val="en-US"/>
        </w:rPr>
      </w:pPr>
    </w:p>
    <w:p w14:paraId="01A8EDBC" w14:textId="7EEC114B" w:rsidR="003977D9" w:rsidRPr="00E04AAD" w:rsidRDefault="003977D9" w:rsidP="003977D9">
      <w:pPr>
        <w:spacing w:after="0"/>
        <w:jc w:val="both"/>
        <w:rPr>
          <w:b/>
          <w:bCs/>
          <w:sz w:val="20"/>
          <w:szCs w:val="20"/>
          <w:lang w:val="en-US"/>
        </w:rPr>
      </w:pPr>
      <w:r w:rsidRPr="67EF49EA">
        <w:rPr>
          <w:b/>
          <w:bCs/>
          <w:sz w:val="20"/>
          <w:szCs w:val="20"/>
          <w:lang w:val="en-US"/>
        </w:rPr>
        <w:t xml:space="preserve">Next Generation Sequencing analysis </w:t>
      </w:r>
    </w:p>
    <w:p w14:paraId="48B4E3F1" w14:textId="77777777" w:rsidR="003977D9" w:rsidRPr="00E04AAD" w:rsidRDefault="003977D9" w:rsidP="003977D9">
      <w:pPr>
        <w:spacing w:after="0"/>
        <w:jc w:val="both"/>
        <w:rPr>
          <w:sz w:val="20"/>
          <w:szCs w:val="20"/>
          <w:lang w:val="en-US"/>
        </w:rPr>
      </w:pPr>
      <w:r w:rsidRPr="67EF49EA">
        <w:rPr>
          <w:sz w:val="20"/>
          <w:szCs w:val="20"/>
          <w:lang w:val="en-US"/>
        </w:rPr>
        <w:t xml:space="preserve">DNA was extracted using the </w:t>
      </w:r>
      <w:proofErr w:type="spellStart"/>
      <w:r w:rsidRPr="67EF49EA">
        <w:rPr>
          <w:sz w:val="20"/>
          <w:szCs w:val="20"/>
          <w:lang w:val="en-US"/>
        </w:rPr>
        <w:t>QIAcube</w:t>
      </w:r>
      <w:proofErr w:type="spellEnd"/>
      <w:r w:rsidRPr="67EF49EA">
        <w:rPr>
          <w:sz w:val="20"/>
          <w:szCs w:val="20"/>
          <w:lang w:val="en-US"/>
        </w:rPr>
        <w:t xml:space="preserve"> Connect (Qiagen, Valencia, CA) and the </w:t>
      </w:r>
      <w:proofErr w:type="spellStart"/>
      <w:r w:rsidRPr="67EF49EA">
        <w:rPr>
          <w:sz w:val="20"/>
          <w:szCs w:val="20"/>
          <w:lang w:val="en-US"/>
        </w:rPr>
        <w:t>QIAamp</w:t>
      </w:r>
      <w:proofErr w:type="spellEnd"/>
      <w:r w:rsidRPr="67EF49EA">
        <w:rPr>
          <w:sz w:val="20"/>
          <w:szCs w:val="20"/>
          <w:lang w:val="en-US"/>
        </w:rPr>
        <w:t xml:space="preserve"> DNA FFPE Tissue Kit (Qiagen, Valencia, CA) and then eluted in 200 </w:t>
      </w:r>
      <w:proofErr w:type="spellStart"/>
      <w:r w:rsidRPr="67EF49EA">
        <w:rPr>
          <w:sz w:val="20"/>
          <w:szCs w:val="20"/>
          <w:lang w:val="en-US"/>
        </w:rPr>
        <w:t>uL</w:t>
      </w:r>
      <w:proofErr w:type="spellEnd"/>
      <w:r w:rsidRPr="67EF49EA">
        <w:rPr>
          <w:sz w:val="20"/>
          <w:szCs w:val="20"/>
          <w:lang w:val="en-US"/>
        </w:rPr>
        <w:t xml:space="preserve"> of the supplied buffer. DNA concentration was measured fluorometrically by Qubit® (</w:t>
      </w:r>
      <w:proofErr w:type="spellStart"/>
      <w:r w:rsidRPr="67EF49EA">
        <w:rPr>
          <w:sz w:val="20"/>
          <w:szCs w:val="20"/>
          <w:lang w:val="en-US"/>
        </w:rPr>
        <w:t>Thermo</w:t>
      </w:r>
      <w:proofErr w:type="spellEnd"/>
      <w:r w:rsidRPr="67EF49EA">
        <w:rPr>
          <w:sz w:val="20"/>
          <w:szCs w:val="20"/>
          <w:lang w:val="en-US"/>
        </w:rPr>
        <w:t xml:space="preserve"> Fisher Scientific, Waltham, MA) using either the dsDNA BR or the HS Assay Kit depending on the yield. Quantitative real-time PCR (qPCR) of FCGR3b with a fragment length of 300 bp was performed to assess the fragmentation degree in FFPE DNA. In short, the NGS analysis uses </w:t>
      </w:r>
      <w:proofErr w:type="spellStart"/>
      <w:r w:rsidRPr="67EF49EA">
        <w:rPr>
          <w:sz w:val="20"/>
          <w:szCs w:val="20"/>
          <w:lang w:val="en-US"/>
        </w:rPr>
        <w:t>Oncomine</w:t>
      </w:r>
      <w:proofErr w:type="spellEnd"/>
      <w:r w:rsidRPr="67EF49EA">
        <w:rPr>
          <w:sz w:val="20"/>
          <w:szCs w:val="20"/>
          <w:lang w:val="en-US"/>
        </w:rPr>
        <w:t xml:space="preserve"> Focus Assay, Chef-Ready Library, kit (A42008, </w:t>
      </w:r>
      <w:proofErr w:type="spellStart"/>
      <w:r w:rsidRPr="67EF49EA">
        <w:rPr>
          <w:sz w:val="20"/>
          <w:szCs w:val="20"/>
          <w:lang w:val="en-US"/>
        </w:rPr>
        <w:t>Thermo</w:t>
      </w:r>
      <w:proofErr w:type="spellEnd"/>
      <w:r w:rsidRPr="67EF49EA">
        <w:rPr>
          <w:sz w:val="20"/>
          <w:szCs w:val="20"/>
          <w:lang w:val="en-US"/>
        </w:rPr>
        <w:t xml:space="preserve"> Fischer Scientific) according to manufacturer's instructions. The analysis is performed using the following platforms supplied by Ion Torrent Systems: Ion Chef Instrument and Ion </w:t>
      </w:r>
      <w:proofErr w:type="spellStart"/>
      <w:r w:rsidRPr="67EF49EA">
        <w:rPr>
          <w:sz w:val="20"/>
          <w:szCs w:val="20"/>
          <w:lang w:val="en-US"/>
        </w:rPr>
        <w:t>GeneStudio</w:t>
      </w:r>
      <w:proofErr w:type="spellEnd"/>
      <w:r w:rsidRPr="67EF49EA">
        <w:rPr>
          <w:sz w:val="20"/>
          <w:szCs w:val="20"/>
          <w:lang w:val="en-US"/>
        </w:rPr>
        <w:t xml:space="preserve"> S5 Sequencer. For each run a blind control (non-template control) was used. Sequencing was performed on the Illumina </w:t>
      </w:r>
      <w:proofErr w:type="spellStart"/>
      <w:r w:rsidRPr="67EF49EA">
        <w:rPr>
          <w:sz w:val="20"/>
          <w:szCs w:val="20"/>
          <w:lang w:val="en-US"/>
        </w:rPr>
        <w:t>MiSeq</w:t>
      </w:r>
      <w:proofErr w:type="spellEnd"/>
      <w:r w:rsidRPr="67EF49EA">
        <w:rPr>
          <w:sz w:val="20"/>
          <w:szCs w:val="20"/>
          <w:lang w:val="en-US"/>
        </w:rPr>
        <w:t xml:space="preserve"> or </w:t>
      </w:r>
      <w:proofErr w:type="spellStart"/>
      <w:r w:rsidRPr="67EF49EA">
        <w:rPr>
          <w:sz w:val="20"/>
          <w:szCs w:val="20"/>
          <w:lang w:val="en-US"/>
        </w:rPr>
        <w:t>NextSeq</w:t>
      </w:r>
      <w:proofErr w:type="spellEnd"/>
      <w:r w:rsidRPr="67EF49EA">
        <w:rPr>
          <w:sz w:val="20"/>
          <w:szCs w:val="20"/>
          <w:lang w:val="en-US"/>
        </w:rPr>
        <w:t xml:space="preserve"> platform (Illumina, San Diego, CA). Data analysis was performed using </w:t>
      </w:r>
      <w:proofErr w:type="spellStart"/>
      <w:r w:rsidRPr="67EF49EA">
        <w:rPr>
          <w:sz w:val="20"/>
          <w:szCs w:val="20"/>
          <w:lang w:val="en-US"/>
        </w:rPr>
        <w:t>IonReporter</w:t>
      </w:r>
      <w:proofErr w:type="spellEnd"/>
      <w:r w:rsidRPr="67EF49EA">
        <w:rPr>
          <w:sz w:val="20"/>
          <w:szCs w:val="20"/>
          <w:lang w:val="en-US"/>
        </w:rPr>
        <w:t>.</w:t>
      </w:r>
    </w:p>
    <w:p w14:paraId="63EBD2FC" w14:textId="77777777" w:rsidR="00E04AAD" w:rsidRDefault="00E04AAD" w:rsidP="001E5B05">
      <w:pPr>
        <w:spacing w:after="0"/>
        <w:jc w:val="both"/>
        <w:rPr>
          <w:rFonts w:cstheme="minorHAnsi"/>
          <w:sz w:val="20"/>
          <w:szCs w:val="20"/>
          <w:lang w:val="en-US"/>
        </w:rPr>
      </w:pPr>
    </w:p>
    <w:p w14:paraId="591E65C7" w14:textId="77777777" w:rsidR="003977D9" w:rsidRPr="00E04AAD" w:rsidRDefault="003977D9" w:rsidP="001E5B05">
      <w:pPr>
        <w:spacing w:after="0"/>
        <w:jc w:val="both"/>
        <w:rPr>
          <w:rFonts w:cstheme="minorHAnsi"/>
          <w:sz w:val="20"/>
          <w:szCs w:val="20"/>
          <w:lang w:val="en-US"/>
        </w:rPr>
      </w:pPr>
    </w:p>
    <w:p w14:paraId="6024D0D0" w14:textId="7F40120C" w:rsidR="00E04AAD" w:rsidRPr="00E04AAD" w:rsidRDefault="00E04AAD" w:rsidP="00E04AAD">
      <w:pPr>
        <w:jc w:val="both"/>
        <w:rPr>
          <w:rFonts w:cstheme="minorHAnsi"/>
          <w:b/>
          <w:bCs/>
          <w:sz w:val="24"/>
          <w:szCs w:val="24"/>
          <w:lang w:val="en-US"/>
        </w:rPr>
      </w:pPr>
      <w:r w:rsidRPr="00E04AAD">
        <w:rPr>
          <w:rFonts w:cstheme="minorHAnsi"/>
          <w:b/>
          <w:bCs/>
          <w:sz w:val="24"/>
          <w:szCs w:val="24"/>
          <w:lang w:val="en-US"/>
        </w:rPr>
        <w:t xml:space="preserve">University Hospital of North Norway, </w:t>
      </w:r>
      <w:proofErr w:type="spellStart"/>
      <w:r w:rsidRPr="00E04AAD">
        <w:rPr>
          <w:rFonts w:cstheme="minorHAnsi"/>
          <w:b/>
          <w:bCs/>
          <w:sz w:val="24"/>
          <w:szCs w:val="24"/>
          <w:lang w:val="en-US"/>
        </w:rPr>
        <w:t>Tromsø</w:t>
      </w:r>
      <w:proofErr w:type="spellEnd"/>
    </w:p>
    <w:p w14:paraId="1A7E2BC3" w14:textId="2847A8D6" w:rsidR="00E04AAD" w:rsidRPr="00E04AAD" w:rsidRDefault="00E04AAD" w:rsidP="00E04AAD">
      <w:pPr>
        <w:contextualSpacing/>
        <w:jc w:val="both"/>
        <w:rPr>
          <w:rFonts w:cstheme="minorHAnsi"/>
          <w:b/>
          <w:sz w:val="20"/>
          <w:szCs w:val="20"/>
          <w:lang w:val="en-US"/>
        </w:rPr>
      </w:pPr>
      <w:r w:rsidRPr="00E04AAD">
        <w:rPr>
          <w:rFonts w:cstheme="minorHAnsi"/>
          <w:b/>
          <w:sz w:val="20"/>
          <w:szCs w:val="20"/>
          <w:lang w:val="en-US"/>
        </w:rPr>
        <w:t>Immunohistochemistry</w:t>
      </w:r>
    </w:p>
    <w:p w14:paraId="756197AD" w14:textId="77777777" w:rsidR="00E04AAD" w:rsidRPr="00E04AAD" w:rsidRDefault="00E04AAD" w:rsidP="00E04AAD">
      <w:pPr>
        <w:contextualSpacing/>
        <w:jc w:val="both"/>
        <w:rPr>
          <w:rFonts w:cstheme="minorHAnsi"/>
          <w:b/>
          <w:bCs/>
          <w:sz w:val="20"/>
          <w:szCs w:val="20"/>
          <w:lang w:val="en-US"/>
        </w:rPr>
      </w:pPr>
      <w:r w:rsidRPr="00E04AAD">
        <w:rPr>
          <w:rFonts w:cstheme="minorHAnsi"/>
          <w:sz w:val="20"/>
          <w:szCs w:val="20"/>
          <w:lang w:val="en-US"/>
        </w:rPr>
        <w:t xml:space="preserve">All tumor samples were fixed in buffered formalin. Paraffin sections (3,5-μm-thick) were cut, mounted on </w:t>
      </w:r>
      <w:proofErr w:type="spellStart"/>
      <w:r w:rsidRPr="00E04AAD">
        <w:rPr>
          <w:rFonts w:cstheme="minorHAnsi"/>
          <w:sz w:val="20"/>
          <w:szCs w:val="20"/>
          <w:lang w:val="en-US"/>
        </w:rPr>
        <w:t>Superfrost</w:t>
      </w:r>
      <w:proofErr w:type="spellEnd"/>
      <w:r w:rsidRPr="00E04AAD">
        <w:rPr>
          <w:rFonts w:cstheme="minorHAnsi"/>
          <w:sz w:val="20"/>
          <w:szCs w:val="20"/>
          <w:lang w:val="en-US"/>
        </w:rPr>
        <w:t xml:space="preserve"> Plus glass and dried at 60°-70°C for a minimum of 30 minutes. </w:t>
      </w:r>
    </w:p>
    <w:p w14:paraId="3C04BEC2" w14:textId="77777777" w:rsidR="00E04AAD" w:rsidRPr="00E04AAD" w:rsidRDefault="00E04AAD" w:rsidP="00E04AAD">
      <w:pPr>
        <w:jc w:val="both"/>
        <w:rPr>
          <w:rFonts w:cstheme="minorHAnsi"/>
          <w:sz w:val="20"/>
          <w:szCs w:val="20"/>
          <w:lang w:val="en-US"/>
        </w:rPr>
      </w:pPr>
      <w:r w:rsidRPr="00E04AAD">
        <w:rPr>
          <w:rFonts w:cstheme="minorHAnsi"/>
          <w:sz w:val="20"/>
          <w:szCs w:val="20"/>
          <w:lang w:val="en-US"/>
        </w:rPr>
        <w:t xml:space="preserve">Immunohistochemical staining was done on </w:t>
      </w:r>
      <w:proofErr w:type="spellStart"/>
      <w:r w:rsidRPr="00E04AAD">
        <w:rPr>
          <w:rFonts w:cstheme="minorHAnsi"/>
          <w:sz w:val="20"/>
          <w:szCs w:val="20"/>
          <w:lang w:val="en-US"/>
        </w:rPr>
        <w:t>BenchMark</w:t>
      </w:r>
      <w:proofErr w:type="spellEnd"/>
      <w:r w:rsidRPr="00E04AAD">
        <w:rPr>
          <w:rFonts w:cstheme="minorHAnsi"/>
          <w:sz w:val="20"/>
          <w:szCs w:val="20"/>
          <w:lang w:val="en-US"/>
        </w:rPr>
        <w:t xml:space="preserve"> Ultra fully automated tissue staining system (Ventana Medical Systems, Inc., Tucson, AZ) using validated protocols with the following antibodies:</w:t>
      </w:r>
    </w:p>
    <w:p w14:paraId="1D16FC82" w14:textId="77777777" w:rsidR="00E04AAD" w:rsidRPr="00E04AAD" w:rsidRDefault="00E04AAD" w:rsidP="003977D9">
      <w:pPr>
        <w:spacing w:line="240" w:lineRule="auto"/>
        <w:contextualSpacing/>
        <w:jc w:val="both"/>
        <w:rPr>
          <w:rFonts w:cstheme="minorHAnsi"/>
          <w:sz w:val="20"/>
          <w:szCs w:val="20"/>
          <w:lang w:val="en-US"/>
        </w:rPr>
      </w:pPr>
      <w:r w:rsidRPr="00E04AAD">
        <w:rPr>
          <w:rFonts w:cstheme="minorHAnsi"/>
          <w:sz w:val="20"/>
          <w:szCs w:val="20"/>
          <w:lang w:val="en-US"/>
        </w:rPr>
        <w:t xml:space="preserve">-Mouse monoclonal IDH1-R132H antibody (clone H09, </w:t>
      </w:r>
      <w:proofErr w:type="spellStart"/>
      <w:r w:rsidRPr="00E04AAD">
        <w:rPr>
          <w:rFonts w:cstheme="minorHAnsi"/>
          <w:sz w:val="20"/>
          <w:szCs w:val="20"/>
          <w:lang w:val="en-US"/>
        </w:rPr>
        <w:t>Dianova</w:t>
      </w:r>
      <w:proofErr w:type="spellEnd"/>
      <w:r w:rsidRPr="00E04AAD">
        <w:rPr>
          <w:rFonts w:cstheme="minorHAnsi"/>
          <w:sz w:val="20"/>
          <w:szCs w:val="20"/>
          <w:lang w:val="en-US"/>
        </w:rPr>
        <w:t>, ready to use)</w:t>
      </w:r>
    </w:p>
    <w:p w14:paraId="15E1CD83" w14:textId="77777777" w:rsidR="00E04AAD" w:rsidRPr="00E04AAD" w:rsidRDefault="00E04AAD" w:rsidP="003977D9">
      <w:pPr>
        <w:spacing w:line="240" w:lineRule="auto"/>
        <w:contextualSpacing/>
        <w:jc w:val="both"/>
        <w:rPr>
          <w:rFonts w:cstheme="minorHAnsi"/>
          <w:sz w:val="20"/>
          <w:szCs w:val="20"/>
          <w:lang w:val="en-US"/>
        </w:rPr>
      </w:pPr>
      <w:r w:rsidRPr="00E04AAD">
        <w:rPr>
          <w:rFonts w:cstheme="minorHAnsi"/>
          <w:sz w:val="20"/>
          <w:szCs w:val="20"/>
          <w:lang w:val="en-US"/>
        </w:rPr>
        <w:t xml:space="preserve">-ATRX antibody (polyclonal, Sigma Aldrich, 1:500) </w:t>
      </w:r>
    </w:p>
    <w:p w14:paraId="1295DC9B" w14:textId="77777777" w:rsidR="00E04AAD" w:rsidRPr="00E04AAD" w:rsidRDefault="00E04AAD" w:rsidP="003977D9">
      <w:pPr>
        <w:spacing w:line="240" w:lineRule="auto"/>
        <w:contextualSpacing/>
        <w:jc w:val="both"/>
        <w:rPr>
          <w:rFonts w:cstheme="minorHAnsi"/>
          <w:sz w:val="20"/>
          <w:szCs w:val="20"/>
          <w:lang w:val="en-US"/>
        </w:rPr>
      </w:pPr>
      <w:r w:rsidRPr="00E04AAD">
        <w:rPr>
          <w:rFonts w:cstheme="minorHAnsi"/>
          <w:sz w:val="20"/>
          <w:szCs w:val="20"/>
          <w:lang w:val="en-US"/>
        </w:rPr>
        <w:t>-Mouse monoclonal p53 (clone DO-7, Ventana)</w:t>
      </w:r>
    </w:p>
    <w:p w14:paraId="351E0A24" w14:textId="483E7BD4" w:rsidR="00E04AAD" w:rsidRDefault="00E04AAD" w:rsidP="003977D9">
      <w:pPr>
        <w:spacing w:line="240" w:lineRule="auto"/>
        <w:contextualSpacing/>
        <w:jc w:val="both"/>
        <w:rPr>
          <w:rFonts w:cstheme="minorHAnsi"/>
          <w:sz w:val="20"/>
          <w:szCs w:val="20"/>
          <w:lang w:val="en-US"/>
        </w:rPr>
      </w:pPr>
      <w:r w:rsidRPr="00E04AAD">
        <w:rPr>
          <w:rFonts w:cstheme="minorHAnsi"/>
          <w:sz w:val="20"/>
          <w:szCs w:val="20"/>
          <w:lang w:val="en-US"/>
        </w:rPr>
        <w:t>-Mouse monoclonal Ki-67 (clone 30-9, Ventana)</w:t>
      </w:r>
    </w:p>
    <w:p w14:paraId="7F2E145A" w14:textId="77777777" w:rsidR="003977D9" w:rsidRPr="00E04AAD" w:rsidRDefault="003977D9" w:rsidP="003977D9">
      <w:pPr>
        <w:spacing w:line="240" w:lineRule="auto"/>
        <w:contextualSpacing/>
        <w:jc w:val="both"/>
        <w:rPr>
          <w:rFonts w:cstheme="minorHAnsi"/>
          <w:sz w:val="20"/>
          <w:szCs w:val="20"/>
          <w:lang w:val="en-US"/>
        </w:rPr>
      </w:pPr>
    </w:p>
    <w:p w14:paraId="2E1CA300" w14:textId="77777777" w:rsidR="00E04AAD" w:rsidRDefault="00E04AAD" w:rsidP="00E04AAD">
      <w:pPr>
        <w:contextualSpacing/>
        <w:jc w:val="both"/>
        <w:rPr>
          <w:rFonts w:cstheme="minorHAnsi"/>
          <w:b/>
          <w:sz w:val="20"/>
          <w:szCs w:val="20"/>
          <w:lang w:val="en-US"/>
        </w:rPr>
      </w:pPr>
      <w:r w:rsidRPr="00E04AAD">
        <w:rPr>
          <w:rFonts w:cstheme="minorHAnsi"/>
          <w:b/>
          <w:sz w:val="20"/>
          <w:szCs w:val="20"/>
          <w:lang w:val="en-US"/>
        </w:rPr>
        <w:t>Molecular analysis</w:t>
      </w:r>
    </w:p>
    <w:p w14:paraId="7B0D9729" w14:textId="5AB00780" w:rsidR="00E04AAD" w:rsidRPr="00E04AAD" w:rsidRDefault="00E04AAD" w:rsidP="00E04AAD">
      <w:pPr>
        <w:contextualSpacing/>
        <w:jc w:val="both"/>
        <w:rPr>
          <w:rFonts w:cstheme="minorHAnsi"/>
          <w:b/>
          <w:sz w:val="20"/>
          <w:szCs w:val="20"/>
          <w:lang w:val="en-US"/>
        </w:rPr>
      </w:pPr>
      <w:r w:rsidRPr="00E04AAD">
        <w:rPr>
          <w:rFonts w:cstheme="minorHAnsi"/>
          <w:sz w:val="20"/>
          <w:szCs w:val="20"/>
          <w:lang w:val="en-US"/>
        </w:rPr>
        <w:t xml:space="preserve">In patients younger than 55 years and negative immunohistochemistry for IDH1, further IDH analysis was done either using MLPA or direct sequencing for mutations in IDH1 an IDH2. </w:t>
      </w:r>
    </w:p>
    <w:p w14:paraId="536CEA97" w14:textId="027C0F88" w:rsidR="00E04AAD" w:rsidRPr="00E04AAD" w:rsidRDefault="00E04AAD" w:rsidP="00E04AAD">
      <w:pPr>
        <w:jc w:val="both"/>
        <w:rPr>
          <w:rFonts w:cstheme="minorHAnsi"/>
          <w:sz w:val="20"/>
          <w:szCs w:val="20"/>
          <w:lang w:val="en-US"/>
        </w:rPr>
      </w:pPr>
      <w:r w:rsidRPr="00E04AAD">
        <w:rPr>
          <w:rFonts w:cstheme="minorHAnsi"/>
          <w:sz w:val="20"/>
          <w:szCs w:val="20"/>
          <w:lang w:val="en-US"/>
        </w:rPr>
        <w:t>In cases with IDH mutation combined with normal (</w:t>
      </w:r>
      <w:proofErr w:type="spellStart"/>
      <w:r w:rsidRPr="00E04AAD">
        <w:rPr>
          <w:rFonts w:cstheme="minorHAnsi"/>
          <w:sz w:val="20"/>
          <w:szCs w:val="20"/>
          <w:lang w:val="en-US"/>
        </w:rPr>
        <w:t>wt</w:t>
      </w:r>
      <w:proofErr w:type="spellEnd"/>
      <w:r w:rsidRPr="00E04AAD">
        <w:rPr>
          <w:rFonts w:cstheme="minorHAnsi"/>
          <w:sz w:val="20"/>
          <w:szCs w:val="20"/>
          <w:lang w:val="en-US"/>
        </w:rPr>
        <w:t xml:space="preserve">) expression of ATRX, or morphology suggestive of an oligodendroglioma, MLPA was performed for 1p19q. </w:t>
      </w:r>
    </w:p>
    <w:p w14:paraId="6D3CECF6" w14:textId="37D635B1" w:rsidR="00596834" w:rsidRDefault="00596834" w:rsidP="00596834">
      <w:pPr>
        <w:jc w:val="both"/>
        <w:rPr>
          <w:rFonts w:cstheme="minorHAnsi"/>
          <w:sz w:val="20"/>
          <w:szCs w:val="20"/>
          <w:lang w:val="en-US"/>
        </w:rPr>
      </w:pPr>
      <w:r w:rsidRPr="00596834">
        <w:rPr>
          <w:rFonts w:cstheme="minorHAnsi"/>
          <w:sz w:val="20"/>
          <w:szCs w:val="20"/>
          <w:lang w:val="en-US"/>
        </w:rPr>
        <w:t xml:space="preserve">MLPA was often preferred method of use, since it covers both IDH mutations, </w:t>
      </w:r>
      <w:r w:rsidR="00EB286B" w:rsidRPr="00596834">
        <w:rPr>
          <w:rFonts w:cstheme="minorHAnsi"/>
          <w:sz w:val="20"/>
          <w:szCs w:val="20"/>
          <w:lang w:val="en-US"/>
        </w:rPr>
        <w:t>homozygo</w:t>
      </w:r>
      <w:r w:rsidR="00EB286B">
        <w:rPr>
          <w:rFonts w:cstheme="minorHAnsi"/>
          <w:sz w:val="20"/>
          <w:szCs w:val="20"/>
          <w:lang w:val="en-US"/>
        </w:rPr>
        <w:t>us</w:t>
      </w:r>
      <w:r w:rsidR="00EB286B" w:rsidRPr="00596834">
        <w:rPr>
          <w:rFonts w:cstheme="minorHAnsi"/>
          <w:sz w:val="20"/>
          <w:szCs w:val="20"/>
          <w:lang w:val="en-US"/>
        </w:rPr>
        <w:t xml:space="preserve"> deletion of </w:t>
      </w:r>
      <w:r w:rsidRPr="00596834">
        <w:rPr>
          <w:rFonts w:cstheme="minorHAnsi"/>
          <w:sz w:val="20"/>
          <w:szCs w:val="20"/>
          <w:lang w:val="en-US"/>
        </w:rPr>
        <w:t xml:space="preserve">CDKN2A/B and 1p19q deletions. Direct sequencing was preferred when the only interest was IDH mutation status, or to exclude rare IDH mutations not covered by MLPA. </w:t>
      </w:r>
    </w:p>
    <w:p w14:paraId="538F8783" w14:textId="3AACC1FE" w:rsidR="00596834" w:rsidRPr="00596834" w:rsidRDefault="00596834" w:rsidP="00596834">
      <w:pPr>
        <w:jc w:val="both"/>
        <w:rPr>
          <w:rFonts w:cstheme="minorHAnsi"/>
          <w:sz w:val="20"/>
          <w:szCs w:val="20"/>
          <w:lang w:val="en-US"/>
        </w:rPr>
      </w:pPr>
      <w:r w:rsidRPr="00596834">
        <w:rPr>
          <w:rFonts w:cstheme="minorHAnsi"/>
          <w:sz w:val="20"/>
          <w:szCs w:val="20"/>
          <w:lang w:val="en-US"/>
        </w:rPr>
        <w:t xml:space="preserve">IDH mutant </w:t>
      </w:r>
      <w:proofErr w:type="spellStart"/>
      <w:r w:rsidRPr="00596834">
        <w:rPr>
          <w:rFonts w:cstheme="minorHAnsi"/>
          <w:sz w:val="20"/>
          <w:szCs w:val="20"/>
          <w:lang w:val="en-US"/>
        </w:rPr>
        <w:t>astrocytomas</w:t>
      </w:r>
      <w:proofErr w:type="spellEnd"/>
      <w:r w:rsidRPr="00596834">
        <w:rPr>
          <w:rFonts w:cstheme="minorHAnsi"/>
          <w:sz w:val="20"/>
          <w:szCs w:val="20"/>
          <w:lang w:val="en-US"/>
        </w:rPr>
        <w:t xml:space="preserve"> WHO grade 2 and 3 were tested for homozygo</w:t>
      </w:r>
      <w:r w:rsidR="000D4856">
        <w:rPr>
          <w:rFonts w:cstheme="minorHAnsi"/>
          <w:sz w:val="20"/>
          <w:szCs w:val="20"/>
          <w:lang w:val="en-US"/>
        </w:rPr>
        <w:t>us</w:t>
      </w:r>
      <w:r w:rsidRPr="00596834">
        <w:rPr>
          <w:rFonts w:cstheme="minorHAnsi"/>
          <w:sz w:val="20"/>
          <w:szCs w:val="20"/>
          <w:lang w:val="en-US"/>
        </w:rPr>
        <w:t xml:space="preserve"> deletion of CDKN2A/B using MLPA according to the latest WHO CNS classification, to exclude molecular Grade 4 tumors.</w:t>
      </w:r>
    </w:p>
    <w:p w14:paraId="2D6ED9E5" w14:textId="77777777" w:rsidR="00E04AAD" w:rsidRPr="00E04AAD" w:rsidRDefault="00E04AAD" w:rsidP="00E04AAD">
      <w:pPr>
        <w:spacing w:after="0"/>
        <w:jc w:val="both"/>
        <w:rPr>
          <w:rFonts w:cstheme="minorHAnsi"/>
          <w:b/>
          <w:sz w:val="20"/>
          <w:szCs w:val="20"/>
          <w:lang w:val="en-US"/>
        </w:rPr>
      </w:pPr>
      <w:r w:rsidRPr="00E04AAD">
        <w:rPr>
          <w:rFonts w:cstheme="minorHAnsi"/>
          <w:b/>
          <w:sz w:val="20"/>
          <w:szCs w:val="20"/>
          <w:lang w:val="en-US"/>
        </w:rPr>
        <w:t>IDH1 and IDH2 mutation analysis</w:t>
      </w:r>
    </w:p>
    <w:p w14:paraId="10A9FF36" w14:textId="6C6C83AF" w:rsidR="00E04AAD" w:rsidRPr="00E04AAD" w:rsidRDefault="00E04AAD" w:rsidP="00E04AAD">
      <w:pPr>
        <w:spacing w:after="0"/>
        <w:jc w:val="both"/>
        <w:rPr>
          <w:rFonts w:cstheme="minorHAnsi"/>
          <w:sz w:val="20"/>
          <w:szCs w:val="20"/>
          <w:lang w:val="en-US"/>
        </w:rPr>
      </w:pPr>
      <w:r w:rsidRPr="00E04AAD">
        <w:rPr>
          <w:rFonts w:cstheme="minorHAnsi"/>
          <w:sz w:val="20"/>
          <w:szCs w:val="20"/>
          <w:lang w:val="en-US"/>
        </w:rPr>
        <w:t>Pri</w:t>
      </w:r>
      <w:r w:rsidR="0061658D">
        <w:rPr>
          <w:rFonts w:cstheme="minorHAnsi"/>
          <w:sz w:val="20"/>
          <w:szCs w:val="20"/>
          <w:lang w:val="en-US"/>
        </w:rPr>
        <w:t>n</w:t>
      </w:r>
      <w:r w:rsidRPr="00E04AAD">
        <w:rPr>
          <w:rFonts w:cstheme="minorHAnsi"/>
          <w:sz w:val="20"/>
          <w:szCs w:val="20"/>
          <w:lang w:val="en-US"/>
        </w:rPr>
        <w:t xml:space="preserve">ciple of method is DNA amplification by PCR followed by direct sequencing of codon 132, exon </w:t>
      </w:r>
      <w:proofErr w:type="gramStart"/>
      <w:r w:rsidRPr="00E04AAD">
        <w:rPr>
          <w:rFonts w:cstheme="minorHAnsi"/>
          <w:sz w:val="20"/>
          <w:szCs w:val="20"/>
          <w:lang w:val="en-US"/>
        </w:rPr>
        <w:t>4,</w:t>
      </w:r>
      <w:proofErr w:type="gramEnd"/>
      <w:r w:rsidRPr="00E04AAD">
        <w:rPr>
          <w:rFonts w:cstheme="minorHAnsi"/>
          <w:sz w:val="20"/>
          <w:szCs w:val="20"/>
          <w:lang w:val="en-US"/>
        </w:rPr>
        <w:t xml:space="preserve"> of the IDH1-gene, and codon 172, exon 4, of the IDH2-gene. </w:t>
      </w:r>
    </w:p>
    <w:p w14:paraId="64B06600" w14:textId="77777777" w:rsidR="00E04AAD" w:rsidRPr="00E04AAD" w:rsidRDefault="00E04AAD" w:rsidP="00E04AAD">
      <w:pPr>
        <w:spacing w:after="0"/>
        <w:jc w:val="both"/>
        <w:rPr>
          <w:rFonts w:cstheme="minorHAnsi"/>
          <w:sz w:val="20"/>
          <w:szCs w:val="20"/>
          <w:lang w:val="en-US"/>
        </w:rPr>
      </w:pPr>
      <w:r w:rsidRPr="00E04AAD">
        <w:rPr>
          <w:rFonts w:cstheme="minorHAnsi"/>
          <w:sz w:val="20"/>
          <w:szCs w:val="20"/>
          <w:lang w:val="en-US"/>
        </w:rPr>
        <w:t xml:space="preserve">PCR primers are as follows (5`-3`):  </w:t>
      </w:r>
    </w:p>
    <w:p w14:paraId="5E45EE5B" w14:textId="77777777" w:rsidR="00E04AAD" w:rsidRPr="001736A6" w:rsidRDefault="00E04AAD" w:rsidP="00E04AAD">
      <w:pPr>
        <w:spacing w:after="0"/>
        <w:jc w:val="both"/>
        <w:rPr>
          <w:rFonts w:cstheme="minorHAnsi"/>
          <w:sz w:val="20"/>
          <w:szCs w:val="20"/>
          <w:lang w:val="en-US"/>
        </w:rPr>
      </w:pPr>
      <w:r w:rsidRPr="00E04AAD">
        <w:rPr>
          <w:rFonts w:cstheme="minorHAnsi"/>
          <w:sz w:val="20"/>
          <w:szCs w:val="20"/>
          <w:lang w:val="en-US"/>
        </w:rPr>
        <w:t>IDH1-M13</w:t>
      </w:r>
      <w:proofErr w:type="gramStart"/>
      <w:r w:rsidRPr="00E04AAD">
        <w:rPr>
          <w:rFonts w:cstheme="minorHAnsi"/>
          <w:sz w:val="20"/>
          <w:szCs w:val="20"/>
          <w:lang w:val="en-US"/>
        </w:rPr>
        <w:t xml:space="preserve">Fwd  </w:t>
      </w:r>
      <w:r w:rsidRPr="001736A6">
        <w:rPr>
          <w:rFonts w:cstheme="minorHAnsi"/>
          <w:sz w:val="20"/>
          <w:szCs w:val="20"/>
          <w:lang w:val="en-US"/>
        </w:rPr>
        <w:t>TGTAAAACGACGGCCAGTCGGTCTTCAGAGAAGCCATT</w:t>
      </w:r>
      <w:proofErr w:type="gramEnd"/>
      <w:r w:rsidRPr="001736A6">
        <w:rPr>
          <w:rFonts w:cstheme="minorHAnsi"/>
          <w:sz w:val="20"/>
          <w:szCs w:val="20"/>
          <w:lang w:val="en-US"/>
        </w:rPr>
        <w:t xml:space="preserve"> (Operon), and </w:t>
      </w:r>
    </w:p>
    <w:p w14:paraId="3BD60987" w14:textId="77777777" w:rsidR="00E04AAD" w:rsidRPr="00E04AAD" w:rsidRDefault="00E04AAD" w:rsidP="00E04AAD">
      <w:pPr>
        <w:spacing w:after="0"/>
        <w:jc w:val="both"/>
        <w:rPr>
          <w:rFonts w:cstheme="minorHAnsi"/>
          <w:sz w:val="20"/>
          <w:szCs w:val="20"/>
          <w:lang w:val="en-US"/>
        </w:rPr>
      </w:pPr>
      <w:r w:rsidRPr="00E04AAD">
        <w:rPr>
          <w:rFonts w:cstheme="minorHAnsi"/>
          <w:sz w:val="20"/>
          <w:szCs w:val="20"/>
          <w:lang w:val="en-US"/>
        </w:rPr>
        <w:t>IDH1 Rev CACATACAAGTTGGAAATTTCTGGGCCATGAAAAAAAAAAC (Operon</w:t>
      </w:r>
      <w:proofErr w:type="gramStart"/>
      <w:r w:rsidRPr="00E04AAD">
        <w:rPr>
          <w:rFonts w:cstheme="minorHAnsi"/>
          <w:sz w:val="20"/>
          <w:szCs w:val="20"/>
          <w:lang w:val="en-US"/>
        </w:rPr>
        <w:t>),-</w:t>
      </w:r>
      <w:proofErr w:type="gramEnd"/>
      <w:r w:rsidRPr="00E04AAD">
        <w:rPr>
          <w:rFonts w:cstheme="minorHAnsi"/>
          <w:sz w:val="20"/>
          <w:szCs w:val="20"/>
          <w:lang w:val="en-US"/>
        </w:rPr>
        <w:t xml:space="preserve"> gaining a PCR product of 190 bp.</w:t>
      </w:r>
    </w:p>
    <w:p w14:paraId="1D384C2C" w14:textId="77777777" w:rsidR="00E04AAD" w:rsidRPr="00E04AAD" w:rsidRDefault="00E04AAD" w:rsidP="00E04AAD">
      <w:pPr>
        <w:spacing w:after="0"/>
        <w:jc w:val="both"/>
        <w:rPr>
          <w:rFonts w:cstheme="minorHAnsi"/>
          <w:color w:val="000000"/>
          <w:sz w:val="20"/>
          <w:szCs w:val="20"/>
          <w:lang w:val="en-US"/>
        </w:rPr>
      </w:pPr>
      <w:r w:rsidRPr="00E04AAD">
        <w:rPr>
          <w:rFonts w:cstheme="minorHAnsi"/>
          <w:sz w:val="20"/>
          <w:szCs w:val="20"/>
          <w:lang w:val="en-US"/>
        </w:rPr>
        <w:lastRenderedPageBreak/>
        <w:t xml:space="preserve">IDH2-M13Fwd </w:t>
      </w:r>
      <w:proofErr w:type="gramStart"/>
      <w:r w:rsidRPr="00E04AAD">
        <w:rPr>
          <w:rFonts w:cstheme="minorHAnsi"/>
          <w:sz w:val="20"/>
          <w:szCs w:val="20"/>
          <w:lang w:val="en-US"/>
        </w:rPr>
        <w:t>TGTAAAACGACGGCCAGTTTCTGGTTGAAAGATGGCG  (</w:t>
      </w:r>
      <w:proofErr w:type="gramEnd"/>
      <w:r w:rsidRPr="00E04AAD">
        <w:rPr>
          <w:rFonts w:cstheme="minorHAnsi"/>
          <w:sz w:val="20"/>
          <w:szCs w:val="20"/>
          <w:lang w:val="en-US"/>
        </w:rPr>
        <w:t xml:space="preserve">Operon) and IDH2-M13 Rev CAGGAAACAGCTATGGACCCAGGTCAGTGGATCCCCTC </w:t>
      </w:r>
      <w:r w:rsidRPr="00E04AAD">
        <w:rPr>
          <w:rFonts w:cstheme="minorHAnsi"/>
          <w:color w:val="000000"/>
          <w:sz w:val="20"/>
          <w:szCs w:val="20"/>
          <w:lang w:val="en-US"/>
        </w:rPr>
        <w:t>(Operon), gaining a PCR product of 273 bp.</w:t>
      </w:r>
    </w:p>
    <w:p w14:paraId="299D8A6C" w14:textId="3FA28DC1" w:rsidR="00596834" w:rsidRPr="00596834" w:rsidRDefault="00E04AAD" w:rsidP="00E04AAD">
      <w:pPr>
        <w:jc w:val="both"/>
        <w:rPr>
          <w:rFonts w:cstheme="minorHAnsi"/>
          <w:sz w:val="20"/>
          <w:szCs w:val="20"/>
          <w:lang w:val="en-US"/>
        </w:rPr>
      </w:pPr>
      <w:r w:rsidRPr="00E04AAD">
        <w:rPr>
          <w:rFonts w:cstheme="minorHAnsi"/>
          <w:sz w:val="20"/>
          <w:szCs w:val="20"/>
          <w:lang w:val="en-US"/>
        </w:rPr>
        <w:t xml:space="preserve">The PCR reaction was run with Verity 96 Well Thermal Cycler PCR instrument. PCR cycle: denaturation 95°C 7 min, followed by 35 cycles of 95°C 45 sec, 60°C for 45 sec, 72°C for 90 sec, and final extension 72°C for 10 min. The PCR product were then sequenced, and followed sequencing the files were analyzed in </w:t>
      </w:r>
      <w:proofErr w:type="spellStart"/>
      <w:r w:rsidRPr="00E04AAD">
        <w:rPr>
          <w:rFonts w:cstheme="minorHAnsi"/>
          <w:sz w:val="20"/>
          <w:szCs w:val="20"/>
          <w:lang w:val="en-US"/>
        </w:rPr>
        <w:t>Seqscape</w:t>
      </w:r>
      <w:proofErr w:type="spellEnd"/>
      <w:r w:rsidRPr="00E04AAD">
        <w:rPr>
          <w:rFonts w:cstheme="minorHAnsi"/>
          <w:sz w:val="20"/>
          <w:szCs w:val="20"/>
          <w:lang w:val="en-US"/>
        </w:rPr>
        <w:t>.</w:t>
      </w:r>
    </w:p>
    <w:p w14:paraId="47C5A9AE" w14:textId="77777777" w:rsidR="00E04AAD" w:rsidRPr="00E04AAD" w:rsidRDefault="00E04AAD" w:rsidP="00E04AAD">
      <w:pPr>
        <w:contextualSpacing/>
        <w:jc w:val="both"/>
        <w:rPr>
          <w:rFonts w:cstheme="minorHAnsi"/>
          <w:b/>
          <w:sz w:val="20"/>
          <w:szCs w:val="20"/>
          <w:lang w:val="en-US"/>
        </w:rPr>
      </w:pPr>
      <w:r w:rsidRPr="00E04AAD">
        <w:rPr>
          <w:rFonts w:cstheme="minorHAnsi"/>
          <w:b/>
          <w:sz w:val="20"/>
          <w:szCs w:val="20"/>
          <w:lang w:val="en-US"/>
        </w:rPr>
        <w:t>MLPA analysis (Multiplex Ligation-dependent Probe Amplification)</w:t>
      </w:r>
    </w:p>
    <w:p w14:paraId="3B8EBB62" w14:textId="41EA8AAA" w:rsidR="00E04AAD" w:rsidRPr="00596834" w:rsidRDefault="00E04AAD" w:rsidP="00596834">
      <w:pPr>
        <w:autoSpaceDE w:val="0"/>
        <w:autoSpaceDN w:val="0"/>
        <w:jc w:val="both"/>
        <w:rPr>
          <w:rFonts w:cstheme="minorHAnsi"/>
          <w:sz w:val="20"/>
          <w:szCs w:val="20"/>
          <w:lang w:val="en-US"/>
        </w:rPr>
      </w:pPr>
      <w:r w:rsidRPr="00E04AAD">
        <w:rPr>
          <w:rFonts w:cstheme="minorHAnsi"/>
          <w:sz w:val="20"/>
          <w:szCs w:val="20"/>
          <w:lang w:val="en-US"/>
        </w:rPr>
        <w:t xml:space="preserve">MLPA analysis was used for detection of codeletion of 1p and 19q and IDH1 and IDH2 mutations, using </w:t>
      </w:r>
      <w:proofErr w:type="gramStart"/>
      <w:r w:rsidRPr="00E04AAD">
        <w:rPr>
          <w:rFonts w:cstheme="minorHAnsi"/>
          <w:sz w:val="20"/>
          <w:szCs w:val="20"/>
          <w:lang w:val="en-US"/>
        </w:rPr>
        <w:t>a</w:t>
      </w:r>
      <w:proofErr w:type="gramEnd"/>
      <w:r w:rsidRPr="00E04AAD">
        <w:rPr>
          <w:rFonts w:cstheme="minorHAnsi"/>
          <w:sz w:val="20"/>
          <w:szCs w:val="20"/>
          <w:lang w:val="en-US"/>
        </w:rPr>
        <w:t xml:space="preserve"> MRC-Holland Kit: </w:t>
      </w:r>
      <w:r w:rsidRPr="00E04AAD">
        <w:rPr>
          <w:rFonts w:cstheme="minorHAnsi"/>
          <w:color w:val="000000"/>
          <w:sz w:val="20"/>
          <w:szCs w:val="20"/>
          <w:lang w:val="en-US"/>
        </w:rPr>
        <w:t xml:space="preserve">SALSA® MLPA® </w:t>
      </w:r>
      <w:proofErr w:type="spellStart"/>
      <w:r w:rsidRPr="00E04AAD">
        <w:rPr>
          <w:rFonts w:cstheme="minorHAnsi"/>
          <w:color w:val="000000"/>
          <w:sz w:val="20"/>
          <w:szCs w:val="20"/>
          <w:lang w:val="en-US"/>
        </w:rPr>
        <w:t>Probemix</w:t>
      </w:r>
      <w:proofErr w:type="spellEnd"/>
      <w:r w:rsidRPr="00E04AAD">
        <w:rPr>
          <w:rFonts w:cstheme="minorHAnsi"/>
          <w:color w:val="000000"/>
          <w:sz w:val="20"/>
          <w:szCs w:val="20"/>
          <w:lang w:val="en-US"/>
        </w:rPr>
        <w:t xml:space="preserve"> P088 Oligodendroglioma 1p-19q. The method is a DNA based copy-number analysis used </w:t>
      </w:r>
      <w:r w:rsidRPr="00E04AAD">
        <w:rPr>
          <w:rFonts w:cstheme="minorHAnsi"/>
          <w:sz w:val="20"/>
          <w:szCs w:val="20"/>
          <w:lang w:val="en-US"/>
        </w:rPr>
        <w:t xml:space="preserve">to determine the relative copy number at multiple loci on 1p and 19q relative to reference loci distributed on other chromosomal loci.  </w:t>
      </w:r>
      <w:r w:rsidR="00596834" w:rsidRPr="00596834">
        <w:rPr>
          <w:rFonts w:cstheme="minorHAnsi"/>
          <w:sz w:val="20"/>
          <w:szCs w:val="20"/>
          <w:lang w:val="en-US"/>
        </w:rPr>
        <w:t xml:space="preserve">This assay also contains loci covering CDKN2A and </w:t>
      </w:r>
      <w:proofErr w:type="gramStart"/>
      <w:r w:rsidR="00596834" w:rsidRPr="00596834">
        <w:rPr>
          <w:rFonts w:cstheme="minorHAnsi"/>
          <w:sz w:val="20"/>
          <w:szCs w:val="20"/>
          <w:lang w:val="en-US"/>
        </w:rPr>
        <w:t>CDKN2B, and</w:t>
      </w:r>
      <w:proofErr w:type="gramEnd"/>
      <w:r w:rsidR="00596834" w:rsidRPr="00596834">
        <w:rPr>
          <w:rFonts w:cstheme="minorHAnsi"/>
          <w:sz w:val="20"/>
          <w:szCs w:val="20"/>
          <w:lang w:val="en-US"/>
        </w:rPr>
        <w:t xml:space="preserve"> is used to determine homozygo</w:t>
      </w:r>
      <w:r w:rsidR="00EB286B">
        <w:rPr>
          <w:rFonts w:cstheme="minorHAnsi"/>
          <w:sz w:val="20"/>
          <w:szCs w:val="20"/>
          <w:lang w:val="en-US"/>
        </w:rPr>
        <w:t>us</w:t>
      </w:r>
      <w:r w:rsidR="00596834" w:rsidRPr="00596834">
        <w:rPr>
          <w:rFonts w:cstheme="minorHAnsi"/>
          <w:sz w:val="20"/>
          <w:szCs w:val="20"/>
          <w:lang w:val="en-US"/>
        </w:rPr>
        <w:t xml:space="preserve"> deletion of the two markers. This assay also detects the presence of frequent mutations in </w:t>
      </w:r>
      <w:r w:rsidR="00596834" w:rsidRPr="00596834">
        <w:rPr>
          <w:rFonts w:cstheme="minorHAnsi"/>
          <w:i/>
          <w:iCs/>
          <w:sz w:val="20"/>
          <w:szCs w:val="20"/>
          <w:lang w:val="en-US"/>
        </w:rPr>
        <w:t>IDH1</w:t>
      </w:r>
      <w:r w:rsidR="00596834" w:rsidRPr="00596834">
        <w:rPr>
          <w:rFonts w:cstheme="minorHAnsi"/>
          <w:sz w:val="20"/>
          <w:szCs w:val="20"/>
          <w:lang w:val="en-US"/>
        </w:rPr>
        <w:t xml:space="preserve"> and </w:t>
      </w:r>
      <w:r w:rsidR="00596834" w:rsidRPr="00596834">
        <w:rPr>
          <w:rFonts w:cstheme="minorHAnsi"/>
          <w:i/>
          <w:iCs/>
          <w:sz w:val="20"/>
          <w:szCs w:val="20"/>
          <w:lang w:val="en-US"/>
        </w:rPr>
        <w:t>IDH2</w:t>
      </w:r>
      <w:r w:rsidR="00596834" w:rsidRPr="00596834">
        <w:rPr>
          <w:rFonts w:cstheme="minorHAnsi"/>
          <w:sz w:val="20"/>
          <w:szCs w:val="20"/>
          <w:lang w:val="en-US"/>
        </w:rPr>
        <w:t>. At least 30% neoplastic cells are required for a reliable result from MLPA.</w:t>
      </w:r>
    </w:p>
    <w:p w14:paraId="1DF0130D" w14:textId="271917CD" w:rsidR="00E04AAD" w:rsidRPr="00E04AAD" w:rsidRDefault="00E04AAD" w:rsidP="00E04AAD">
      <w:pPr>
        <w:spacing w:after="0"/>
        <w:jc w:val="both"/>
        <w:rPr>
          <w:rFonts w:cstheme="minorHAnsi"/>
          <w:b/>
          <w:sz w:val="20"/>
          <w:szCs w:val="20"/>
          <w:lang w:val="en-US"/>
        </w:rPr>
      </w:pPr>
      <w:r w:rsidRPr="00E04AAD">
        <w:rPr>
          <w:rFonts w:cstheme="minorHAnsi"/>
          <w:b/>
          <w:sz w:val="20"/>
          <w:szCs w:val="20"/>
          <w:lang w:val="en-US"/>
        </w:rPr>
        <w:t>MGMT Pyrosequencing for met</w:t>
      </w:r>
      <w:r w:rsidR="0061658D">
        <w:rPr>
          <w:rFonts w:cstheme="minorHAnsi"/>
          <w:b/>
          <w:sz w:val="20"/>
          <w:szCs w:val="20"/>
          <w:lang w:val="en-US"/>
        </w:rPr>
        <w:t>h</w:t>
      </w:r>
      <w:r w:rsidRPr="00E04AAD">
        <w:rPr>
          <w:rFonts w:cstheme="minorHAnsi"/>
          <w:b/>
          <w:sz w:val="20"/>
          <w:szCs w:val="20"/>
          <w:lang w:val="en-US"/>
        </w:rPr>
        <w:t>ylation analysis</w:t>
      </w:r>
    </w:p>
    <w:p w14:paraId="20E5327D" w14:textId="43940485" w:rsidR="00E04AAD" w:rsidRDefault="00E04AAD" w:rsidP="001E5B05">
      <w:pPr>
        <w:spacing w:after="0"/>
        <w:jc w:val="both"/>
        <w:rPr>
          <w:rFonts w:cstheme="minorHAnsi"/>
          <w:sz w:val="20"/>
          <w:szCs w:val="20"/>
          <w:lang w:val="en-US"/>
        </w:rPr>
      </w:pPr>
      <w:r w:rsidRPr="00E04AAD">
        <w:rPr>
          <w:rFonts w:cstheme="minorHAnsi"/>
          <w:sz w:val="20"/>
          <w:szCs w:val="20"/>
          <w:lang w:val="en-US"/>
        </w:rPr>
        <w:t>DNA was isolated from FFPE tissue. Methylation of MGMT was assessed on bisulfite converted DNA using Pyrosequencing of four CpG sites in exon 1 of the MGMT gene (</w:t>
      </w:r>
      <w:proofErr w:type="spellStart"/>
      <w:r w:rsidRPr="00E04AAD">
        <w:rPr>
          <w:rFonts w:cstheme="minorHAnsi"/>
          <w:sz w:val="20"/>
          <w:szCs w:val="20"/>
          <w:lang w:val="en-US"/>
        </w:rPr>
        <w:t>Therascreen</w:t>
      </w:r>
      <w:proofErr w:type="spellEnd"/>
      <w:r w:rsidRPr="00E04AAD">
        <w:rPr>
          <w:rFonts w:cstheme="minorHAnsi"/>
          <w:sz w:val="20"/>
          <w:szCs w:val="20"/>
          <w:lang w:val="en-US"/>
        </w:rPr>
        <w:t xml:space="preserve"> MGMT Pyro Kit, Qiagen). The cutoff for met</w:t>
      </w:r>
      <w:r w:rsidR="0061658D">
        <w:rPr>
          <w:rFonts w:cstheme="minorHAnsi"/>
          <w:sz w:val="20"/>
          <w:szCs w:val="20"/>
          <w:lang w:val="en-US"/>
        </w:rPr>
        <w:t>h</w:t>
      </w:r>
      <w:r w:rsidRPr="00E04AAD">
        <w:rPr>
          <w:rFonts w:cstheme="minorHAnsi"/>
          <w:sz w:val="20"/>
          <w:szCs w:val="20"/>
          <w:lang w:val="en-US"/>
        </w:rPr>
        <w:t>ylation was set to 10%.</w:t>
      </w:r>
    </w:p>
    <w:p w14:paraId="00BFD321" w14:textId="77777777" w:rsidR="00596834" w:rsidRDefault="00596834" w:rsidP="001E5B05">
      <w:pPr>
        <w:spacing w:after="0"/>
        <w:jc w:val="both"/>
        <w:rPr>
          <w:rFonts w:cstheme="minorHAnsi"/>
          <w:sz w:val="20"/>
          <w:szCs w:val="20"/>
          <w:lang w:val="en-US"/>
        </w:rPr>
      </w:pPr>
    </w:p>
    <w:p w14:paraId="6394A78C" w14:textId="77777777" w:rsidR="00596834" w:rsidRPr="00596834" w:rsidRDefault="00596834" w:rsidP="00596834">
      <w:pPr>
        <w:autoSpaceDE w:val="0"/>
        <w:autoSpaceDN w:val="0"/>
        <w:rPr>
          <w:rFonts w:cstheme="minorHAnsi"/>
          <w:sz w:val="20"/>
          <w:szCs w:val="20"/>
          <w:lang w:val="en-US"/>
        </w:rPr>
      </w:pPr>
    </w:p>
    <w:p w14:paraId="3174C263" w14:textId="77777777" w:rsidR="00596834" w:rsidRPr="00E04AAD" w:rsidRDefault="00596834" w:rsidP="001E5B05">
      <w:pPr>
        <w:spacing w:after="0"/>
        <w:jc w:val="both"/>
        <w:rPr>
          <w:rFonts w:cstheme="minorHAnsi"/>
          <w:sz w:val="20"/>
          <w:szCs w:val="20"/>
          <w:lang w:val="en-US"/>
        </w:rPr>
      </w:pPr>
    </w:p>
    <w:sectPr w:rsidR="00596834" w:rsidRPr="00E04A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6DC"/>
    <w:rsid w:val="00007F96"/>
    <w:rsid w:val="000126F6"/>
    <w:rsid w:val="000D4856"/>
    <w:rsid w:val="001736A6"/>
    <w:rsid w:val="00197F42"/>
    <w:rsid w:val="001D5B4F"/>
    <w:rsid w:val="001E5B05"/>
    <w:rsid w:val="00220D0E"/>
    <w:rsid w:val="0026203F"/>
    <w:rsid w:val="00264E05"/>
    <w:rsid w:val="002C228D"/>
    <w:rsid w:val="002F2374"/>
    <w:rsid w:val="002F39AF"/>
    <w:rsid w:val="0037032F"/>
    <w:rsid w:val="0038570C"/>
    <w:rsid w:val="003977D9"/>
    <w:rsid w:val="004308F9"/>
    <w:rsid w:val="00440E7B"/>
    <w:rsid w:val="00462451"/>
    <w:rsid w:val="0049515D"/>
    <w:rsid w:val="004F7A12"/>
    <w:rsid w:val="005039AE"/>
    <w:rsid w:val="00506D24"/>
    <w:rsid w:val="0053631C"/>
    <w:rsid w:val="0054534F"/>
    <w:rsid w:val="005573F8"/>
    <w:rsid w:val="00596834"/>
    <w:rsid w:val="005A1797"/>
    <w:rsid w:val="0061658D"/>
    <w:rsid w:val="00644279"/>
    <w:rsid w:val="006712AA"/>
    <w:rsid w:val="0069679A"/>
    <w:rsid w:val="006D5163"/>
    <w:rsid w:val="007500E5"/>
    <w:rsid w:val="00766639"/>
    <w:rsid w:val="007666B8"/>
    <w:rsid w:val="00795381"/>
    <w:rsid w:val="00796453"/>
    <w:rsid w:val="007C183A"/>
    <w:rsid w:val="00812A85"/>
    <w:rsid w:val="00855839"/>
    <w:rsid w:val="008756BC"/>
    <w:rsid w:val="00892008"/>
    <w:rsid w:val="008C0746"/>
    <w:rsid w:val="008D66DC"/>
    <w:rsid w:val="008F39E7"/>
    <w:rsid w:val="009172EA"/>
    <w:rsid w:val="009503A0"/>
    <w:rsid w:val="0099090C"/>
    <w:rsid w:val="009C357B"/>
    <w:rsid w:val="009E36C9"/>
    <w:rsid w:val="00A023C6"/>
    <w:rsid w:val="00A13EB0"/>
    <w:rsid w:val="00A9406B"/>
    <w:rsid w:val="00B130A0"/>
    <w:rsid w:val="00BA5319"/>
    <w:rsid w:val="00BC17E1"/>
    <w:rsid w:val="00BC2716"/>
    <w:rsid w:val="00BE0FB7"/>
    <w:rsid w:val="00BF7DB7"/>
    <w:rsid w:val="00C66664"/>
    <w:rsid w:val="00C70821"/>
    <w:rsid w:val="00C9069A"/>
    <w:rsid w:val="00D14EA9"/>
    <w:rsid w:val="00D36657"/>
    <w:rsid w:val="00D57C58"/>
    <w:rsid w:val="00E04AAD"/>
    <w:rsid w:val="00E15747"/>
    <w:rsid w:val="00E81F15"/>
    <w:rsid w:val="00E9210E"/>
    <w:rsid w:val="00E95D47"/>
    <w:rsid w:val="00EB286B"/>
    <w:rsid w:val="00F0188D"/>
    <w:rsid w:val="00F03210"/>
    <w:rsid w:val="00F7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1DF2B1"/>
  <w15:docId w15:val="{C7654A98-B23C-D343-BE66-09DD63B99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37032F"/>
    <w:rPr>
      <w:i/>
      <w:iCs/>
    </w:rPr>
  </w:style>
  <w:style w:type="character" w:styleId="Hyperlink">
    <w:name w:val="Hyperlink"/>
    <w:basedOn w:val="DefaultParagraphFont"/>
    <w:uiPriority w:val="99"/>
    <w:unhideWhenUsed/>
    <w:rsid w:val="003703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namka@stud.ntnu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1224</Words>
  <Characters>6982</Characters>
  <Application>Microsoft Office Word</Application>
  <DocSecurity>0</DocSecurity>
  <Lines>58</Lines>
  <Paragraphs>16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Helse Midt-Norge</Company>
  <LinksUpToDate>false</LinksUpToDate>
  <CharactersWithSpaces>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Skjulsvik, Anne Jarstein</dc:creator>
  <cp:lastModifiedBy>Anna Maria Karlberg</cp:lastModifiedBy>
  <cp:revision>2</cp:revision>
  <cp:lastPrinted>2016-10-05T12:00:00Z</cp:lastPrinted>
  <dcterms:created xsi:type="dcterms:W3CDTF">2023-08-17T13:15:00Z</dcterms:created>
  <dcterms:modified xsi:type="dcterms:W3CDTF">2023-08-17T13:15:00Z</dcterms:modified>
</cp:coreProperties>
</file>