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44" w:rsidRDefault="00154E93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Supplementary Information</w:t>
      </w:r>
    </w:p>
    <w:p w:rsidR="00114E44" w:rsidRDefault="00114E44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:rsidR="00114E44" w:rsidRDefault="00154E9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Tau accumulation is associated with dopamine deficiency in vivo in four-repeat tauopathies</w:t>
      </w:r>
    </w:p>
    <w:p w:rsidR="00114E44" w:rsidRDefault="00114E44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:rsidR="00114E44" w:rsidRDefault="00154E93">
      <w:pPr>
        <w:jc w:val="both"/>
        <w:rPr>
          <w:rFonts w:ascii="Arial" w:hAnsi="Arial" w:cs="Arial"/>
          <w:vertAlign w:val="superscript"/>
          <w:lang w:val="en-US"/>
        </w:rPr>
      </w:pPr>
      <w:r>
        <w:rPr>
          <w:rFonts w:ascii="Arial" w:hAnsi="Arial" w:cs="Arial"/>
          <w:lang w:val="en-US"/>
        </w:rPr>
        <w:t>Christian Ferschmann</w:t>
      </w:r>
      <w:r>
        <w:rPr>
          <w:rFonts w:ascii="Arial" w:hAnsi="Arial" w:cs="Arial"/>
          <w:vertAlign w:val="superscript"/>
          <w:lang w:val="en-US"/>
        </w:rPr>
        <w:t>1*</w:t>
      </w:r>
      <w:r>
        <w:rPr>
          <w:rFonts w:ascii="Arial" w:hAnsi="Arial" w:cs="Arial"/>
          <w:lang w:val="en-US"/>
        </w:rPr>
        <w:t>, Konstantin Messerschmidt</w:t>
      </w:r>
      <w:r>
        <w:rPr>
          <w:rFonts w:ascii="Arial" w:hAnsi="Arial" w:cs="Arial"/>
          <w:vertAlign w:val="superscript"/>
          <w:lang w:val="en-US"/>
        </w:rPr>
        <w:t xml:space="preserve">4* </w:t>
      </w:r>
      <w:r>
        <w:rPr>
          <w:rFonts w:ascii="Arial" w:hAnsi="Arial" w:cs="Arial"/>
          <w:lang w:val="en-US"/>
        </w:rPr>
        <w:t>(MD), Johannes Gnörich</w:t>
      </w:r>
      <w:r>
        <w:rPr>
          <w:rFonts w:ascii="Arial" w:hAnsi="Arial" w:cs="Arial"/>
          <w:vertAlign w:val="superscript"/>
          <w:lang w:val="en-US"/>
        </w:rPr>
        <w:t xml:space="preserve">1 </w:t>
      </w:r>
      <w:r>
        <w:rPr>
          <w:rFonts w:ascii="Arial" w:hAnsi="Arial" w:cs="Arial"/>
          <w:lang w:val="en-US"/>
        </w:rPr>
        <w:t>(MD), Henryk Barthel</w:t>
      </w:r>
      <w:r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(MD, PhD), Ken Marek</w:t>
      </w:r>
      <w:r>
        <w:rPr>
          <w:rFonts w:ascii="Arial" w:hAnsi="Arial" w:cs="Arial"/>
          <w:vertAlign w:val="superscript"/>
          <w:lang w:val="en-US"/>
        </w:rPr>
        <w:t xml:space="preserve">5,6 </w:t>
      </w:r>
      <w:r>
        <w:rPr>
          <w:rFonts w:ascii="Arial" w:hAnsi="Arial" w:cs="Arial"/>
          <w:lang w:val="en-US"/>
        </w:rPr>
        <w:t xml:space="preserve">(MD), Carla </w:t>
      </w:r>
      <w:r>
        <w:rPr>
          <w:rFonts w:ascii="Arial" w:hAnsi="Arial" w:cs="Arial"/>
          <w:lang w:val="en-US"/>
        </w:rPr>
        <w:t>Palleis</w:t>
      </w:r>
      <w:r>
        <w:rPr>
          <w:rFonts w:ascii="Arial" w:hAnsi="Arial" w:cs="Arial"/>
          <w:vertAlign w:val="superscript"/>
          <w:lang w:val="en-US"/>
        </w:rPr>
        <w:t xml:space="preserve">2,3,7 </w:t>
      </w:r>
      <w:r>
        <w:rPr>
          <w:rFonts w:ascii="Arial" w:hAnsi="Arial" w:cs="Arial"/>
          <w:lang w:val="en-US"/>
        </w:rPr>
        <w:t>(MD), Sabrina Katzdobler</w:t>
      </w:r>
      <w:r>
        <w:rPr>
          <w:rFonts w:ascii="Arial" w:hAnsi="Arial" w:cs="Arial"/>
          <w:vertAlign w:val="superscript"/>
          <w:lang w:val="en-US"/>
        </w:rPr>
        <w:t>7</w:t>
      </w:r>
      <w:r>
        <w:rPr>
          <w:rFonts w:ascii="Arial" w:hAnsi="Arial" w:cs="Arial"/>
          <w:lang w:val="en-US"/>
        </w:rPr>
        <w:t xml:space="preserve"> (MD), Anna Stockbauer</w:t>
      </w:r>
      <w:r>
        <w:rPr>
          <w:rFonts w:ascii="Arial" w:hAnsi="Arial" w:cs="Arial"/>
          <w:vertAlign w:val="superscript"/>
          <w:lang w:val="en-US"/>
        </w:rPr>
        <w:t>7</w:t>
      </w:r>
      <w:r>
        <w:rPr>
          <w:rFonts w:ascii="Arial" w:hAnsi="Arial" w:cs="Arial"/>
          <w:lang w:val="en-US"/>
        </w:rPr>
        <w:t xml:space="preserve"> (MD), Urban Fietzek</w:t>
      </w:r>
      <w:r>
        <w:rPr>
          <w:rFonts w:ascii="Arial" w:hAnsi="Arial" w:cs="Arial"/>
          <w:vertAlign w:val="superscript"/>
          <w:lang w:val="en-US"/>
        </w:rPr>
        <w:t xml:space="preserve">7 </w:t>
      </w:r>
      <w:r>
        <w:rPr>
          <w:rFonts w:ascii="Arial" w:hAnsi="Arial" w:cs="Arial"/>
          <w:lang w:val="en-US"/>
        </w:rPr>
        <w:t>(MD), Anika Finze</w:t>
      </w:r>
      <w:r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lang w:val="en-US"/>
        </w:rPr>
        <w:t>, Gloria Biechele</w:t>
      </w:r>
      <w:r>
        <w:rPr>
          <w:rFonts w:ascii="Arial" w:hAnsi="Arial" w:cs="Arial"/>
          <w:vertAlign w:val="superscript"/>
          <w:lang w:val="en-US"/>
        </w:rPr>
        <w:t xml:space="preserve">1,8 </w:t>
      </w:r>
      <w:r>
        <w:rPr>
          <w:rFonts w:ascii="Arial" w:hAnsi="Arial" w:cs="Arial"/>
          <w:lang w:val="en-US"/>
        </w:rPr>
        <w:t xml:space="preserve">(MD), </w:t>
      </w:r>
      <w:proofErr w:type="spellStart"/>
      <w:r>
        <w:rPr>
          <w:rFonts w:ascii="Arial" w:hAnsi="Arial" w:cs="Arial"/>
          <w:lang w:val="en-US"/>
        </w:rPr>
        <w:t>Jost</w:t>
      </w:r>
      <w:proofErr w:type="spellEnd"/>
      <w:r>
        <w:rPr>
          <w:rFonts w:ascii="Arial" w:hAnsi="Arial" w:cs="Arial"/>
          <w:lang w:val="en-US"/>
        </w:rPr>
        <w:t>-Julian Rumpf</w:t>
      </w:r>
      <w:r>
        <w:rPr>
          <w:rFonts w:ascii="Arial" w:hAnsi="Arial" w:cs="Arial"/>
          <w:vertAlign w:val="superscript"/>
          <w:lang w:val="en-US"/>
        </w:rPr>
        <w:t xml:space="preserve">9 </w:t>
      </w:r>
      <w:r>
        <w:rPr>
          <w:rFonts w:ascii="Arial" w:hAnsi="Arial" w:cs="Arial"/>
          <w:lang w:val="en-US"/>
        </w:rPr>
        <w:t xml:space="preserve">(MD), </w:t>
      </w:r>
      <w:proofErr w:type="spellStart"/>
      <w:r>
        <w:rPr>
          <w:rFonts w:ascii="Arial" w:hAnsi="Arial" w:cs="Arial"/>
          <w:lang w:val="en-US"/>
        </w:rPr>
        <w:t>Dorothee</w:t>
      </w:r>
      <w:proofErr w:type="spellEnd"/>
      <w:r>
        <w:rPr>
          <w:rFonts w:ascii="Arial" w:hAnsi="Arial" w:cs="Arial"/>
          <w:lang w:val="en-US"/>
        </w:rPr>
        <w:t xml:space="preserve"> Saur</w:t>
      </w:r>
      <w:r>
        <w:rPr>
          <w:rFonts w:ascii="Arial" w:hAnsi="Arial" w:cs="Arial"/>
          <w:vertAlign w:val="superscript"/>
          <w:lang w:val="en-US"/>
        </w:rPr>
        <w:t xml:space="preserve">9 </w:t>
      </w:r>
      <w:r>
        <w:rPr>
          <w:rFonts w:ascii="Arial" w:hAnsi="Arial" w:cs="Arial"/>
          <w:lang w:val="en-US"/>
        </w:rPr>
        <w:t>(MD), Matthias L. Schroeter</w:t>
      </w:r>
      <w:r>
        <w:rPr>
          <w:rFonts w:ascii="Arial" w:hAnsi="Arial" w:cs="Arial"/>
          <w:vertAlign w:val="superscript"/>
          <w:lang w:val="en-US"/>
        </w:rPr>
        <w:t xml:space="preserve">10,11,12 </w:t>
      </w:r>
      <w:r>
        <w:rPr>
          <w:rFonts w:ascii="Arial" w:hAnsi="Arial" w:cs="Arial"/>
          <w:lang w:val="en-US"/>
        </w:rPr>
        <w:t>(MD, PhD, MA), Michael Rullmann</w:t>
      </w:r>
      <w:r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(PhD), Leonie Beyer</w:t>
      </w:r>
      <w:r>
        <w:rPr>
          <w:rFonts w:ascii="Arial" w:hAnsi="Arial" w:cs="Arial"/>
          <w:vertAlign w:val="superscript"/>
          <w:lang w:val="en-US"/>
        </w:rPr>
        <w:t xml:space="preserve">1 </w:t>
      </w:r>
      <w:r>
        <w:rPr>
          <w:rFonts w:ascii="Arial" w:hAnsi="Arial" w:cs="Arial"/>
          <w:lang w:val="en-US"/>
        </w:rPr>
        <w:t>(MD), Florian Eckenweber</w:t>
      </w:r>
      <w:r>
        <w:rPr>
          <w:rFonts w:ascii="Arial" w:hAnsi="Arial" w:cs="Arial"/>
          <w:vertAlign w:val="superscript"/>
          <w:lang w:val="en-US"/>
        </w:rPr>
        <w:t xml:space="preserve">1 </w:t>
      </w:r>
      <w:r>
        <w:rPr>
          <w:rFonts w:ascii="Arial" w:hAnsi="Arial" w:cs="Arial"/>
          <w:lang w:val="en-US"/>
        </w:rPr>
        <w:t>(MD), Stephan Wall</w:t>
      </w:r>
      <w:r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lang w:val="en-US"/>
        </w:rPr>
        <w:t>, Andreas Schildan</w:t>
      </w:r>
      <w:r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(PhD), Marianne Patt</w:t>
      </w:r>
      <w:r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(PhD), Andrew Stephens</w:t>
      </w:r>
      <w:r>
        <w:rPr>
          <w:rFonts w:ascii="Arial" w:hAnsi="Arial" w:cs="Arial"/>
          <w:vertAlign w:val="superscript"/>
          <w:lang w:val="en-US"/>
        </w:rPr>
        <w:t xml:space="preserve">13 </w:t>
      </w:r>
      <w:r>
        <w:rPr>
          <w:rFonts w:ascii="Arial" w:hAnsi="Arial" w:cs="Arial"/>
          <w:lang w:val="en-US"/>
        </w:rPr>
        <w:t>(MD, PhD), Joseph Classen</w:t>
      </w:r>
      <w:r>
        <w:rPr>
          <w:rFonts w:ascii="Arial" w:hAnsi="Arial" w:cs="Arial"/>
          <w:vertAlign w:val="superscript"/>
          <w:lang w:val="en-US"/>
        </w:rPr>
        <w:t xml:space="preserve">9 </w:t>
      </w:r>
      <w:r>
        <w:rPr>
          <w:rFonts w:ascii="Arial" w:hAnsi="Arial" w:cs="Arial"/>
          <w:lang w:val="en-US"/>
        </w:rPr>
        <w:t>(MD), Peter Bartenstein</w:t>
      </w:r>
      <w:r>
        <w:rPr>
          <w:rFonts w:ascii="Arial" w:hAnsi="Arial" w:cs="Arial"/>
          <w:vertAlign w:val="superscript"/>
          <w:lang w:val="en-US"/>
        </w:rPr>
        <w:t xml:space="preserve">1,2 </w:t>
      </w:r>
      <w:r>
        <w:rPr>
          <w:rFonts w:ascii="Arial" w:hAnsi="Arial" w:cs="Arial"/>
          <w:lang w:val="en-US"/>
        </w:rPr>
        <w:t>(MD), John Seibyl</w:t>
      </w:r>
      <w:r>
        <w:rPr>
          <w:rFonts w:ascii="Arial" w:hAnsi="Arial" w:cs="Arial"/>
          <w:vertAlign w:val="superscript"/>
          <w:lang w:val="en-US"/>
        </w:rPr>
        <w:t xml:space="preserve">5,6 </w:t>
      </w:r>
      <w:r>
        <w:rPr>
          <w:rFonts w:ascii="Arial" w:hAnsi="Arial" w:cs="Arial"/>
          <w:lang w:val="en-US"/>
        </w:rPr>
        <w:t>(MD), Nicolai Franzmeier</w:t>
      </w:r>
      <w:r>
        <w:rPr>
          <w:rFonts w:ascii="Arial" w:hAnsi="Arial" w:cs="Arial"/>
          <w:vertAlign w:val="superscript"/>
          <w:lang w:val="en-US"/>
        </w:rPr>
        <w:t xml:space="preserve">2,14 </w:t>
      </w:r>
      <w:r>
        <w:rPr>
          <w:rFonts w:ascii="Arial" w:hAnsi="Arial" w:cs="Arial"/>
          <w:lang w:val="en-US"/>
        </w:rPr>
        <w:t>(PhD), Johannes Levin</w:t>
      </w:r>
      <w:r>
        <w:rPr>
          <w:rFonts w:ascii="Arial" w:hAnsi="Arial" w:cs="Arial"/>
          <w:vertAlign w:val="superscript"/>
          <w:lang w:val="en-US"/>
        </w:rPr>
        <w:t xml:space="preserve">2,3,7 </w:t>
      </w:r>
      <w:r>
        <w:rPr>
          <w:rFonts w:ascii="Arial" w:hAnsi="Arial" w:cs="Arial"/>
          <w:lang w:val="en-US"/>
        </w:rPr>
        <w:t>(MD), Günte</w:t>
      </w:r>
      <w:r>
        <w:rPr>
          <w:rFonts w:ascii="Arial" w:hAnsi="Arial" w:cs="Arial"/>
          <w:lang w:val="en-US"/>
        </w:rPr>
        <w:t>r U. Höglinger</w:t>
      </w:r>
      <w:r>
        <w:rPr>
          <w:rFonts w:ascii="Arial" w:hAnsi="Arial" w:cs="Arial"/>
          <w:vertAlign w:val="superscript"/>
          <w:lang w:val="en-US"/>
        </w:rPr>
        <w:t xml:space="preserve">3,7 </w:t>
      </w:r>
      <w:r>
        <w:rPr>
          <w:rFonts w:ascii="Arial" w:hAnsi="Arial" w:cs="Arial"/>
          <w:lang w:val="en-US"/>
        </w:rPr>
        <w:t>(MD), Osama Sabri</w:t>
      </w:r>
      <w:r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(MD, PhD), Matthias Brendel</w:t>
      </w:r>
      <w:r>
        <w:rPr>
          <w:rFonts w:ascii="Arial" w:hAnsi="Arial" w:cs="Arial"/>
          <w:vertAlign w:val="superscript"/>
          <w:lang w:val="en-US"/>
        </w:rPr>
        <w:t xml:space="preserve">1,2,3 </w:t>
      </w:r>
      <w:r>
        <w:rPr>
          <w:rFonts w:ascii="Arial" w:hAnsi="Arial" w:cs="Arial"/>
          <w:lang w:val="en-US"/>
        </w:rPr>
        <w:t>(MD, MHBA), Maximilian Scheifele</w:t>
      </w:r>
      <w:r>
        <w:rPr>
          <w:rFonts w:ascii="Arial" w:hAnsi="Arial" w:cs="Arial"/>
          <w:vertAlign w:val="superscript"/>
          <w:lang w:val="en-US"/>
        </w:rPr>
        <w:t xml:space="preserve">1 </w:t>
      </w:r>
      <w:r>
        <w:rPr>
          <w:rFonts w:ascii="Arial" w:hAnsi="Arial" w:cs="Arial"/>
          <w:lang w:val="en-US"/>
        </w:rPr>
        <w:t>(MD) for the German Imaging Initiative for Tauopathies (GII4T)</w:t>
      </w:r>
      <w:r>
        <w:rPr>
          <w:rFonts w:ascii="Arial" w:hAnsi="Arial" w:cs="Arial"/>
          <w:vertAlign w:val="superscript"/>
          <w:lang w:val="en-US"/>
        </w:rPr>
        <w:t>#</w:t>
      </w:r>
    </w:p>
    <w:p w:rsidR="00114E44" w:rsidRDefault="00114E44">
      <w:pPr>
        <w:jc w:val="both"/>
        <w:rPr>
          <w:rFonts w:ascii="Arial" w:hAnsi="Arial" w:cs="Arial"/>
          <w:lang w:val="en-US"/>
        </w:rPr>
      </w:pP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>
        <w:rPr>
          <w:rFonts w:ascii="Arial" w:hAnsi="Arial" w:cs="Arial"/>
          <w:sz w:val="18"/>
          <w:szCs w:val="18"/>
          <w:lang w:val="en-US"/>
        </w:rPr>
        <w:t>Department of Nuclear Medicine, LMU University Hospital, LMU Munich, Munich,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>
        <w:rPr>
          <w:rFonts w:ascii="Arial" w:hAnsi="Arial" w:cs="Arial"/>
          <w:sz w:val="18"/>
          <w:szCs w:val="18"/>
          <w:lang w:val="en-US"/>
        </w:rPr>
        <w:t>Munich Cluster for Systems Neurology (</w:t>
      </w:r>
      <w:proofErr w:type="spellStart"/>
      <w:r>
        <w:rPr>
          <w:rFonts w:ascii="Arial" w:hAnsi="Arial" w:cs="Arial"/>
          <w:sz w:val="18"/>
          <w:szCs w:val="18"/>
          <w:lang w:val="en-US"/>
        </w:rPr>
        <w:t>SyNergy</w:t>
      </w:r>
      <w:proofErr w:type="spellEnd"/>
      <w:r>
        <w:rPr>
          <w:rFonts w:ascii="Arial" w:hAnsi="Arial" w:cs="Arial"/>
          <w:sz w:val="18"/>
          <w:szCs w:val="18"/>
          <w:lang w:val="en-US"/>
        </w:rPr>
        <w:t>), Munich,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>
        <w:rPr>
          <w:rFonts w:ascii="Arial" w:hAnsi="Arial" w:cs="Arial"/>
          <w:sz w:val="18"/>
          <w:szCs w:val="18"/>
          <w:lang w:val="en-US"/>
        </w:rPr>
        <w:t>German Center for Neurodegenerative Diseases (DZNE), Site Munich,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>
        <w:rPr>
          <w:rFonts w:ascii="Arial" w:hAnsi="Arial" w:cs="Arial"/>
          <w:sz w:val="18"/>
          <w:szCs w:val="18"/>
          <w:lang w:val="en-US"/>
        </w:rPr>
        <w:t>Department of Nuclear Medicine, University Hospital Leipzig, Leipzig,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>
        <w:rPr>
          <w:rFonts w:ascii="Arial" w:hAnsi="Arial" w:cs="Arial"/>
          <w:sz w:val="18"/>
          <w:szCs w:val="18"/>
          <w:lang w:val="en-US"/>
        </w:rPr>
        <w:t>InviCRO, LLC, Boston, MA, United Stat</w:t>
      </w:r>
      <w:r>
        <w:rPr>
          <w:rFonts w:ascii="Arial" w:hAnsi="Arial" w:cs="Arial"/>
          <w:sz w:val="18"/>
          <w:szCs w:val="18"/>
          <w:lang w:val="en-US"/>
        </w:rPr>
        <w:t>es of America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6</w:t>
      </w:r>
      <w:r>
        <w:rPr>
          <w:rFonts w:ascii="Arial" w:hAnsi="Arial" w:cs="Arial"/>
          <w:sz w:val="18"/>
          <w:szCs w:val="18"/>
          <w:lang w:val="en-US"/>
        </w:rPr>
        <w:t xml:space="preserve">Molecular Neuroimaging, A Division of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inviCRO</w:t>
      </w:r>
      <w:proofErr w:type="spellEnd"/>
      <w:r>
        <w:rPr>
          <w:rFonts w:ascii="Arial" w:hAnsi="Arial" w:cs="Arial"/>
          <w:sz w:val="18"/>
          <w:szCs w:val="18"/>
          <w:lang w:val="en-US"/>
        </w:rPr>
        <w:t>, New Haven, CT, United States of America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7</w:t>
      </w:r>
      <w:r>
        <w:rPr>
          <w:rFonts w:ascii="Arial" w:hAnsi="Arial" w:cs="Arial"/>
          <w:sz w:val="18"/>
          <w:szCs w:val="18"/>
          <w:lang w:val="en-US"/>
        </w:rPr>
        <w:t>Department of Neurology, LMU University Hospital, LMU Munich, Munich,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8</w:t>
      </w:r>
      <w:r>
        <w:rPr>
          <w:rFonts w:ascii="Arial" w:hAnsi="Arial" w:cs="Arial"/>
          <w:sz w:val="18"/>
          <w:szCs w:val="18"/>
          <w:lang w:val="en-US"/>
        </w:rPr>
        <w:t>Department of Radiology, LMU University Hospital, LMU Munich, Munich, Germ</w:t>
      </w:r>
      <w:r>
        <w:rPr>
          <w:rFonts w:ascii="Arial" w:hAnsi="Arial" w:cs="Arial"/>
          <w:sz w:val="18"/>
          <w:szCs w:val="18"/>
          <w:lang w:val="en-US"/>
        </w:rPr>
        <w:t>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9</w:t>
      </w:r>
      <w:r>
        <w:rPr>
          <w:rFonts w:ascii="Arial" w:hAnsi="Arial" w:cs="Arial"/>
          <w:sz w:val="18"/>
          <w:szCs w:val="18"/>
          <w:lang w:val="en-US"/>
        </w:rPr>
        <w:t>Department of Neurology, University Hospital Leipzig, Leipzig,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10</w:t>
      </w:r>
      <w:r>
        <w:rPr>
          <w:rFonts w:ascii="Arial" w:hAnsi="Arial" w:cs="Arial"/>
          <w:sz w:val="18"/>
          <w:szCs w:val="18"/>
          <w:lang w:val="en-US"/>
        </w:rPr>
        <w:t>Clinic for Cognitive Neurology, University Hospital Leipzig, Leipzig, Germany</w:t>
      </w:r>
    </w:p>
    <w:p w:rsidR="00114E44" w:rsidRDefault="00154E93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11</w:t>
      </w:r>
      <w:r>
        <w:rPr>
          <w:rFonts w:ascii="Arial" w:hAnsi="Arial" w:cs="Arial"/>
          <w:sz w:val="18"/>
          <w:szCs w:val="18"/>
          <w:lang w:val="en-US"/>
        </w:rPr>
        <w:t>LIFE - Leipzig Research Center for Civilization Diseases, University of Leipzig, Leipzig, Germany</w:t>
      </w:r>
    </w:p>
    <w:p w:rsidR="00114E44" w:rsidRDefault="00154E93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12</w:t>
      </w:r>
      <w:r>
        <w:rPr>
          <w:rFonts w:ascii="Arial" w:hAnsi="Arial" w:cs="Arial"/>
          <w:sz w:val="18"/>
          <w:szCs w:val="18"/>
          <w:lang w:val="en-US"/>
        </w:rPr>
        <w:t>Max Planck Institute for Human Cognitive and Brain Sciences, Leipzig, Germany</w:t>
      </w:r>
    </w:p>
    <w:p w:rsidR="00114E44" w:rsidRDefault="00154E93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13</w:t>
      </w:r>
      <w:r>
        <w:rPr>
          <w:rFonts w:ascii="Arial" w:hAnsi="Arial" w:cs="Arial"/>
          <w:sz w:val="18"/>
          <w:szCs w:val="18"/>
          <w:lang w:val="en-US"/>
        </w:rPr>
        <w:t>Life Molecular Imaging GmbH, Berlin, Germany</w:t>
      </w:r>
    </w:p>
    <w:p w:rsidR="00114E44" w:rsidRDefault="00154E9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vertAlign w:val="superscript"/>
          <w:lang w:val="en-US"/>
        </w:rPr>
        <w:t>14</w:t>
      </w:r>
      <w:r>
        <w:rPr>
          <w:rFonts w:ascii="Arial" w:hAnsi="Arial" w:cs="Arial"/>
          <w:sz w:val="18"/>
          <w:szCs w:val="18"/>
          <w:lang w:val="en-US"/>
        </w:rPr>
        <w:t>Institute for Stroke and Dementia Research, LMU University Hospital, LMU Munich, Munich, Germany</w:t>
      </w:r>
    </w:p>
    <w:p w:rsidR="00114E44" w:rsidRDefault="00114E44">
      <w:pPr>
        <w:rPr>
          <w:rFonts w:ascii="Arial" w:hAnsi="Arial" w:cs="Arial"/>
          <w:sz w:val="18"/>
          <w:szCs w:val="18"/>
          <w:lang w:val="en-US"/>
        </w:rPr>
      </w:pPr>
    </w:p>
    <w:p w:rsidR="00114E44" w:rsidRDefault="00114E44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114E44" w:rsidRDefault="00154E9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*contributed equally</w:t>
      </w:r>
    </w:p>
    <w:p w:rsidR="00114E44" w:rsidRDefault="00114E44">
      <w:pPr>
        <w:rPr>
          <w:rFonts w:ascii="Arial" w:hAnsi="Arial" w:cs="Arial"/>
          <w:b/>
          <w:lang w:val="en-US"/>
        </w:rPr>
      </w:pPr>
    </w:p>
    <w:p w:rsidR="00114E44" w:rsidRDefault="00154E93">
      <w:pPr>
        <w:pStyle w:val="Textkrper-Zeileneinzug"/>
        <w:ind w:firstLine="0"/>
        <w:jc w:val="left"/>
        <w:rPr>
          <w:rFonts w:ascii="Arial" w:hAnsi="Arial" w:cs="Arial"/>
          <w:b/>
          <w:color w:val="000000"/>
          <w:szCs w:val="24"/>
          <w:lang w:val="en-US"/>
        </w:rPr>
      </w:pPr>
      <w:r>
        <w:rPr>
          <w:rFonts w:ascii="Arial" w:hAnsi="Arial" w:cs="Arial"/>
          <w:b/>
          <w:color w:val="000000"/>
          <w:szCs w:val="24"/>
          <w:lang w:val="en-US"/>
        </w:rPr>
        <w:t>Corres</w:t>
      </w:r>
      <w:r>
        <w:rPr>
          <w:rFonts w:ascii="Arial" w:hAnsi="Arial" w:cs="Arial"/>
          <w:b/>
          <w:color w:val="000000"/>
          <w:szCs w:val="24"/>
          <w:lang w:val="en-US"/>
        </w:rPr>
        <w:t>ponding author:</w:t>
      </w:r>
    </w:p>
    <w:p w:rsidR="00114E44" w:rsidRDefault="00154E93">
      <w:pPr>
        <w:pStyle w:val="Textkrper-Zeileneinzug"/>
        <w:spacing w:line="240" w:lineRule="auto"/>
        <w:ind w:firstLine="0"/>
        <w:jc w:val="left"/>
        <w:rPr>
          <w:rFonts w:ascii="Arial" w:hAnsi="Arial" w:cs="Arial"/>
          <w:color w:val="000000"/>
          <w:szCs w:val="24"/>
          <w:lang w:val="en-US"/>
        </w:rPr>
      </w:pPr>
      <w:r>
        <w:rPr>
          <w:rFonts w:ascii="Arial" w:hAnsi="Arial" w:cs="Arial"/>
          <w:color w:val="000000"/>
          <w:szCs w:val="24"/>
          <w:lang w:val="en-US"/>
        </w:rPr>
        <w:t>Dr. med. Maximilian Scheifele</w:t>
      </w:r>
    </w:p>
    <w:p w:rsidR="00114E44" w:rsidRDefault="00154E93">
      <w:pPr>
        <w:pStyle w:val="Textkrper-Zeileneinzug"/>
        <w:spacing w:line="240" w:lineRule="auto"/>
        <w:ind w:firstLine="0"/>
        <w:jc w:val="left"/>
        <w:rPr>
          <w:rFonts w:ascii="Arial" w:hAnsi="Arial" w:cs="Arial"/>
          <w:color w:val="000000"/>
          <w:szCs w:val="24"/>
          <w:lang w:val="en-US"/>
        </w:rPr>
      </w:pPr>
      <w:r>
        <w:rPr>
          <w:rFonts w:ascii="Arial" w:hAnsi="Arial" w:cs="Arial"/>
          <w:color w:val="000000"/>
          <w:szCs w:val="24"/>
          <w:lang w:val="en-US"/>
        </w:rPr>
        <w:t>Department of Nuclear Medicine</w:t>
      </w:r>
    </w:p>
    <w:p w:rsidR="00114E44" w:rsidRDefault="00154E93">
      <w:pPr>
        <w:pStyle w:val="Textkrper-Zeileneinzug"/>
        <w:spacing w:line="240" w:lineRule="auto"/>
        <w:ind w:firstLine="0"/>
        <w:jc w:val="left"/>
        <w:rPr>
          <w:rFonts w:ascii="Arial" w:hAnsi="Arial" w:cs="Arial"/>
          <w:color w:val="000000"/>
          <w:szCs w:val="24"/>
          <w:lang w:val="en-US"/>
        </w:rPr>
      </w:pPr>
      <w:r>
        <w:rPr>
          <w:rFonts w:ascii="Arial" w:hAnsi="Arial" w:cs="Arial"/>
          <w:color w:val="000000"/>
          <w:szCs w:val="24"/>
          <w:lang w:val="en-US"/>
        </w:rPr>
        <w:t>LMU University Hospital, Munich, Germany</w:t>
      </w:r>
    </w:p>
    <w:p w:rsidR="00114E44" w:rsidRDefault="00154E93">
      <w:pPr>
        <w:pStyle w:val="Textkrper-Zeileneinzug"/>
        <w:spacing w:line="240" w:lineRule="auto"/>
        <w:ind w:firstLine="0"/>
        <w:jc w:val="left"/>
        <w:rPr>
          <w:rFonts w:ascii="Arial" w:hAnsi="Arial" w:cs="Arial"/>
          <w:color w:val="000000"/>
          <w:szCs w:val="24"/>
          <w:lang w:val="fr-FR"/>
        </w:rPr>
      </w:pPr>
      <w:r>
        <w:rPr>
          <w:rFonts w:ascii="Arial" w:hAnsi="Arial" w:cs="Arial"/>
          <w:color w:val="000000"/>
          <w:szCs w:val="24"/>
          <w:lang w:val="fr-FR"/>
        </w:rPr>
        <w:t>Phone: +49 (0) 89 4400 74646</w:t>
      </w:r>
    </w:p>
    <w:p w:rsidR="00114E44" w:rsidRDefault="00154E93">
      <w:pPr>
        <w:pStyle w:val="Textkrper-Zeileneinzug"/>
        <w:spacing w:line="240" w:lineRule="auto"/>
        <w:ind w:firstLine="0"/>
        <w:jc w:val="left"/>
        <w:rPr>
          <w:rFonts w:ascii="Arial" w:hAnsi="Arial" w:cs="Arial"/>
          <w:szCs w:val="24"/>
          <w:lang w:val="fr-FR"/>
        </w:rPr>
      </w:pPr>
      <w:r>
        <w:rPr>
          <w:rFonts w:ascii="Arial" w:hAnsi="Arial" w:cs="Arial"/>
          <w:color w:val="000000"/>
          <w:szCs w:val="24"/>
          <w:lang w:val="fr-FR"/>
        </w:rPr>
        <w:t xml:space="preserve">E-Mail: </w:t>
      </w:r>
      <w:r>
        <w:rPr>
          <w:rFonts w:ascii="Arial" w:hAnsi="Arial" w:cs="Arial"/>
          <w:szCs w:val="24"/>
          <w:lang w:val="fr-FR"/>
        </w:rPr>
        <w:t>Maximilian.Scheifele@med.uni-muenchen.de</w:t>
      </w:r>
    </w:p>
    <w:p w:rsidR="00114E44" w:rsidRDefault="00114E44">
      <w:pPr>
        <w:pStyle w:val="Textkrper-Zeileneinzug"/>
        <w:spacing w:line="240" w:lineRule="auto"/>
        <w:ind w:firstLine="0"/>
        <w:jc w:val="left"/>
        <w:rPr>
          <w:rFonts w:ascii="Arial" w:hAnsi="Arial" w:cs="Arial"/>
          <w:szCs w:val="24"/>
          <w:lang w:val="de-DE" w:eastAsia="de-DE"/>
        </w:rPr>
      </w:pPr>
    </w:p>
    <w:p w:rsidR="00114E44" w:rsidRDefault="00114E44">
      <w:pPr>
        <w:rPr>
          <w:rFonts w:ascii="Arial" w:hAnsi="Arial" w:cs="Arial"/>
          <w:b/>
          <w:bCs/>
          <w:sz w:val="28"/>
          <w:szCs w:val="28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14E44">
      <w:pPr>
        <w:rPr>
          <w:rFonts w:ascii="Arial" w:hAnsi="Arial" w:cs="Arial"/>
          <w:b/>
          <w:sz w:val="22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lastRenderedPageBreak/>
        <w:t>Supplemental Table 1</w:t>
      </w: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4"/>
        <w:gridCol w:w="2315"/>
        <w:gridCol w:w="2315"/>
        <w:gridCol w:w="2316"/>
      </w:tblGrid>
      <w:tr w:rsidR="00114E44">
        <w:trPr>
          <w:trHeight w:val="19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Study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group</w:t>
            </w:r>
            <w:proofErr w:type="spell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4RT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α-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syn</w:t>
            </w:r>
            <w:proofErr w:type="spellEnd"/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Healthy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controls</w:t>
            </w:r>
            <w:proofErr w:type="spellEnd"/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Age (y)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69.0 ± 8.5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66.1 ± 10.3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65.3 ± 9.1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/ 21 male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/ 8 male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female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/ 8 male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Center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MUC: 25/ LPZ: 9/</w:t>
            </w:r>
          </w:p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MNI: 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MUC: 13/</w:t>
            </w:r>
          </w:p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LPZ: 2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MUC: 10/ MNI: 8/</w:t>
            </w:r>
          </w:p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AUS: 5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PSP Rating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Scale</w:t>
            </w:r>
            <w:proofErr w:type="spell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37.0 ± 12.4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16.0 ± 4.2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Disease Duration (m)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26.2 ± 16.6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15.6 ± 10.6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114E44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UPDRS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36.0 ± 15.5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23.3 ± 9.9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</w:tbl>
    <w:p w:rsidR="00114E44" w:rsidRDefault="00154E93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 xml:space="preserve">Supplemental Table 1: </w:t>
      </w:r>
      <w:r>
        <w:rPr>
          <w:rFonts w:ascii="Arial" w:hAnsi="Arial" w:cs="Arial"/>
          <w:bCs/>
          <w:sz w:val="20"/>
          <w:lang w:val="en-US"/>
        </w:rPr>
        <w:t>Demographics</w:t>
      </w:r>
      <w:r>
        <w:rPr>
          <w:rFonts w:ascii="Arial" w:hAnsi="Arial" w:cs="Arial"/>
          <w:sz w:val="20"/>
          <w:szCs w:val="20"/>
          <w:lang w:val="en-US"/>
        </w:rPr>
        <w:t xml:space="preserve"> of main groups of the study. 4RT = 4R-tauopathies; α-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syn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= probable α-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synucleinopathies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; n = sample size;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n.a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. = not available; MUC = </w:t>
      </w:r>
      <w:r>
        <w:rPr>
          <w:rFonts w:ascii="Arial" w:hAnsi="Arial" w:cs="Arial"/>
          <w:sz w:val="20"/>
          <w:szCs w:val="20"/>
          <w:lang w:val="en-US"/>
        </w:rPr>
        <w:t>scan site Munich, Germany; LPZ = scan site Leipzig, Germany; MNI = scan site New Haven, US; AUS = scan site Melbourne, Australia; UPDRS = Unified Parkinson’s Disease Rating Scale</w:t>
      </w:r>
    </w:p>
    <w:p w:rsidR="00114E44" w:rsidRDefault="00114E44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:rsidR="00114E44" w:rsidRDefault="00114E44">
      <w:pPr>
        <w:rPr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</w:rPr>
      </w:pPr>
      <w:proofErr w:type="spellStart"/>
      <w:r>
        <w:rPr>
          <w:rFonts w:ascii="Arial" w:hAnsi="Arial" w:cs="Arial"/>
          <w:b/>
          <w:sz w:val="22"/>
        </w:rPr>
        <w:t>Supplemental</w:t>
      </w:r>
      <w:proofErr w:type="spellEnd"/>
      <w:r>
        <w:rPr>
          <w:rFonts w:ascii="Arial" w:hAnsi="Arial" w:cs="Arial"/>
          <w:b/>
          <w:sz w:val="22"/>
        </w:rPr>
        <w:t xml:space="preserve"> Table 2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767"/>
        <w:gridCol w:w="1354"/>
        <w:gridCol w:w="1355"/>
        <w:gridCol w:w="1506"/>
        <w:gridCol w:w="1822"/>
      </w:tblGrid>
      <w:tr w:rsidR="00114E44">
        <w:trPr>
          <w:trHeight w:val="248"/>
        </w:trPr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Tau-PET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results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SUVr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4RT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α-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syn</w:t>
            </w:r>
            <w:proofErr w:type="spellEnd"/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Healthy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controls</w:t>
            </w:r>
            <w:proofErr w:type="spellEnd"/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1.24 ± 0.17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1.14 ± 0.14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1.11 ± 0.10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0.85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1.25 ± 0.17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1.14 ± 0.14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1.12 ± 0.11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0.86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Globus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pallidus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externus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1.38 ± 0.22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1.22 ± 0.15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1.20 ± 0.12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0.85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Globus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pallidus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externus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 ± 0.20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1.16 ± 0.13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1.18 ± 0.12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0.01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0.63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75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Globus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pallidus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internus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1.47 ± 0.27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1.27 ± 0.14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1.26 ± 0.12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0.99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Globus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pallidus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internus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1.40 ± 0.21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1.21 ± 0.12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1.23 ± 0.13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0.35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Subthalamic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nucleus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1.29 ± 0.17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1.16 ± 0.11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1.21 ± 0.13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Subthalamic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nucleus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1.29 ± 0.16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1.19 ± 0.10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1.19 ± 0.9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0.79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Substantia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nigra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1.36 ± 0.20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1.24 ± 0.11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 ± 0.12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Substantia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nigra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1.38 ± 0.19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1.28 ± 0.10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 ± 0.10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0.31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Dorsal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midbrain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1.02 ± 0.11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1.00 ± 0.09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1.03 ± 0.12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0.57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0.80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0.52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0.001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Dentate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nucleus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1.31 ± 0.15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1.21 ± 0.10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1.27 ± 0.09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Dentate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nucleus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1.29 ± 0.14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1.19 ± 0.11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 ± 0.08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HC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Supplemental Table 2:</w:t>
      </w:r>
      <w:r>
        <w:rPr>
          <w:rFonts w:ascii="Arial" w:hAnsi="Arial" w:cs="Arial"/>
          <w:sz w:val="20"/>
          <w:lang w:val="en-US"/>
        </w:rPr>
        <w:t xml:space="preserve"> Group comparison of tau-PET quantification by one-way ANCOVA (age, gender, center as covariates). Partial eta squared shows effect sizes.</w:t>
      </w: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lastRenderedPageBreak/>
        <w:t>Supplemental Table 3</w:t>
      </w:r>
    </w:p>
    <w:tbl>
      <w:tblPr>
        <w:tblW w:w="7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767"/>
        <w:gridCol w:w="1354"/>
        <w:gridCol w:w="1355"/>
        <w:gridCol w:w="1506"/>
      </w:tblGrid>
      <w:tr w:rsidR="00114E44">
        <w:trPr>
          <w:trHeight w:val="198"/>
        </w:trPr>
        <w:tc>
          <w:tcPr>
            <w:tcW w:w="3597" w:type="dxa"/>
            <w:gridSpan w:val="2"/>
            <w:shd w:val="clear" w:color="auto" w:fill="auto"/>
            <w:noWrap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DaT-SPECT results (z-score)</w:t>
            </w:r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4RT</w:t>
            </w:r>
          </w:p>
        </w:tc>
        <w:tc>
          <w:tcPr>
            <w:tcW w:w="1506" w:type="dxa"/>
            <w:shd w:val="clear" w:color="auto" w:fill="auto"/>
            <w:noWrap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α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-syn</w:t>
            </w: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Caudate nucleus right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-2.87 ± 1.21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-2.20 ±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1.05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val="en-US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  <w:lang w:val="en-US"/>
              </w:rPr>
              <w:t>sy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: 0.08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0.06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Caudate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nucleus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-2.76 ± 1.22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-2.36 ± 1.03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0.22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0.03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Anterior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-2.84 ± 1.22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-2.35 ± 1.02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0.18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0.04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Anterior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-2.83 ± 1.25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-2.51 ± 1.29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0.31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0.02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10205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Posterior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right</w:t>
            </w:r>
            <w:proofErr w:type="spellEnd"/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-3.38 ± 1.28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-3.07 ± 1.26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0.52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0.009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 w:val="restart"/>
            <w:shd w:val="clear" w:color="auto" w:fill="auto"/>
            <w:noWrap/>
            <w:vAlign w:val="bottom"/>
            <w:hideMark/>
          </w:tcPr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Posterior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Putamen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left</w:t>
            </w:r>
            <w:proofErr w:type="spellEnd"/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:rsidR="00114E44" w:rsidRDefault="00154E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2709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-2.92 ± 1.12</w:t>
            </w: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-3.04 ± 1.47</w:t>
            </w: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0.88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198"/>
        </w:trPr>
        <w:tc>
          <w:tcPr>
            <w:tcW w:w="2830" w:type="dxa"/>
            <w:vMerge/>
            <w:shd w:val="clear" w:color="auto" w:fill="auto"/>
            <w:noWrap/>
            <w:vAlign w:val="bottom"/>
            <w:hideMark/>
          </w:tcPr>
          <w:p w:rsidR="00114E44" w:rsidRDefault="00114E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η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α-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syn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 0.001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Supplemental Table 3:</w:t>
      </w:r>
      <w:r>
        <w:rPr>
          <w:rFonts w:ascii="Arial" w:hAnsi="Arial" w:cs="Arial"/>
          <w:sz w:val="20"/>
          <w:lang w:val="en-US"/>
        </w:rPr>
        <w:t xml:space="preserve"> Group comparison of DaT-SPECT quantification by one-way ANCOVA (age, gender, center as covariates). Partial eta squared shows effect sizes.</w:t>
      </w: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Supplemental Table 4</w:t>
      </w:r>
    </w:p>
    <w:tbl>
      <w:tblPr>
        <w:tblW w:w="8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1"/>
        <w:gridCol w:w="2071"/>
        <w:gridCol w:w="2071"/>
        <w:gridCol w:w="2071"/>
      </w:tblGrid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  <w:proofErr w:type="spellEnd"/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Variance</w:t>
            </w:r>
            <w:proofErr w:type="spellEnd"/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Cumulative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%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9.41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72.38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72.38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1.45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11.15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83.52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0.69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5.34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88.86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0.51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3.92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92.78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0.31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2.37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95.15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0.23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1.79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96.94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0.13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1.02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97.96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0.12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0.90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98.86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0.06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0.44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99.29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0.04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0.28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99.57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0.03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0.23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99.80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0.02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0.15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99.95</w:t>
            </w:r>
          </w:p>
        </w:tc>
      </w:tr>
      <w:tr w:rsidR="00114E44">
        <w:trPr>
          <w:trHeight w:val="277"/>
        </w:trPr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1" w:type="dxa"/>
            <w:shd w:val="clear" w:color="auto" w:fill="auto"/>
            <w:noWrap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0.01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0.05</w:t>
            </w:r>
          </w:p>
        </w:tc>
        <w:tc>
          <w:tcPr>
            <w:tcW w:w="2071" w:type="dxa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</w:rPr>
              <w:t>100.0</w:t>
            </w: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 xml:space="preserve">Supplemental </w:t>
      </w:r>
      <w:r>
        <w:rPr>
          <w:rFonts w:ascii="Arial" w:hAnsi="Arial" w:cs="Arial"/>
          <w:b/>
          <w:sz w:val="20"/>
          <w:lang w:val="en-US"/>
        </w:rPr>
        <w:t>Table 4:</w:t>
      </w:r>
      <w:r>
        <w:rPr>
          <w:rFonts w:ascii="Arial" w:hAnsi="Arial" w:cs="Arial"/>
          <w:sz w:val="20"/>
          <w:lang w:val="en-US"/>
        </w:rPr>
        <w:t xml:space="preserve"> Principal component analysis eigenvalues of tau-PET.</w:t>
      </w: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Supplemental Table 5</w:t>
      </w:r>
    </w:p>
    <w:tbl>
      <w:tblPr>
        <w:tblW w:w="8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1"/>
        <w:gridCol w:w="2071"/>
        <w:gridCol w:w="2071"/>
        <w:gridCol w:w="2071"/>
      </w:tblGrid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  <w:proofErr w:type="spellEnd"/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Variance</w:t>
            </w:r>
            <w:proofErr w:type="spellEnd"/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Cumulative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%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5.29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88.20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88.20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7.92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96.12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98.09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98.96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99.70</w:t>
            </w:r>
          </w:p>
        </w:tc>
      </w:tr>
      <w:tr w:rsidR="00114E44">
        <w:trPr>
          <w:trHeight w:val="277"/>
        </w:trPr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1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207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100.0</w:t>
            </w: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Supplemental</w:t>
      </w:r>
      <w:r>
        <w:rPr>
          <w:rFonts w:ascii="Arial" w:hAnsi="Arial" w:cs="Arial"/>
          <w:b/>
          <w:sz w:val="20"/>
          <w:lang w:val="en-US"/>
        </w:rPr>
        <w:t xml:space="preserve"> Table 5:</w:t>
      </w:r>
      <w:r>
        <w:rPr>
          <w:rFonts w:ascii="Arial" w:hAnsi="Arial" w:cs="Arial"/>
          <w:sz w:val="20"/>
          <w:lang w:val="en-US"/>
        </w:rPr>
        <w:t xml:space="preserve"> Principal component analysis eigenvalues of DaT-SPECT.</w:t>
      </w: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Supplemental Table 6</w:t>
      </w:r>
    </w:p>
    <w:tbl>
      <w:tblPr>
        <w:tblW w:w="7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3369"/>
        <w:gridCol w:w="6"/>
        <w:gridCol w:w="3052"/>
      </w:tblGrid>
      <w:tr w:rsidR="00114E44">
        <w:trPr>
          <w:trHeight w:val="335"/>
        </w:trPr>
        <w:tc>
          <w:tcPr>
            <w:tcW w:w="4849" w:type="dxa"/>
            <w:gridSpan w:val="3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Motor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function</w:t>
            </w:r>
            <w:proofErr w:type="spellEnd"/>
          </w:p>
        </w:tc>
        <w:tc>
          <w:tcPr>
            <w:tcW w:w="3052" w:type="dxa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Mentation</w:t>
            </w:r>
            <w:proofErr w:type="spellEnd"/>
          </w:p>
        </w:tc>
      </w:tr>
      <w:tr w:rsidR="00114E44">
        <w:trPr>
          <w:trHeight w:val="335"/>
        </w:trPr>
        <w:tc>
          <w:tcPr>
            <w:tcW w:w="1474" w:type="dxa"/>
            <w:vMerge w:val="restart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Bulbar</w:t>
            </w:r>
            <w:proofErr w:type="spellEnd"/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Dysarthria</w:t>
            </w:r>
            <w:proofErr w:type="spellEnd"/>
          </w:p>
        </w:tc>
        <w:tc>
          <w:tcPr>
            <w:tcW w:w="3058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Disorientation</w:t>
            </w:r>
            <w:proofErr w:type="spellEnd"/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Dysphagia</w:t>
            </w:r>
          </w:p>
        </w:tc>
        <w:tc>
          <w:tcPr>
            <w:tcW w:w="3058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Bradyphrenia</w:t>
            </w:r>
            <w:proofErr w:type="spellEnd"/>
          </w:p>
        </w:tc>
      </w:tr>
      <w:tr w:rsidR="00114E44">
        <w:trPr>
          <w:trHeight w:val="335"/>
        </w:trPr>
        <w:tc>
          <w:tcPr>
            <w:tcW w:w="1474" w:type="dxa"/>
            <w:vMerge w:val="restart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Ocular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motor</w:t>
            </w:r>
            <w:proofErr w:type="spellEnd"/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Voluntary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upward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command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movement</w:t>
            </w:r>
            <w:proofErr w:type="spellEnd"/>
          </w:p>
        </w:tc>
        <w:tc>
          <w:tcPr>
            <w:tcW w:w="3058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Emotional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incontinence</w:t>
            </w:r>
            <w:proofErr w:type="spellEnd"/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Voluntary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downward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command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movement</w:t>
            </w:r>
            <w:proofErr w:type="spellEnd"/>
          </w:p>
        </w:tc>
        <w:tc>
          <w:tcPr>
            <w:tcW w:w="3058" w:type="dxa"/>
            <w:gridSpan w:val="2"/>
            <w:shd w:val="clear" w:color="auto" w:fill="auto"/>
            <w:noWrap/>
            <w:vAlign w:val="center"/>
            <w:hideMark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Grasping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imitatative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utilizing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behaviour</w:t>
            </w:r>
            <w:proofErr w:type="spellEnd"/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Voluntary left and right command movement</w:t>
            </w:r>
          </w:p>
        </w:tc>
        <w:tc>
          <w:tcPr>
            <w:tcW w:w="3058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Eyelid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dysfunction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  <w:hideMark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 w:val="restart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Limb motor</w:t>
            </w: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Limb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rigidity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Limb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dystonia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Finger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tapping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Toe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tapping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Apraxia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hand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movement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Tremor in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any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part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 w:val="restart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Gait and midline</w:t>
            </w: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Neck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rigidity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dystonia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Arising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chair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Gait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Postural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stability</w:t>
            </w:r>
            <w:proofErr w:type="spellEnd"/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14E44">
        <w:trPr>
          <w:trHeight w:val="335"/>
        </w:trPr>
        <w:tc>
          <w:tcPr>
            <w:tcW w:w="147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9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Sitting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down</w:t>
            </w:r>
          </w:p>
        </w:tc>
        <w:tc>
          <w:tcPr>
            <w:tcW w:w="3058" w:type="dxa"/>
            <w:gridSpan w:val="2"/>
            <w:vMerge/>
            <w:shd w:val="clear" w:color="auto" w:fill="auto"/>
            <w:noWrap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>Supplemental Table 6:</w:t>
      </w:r>
      <w:r>
        <w:rPr>
          <w:rFonts w:ascii="Arial" w:hAnsi="Arial" w:cs="Arial"/>
          <w:sz w:val="20"/>
          <w:lang w:val="en-US"/>
        </w:rPr>
        <w:t xml:space="preserve"> PSP rating scale components that represent motor function compared to items for cognitive function. </w:t>
      </w: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Supplemental Table 7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4"/>
        <w:gridCol w:w="851"/>
        <w:gridCol w:w="683"/>
        <w:gridCol w:w="790"/>
        <w:gridCol w:w="852"/>
        <w:gridCol w:w="683"/>
        <w:gridCol w:w="790"/>
        <w:gridCol w:w="1092"/>
        <w:gridCol w:w="630"/>
        <w:gridCol w:w="782"/>
        <w:gridCol w:w="8"/>
      </w:tblGrid>
      <w:tr w:rsidR="00114E44">
        <w:trPr>
          <w:gridAfter w:val="1"/>
          <w:wAfter w:w="8" w:type="dxa"/>
          <w:trHeight w:val="340"/>
        </w:trPr>
        <w:tc>
          <w:tcPr>
            <w:tcW w:w="1554" w:type="dxa"/>
            <w:vMerge w:val="restart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PSPRS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subgroup</w:t>
            </w:r>
            <w:proofErr w:type="spellEnd"/>
          </w:p>
        </w:tc>
        <w:tc>
          <w:tcPr>
            <w:tcW w:w="2324" w:type="dxa"/>
            <w:gridSpan w:val="3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Regression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factor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325" w:type="dxa"/>
            <w:gridSpan w:val="3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Regression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factor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504" w:type="dxa"/>
            <w:gridSpan w:val="3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Regression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factor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3</w:t>
            </w:r>
          </w:p>
        </w:tc>
      </w:tr>
      <w:tr w:rsidR="00114E44">
        <w:trPr>
          <w:trHeight w:val="340"/>
        </w:trPr>
        <w:tc>
          <w:tcPr>
            <w:tcW w:w="1554" w:type="dxa"/>
            <w:vMerge/>
            <w:vAlign w:val="center"/>
          </w:tcPr>
          <w:p w:rsidR="00114E44" w:rsidRDefault="00114E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sym w:font="Symbol" w:char="F062"/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sym w:font="Symbol" w:char="F062"/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109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63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sym w:font="Symbol" w:char="F062"/>
            </w:r>
          </w:p>
        </w:tc>
        <w:tc>
          <w:tcPr>
            <w:tcW w:w="790" w:type="dxa"/>
            <w:gridSpan w:val="2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value</w:t>
            </w:r>
            <w:proofErr w:type="spellEnd"/>
          </w:p>
        </w:tc>
      </w:tr>
      <w:tr w:rsidR="00114E44">
        <w:trPr>
          <w:trHeight w:val="340"/>
        </w:trPr>
        <w:tc>
          <w:tcPr>
            <w:tcW w:w="1554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Motor</w:t>
            </w:r>
          </w:p>
        </w:tc>
        <w:tc>
          <w:tcPr>
            <w:tcW w:w="85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Tau 1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-0.462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85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-3.882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09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Tau 1*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3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1.962</w:t>
            </w:r>
          </w:p>
        </w:tc>
        <w:tc>
          <w:tcPr>
            <w:tcW w:w="790" w:type="dxa"/>
            <w:gridSpan w:val="2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0.428</w:t>
            </w:r>
          </w:p>
        </w:tc>
      </w:tr>
      <w:tr w:rsidR="00114E44">
        <w:trPr>
          <w:trHeight w:val="340"/>
        </w:trPr>
        <w:tc>
          <w:tcPr>
            <w:tcW w:w="1554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Motor</w:t>
            </w:r>
          </w:p>
        </w:tc>
        <w:tc>
          <w:tcPr>
            <w:tcW w:w="85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Tau 2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-3.024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85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-2.851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0.0751</w:t>
            </w:r>
          </w:p>
        </w:tc>
        <w:tc>
          <w:tcPr>
            <w:tcW w:w="109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Tau 2*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3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2.525</w:t>
            </w:r>
          </w:p>
        </w:tc>
        <w:tc>
          <w:tcPr>
            <w:tcW w:w="790" w:type="dxa"/>
            <w:gridSpan w:val="2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0.123</w:t>
            </w:r>
          </w:p>
        </w:tc>
      </w:tr>
      <w:tr w:rsidR="00114E44">
        <w:trPr>
          <w:trHeight w:val="340"/>
        </w:trPr>
        <w:tc>
          <w:tcPr>
            <w:tcW w:w="1554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Mentation</w:t>
            </w:r>
            <w:proofErr w:type="spellEnd"/>
          </w:p>
        </w:tc>
        <w:tc>
          <w:tcPr>
            <w:tcW w:w="85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Tau 1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0.941</w:t>
            </w:r>
          </w:p>
        </w:tc>
        <w:tc>
          <w:tcPr>
            <w:tcW w:w="85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-1.087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109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Tau 1*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3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2.426</w:t>
            </w:r>
          </w:p>
        </w:tc>
        <w:tc>
          <w:tcPr>
            <w:tcW w:w="790" w:type="dxa"/>
            <w:gridSpan w:val="2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0.115</w:t>
            </w:r>
          </w:p>
        </w:tc>
      </w:tr>
      <w:tr w:rsidR="00114E44">
        <w:trPr>
          <w:trHeight w:val="340"/>
        </w:trPr>
        <w:tc>
          <w:tcPr>
            <w:tcW w:w="1554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Mentation</w:t>
            </w:r>
            <w:proofErr w:type="spellEnd"/>
          </w:p>
        </w:tc>
        <w:tc>
          <w:tcPr>
            <w:tcW w:w="851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Tau 2</w:t>
            </w:r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0.608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85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83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-1.143</w:t>
            </w:r>
          </w:p>
        </w:tc>
        <w:tc>
          <w:tcPr>
            <w:tcW w:w="79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0.254</w:t>
            </w:r>
          </w:p>
        </w:tc>
        <w:tc>
          <w:tcPr>
            <w:tcW w:w="1092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Tau 2* 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</w:t>
            </w:r>
            <w:proofErr w:type="spellEnd"/>
          </w:p>
        </w:tc>
        <w:tc>
          <w:tcPr>
            <w:tcW w:w="630" w:type="dxa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1.252</w:t>
            </w:r>
          </w:p>
        </w:tc>
        <w:tc>
          <w:tcPr>
            <w:tcW w:w="790" w:type="dxa"/>
            <w:gridSpan w:val="2"/>
            <w:vAlign w:val="center"/>
          </w:tcPr>
          <w:p w:rsidR="00114E44" w:rsidRDefault="0015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0.230</w:t>
            </w:r>
          </w:p>
        </w:tc>
      </w:tr>
    </w:tbl>
    <w:p w:rsidR="00114E44" w:rsidRDefault="00154E93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 xml:space="preserve">Supplemental Table 7: </w:t>
      </w:r>
      <w:r>
        <w:rPr>
          <w:rFonts w:ascii="Arial" w:hAnsi="Arial" w:cs="Arial"/>
          <w:bCs/>
          <w:sz w:val="20"/>
          <w:lang w:val="en-US"/>
        </w:rPr>
        <w:t xml:space="preserve">Multiple linear regression models that explain the </w:t>
      </w:r>
      <w:r>
        <w:rPr>
          <w:rFonts w:ascii="Arial" w:hAnsi="Arial" w:cs="Arial"/>
          <w:bCs/>
          <w:sz w:val="20"/>
          <w:lang w:val="en-US"/>
        </w:rPr>
        <w:t>associations between PSP rating scale subgroups for motor function (Motor), cognitive function (Mentation), tau-PET and DaT-SPECT principal components. Analyzed components: Tau-PET principal component 1 (Tau 1), Tau-PET principal component 2 (Tau 2) and Da</w:t>
      </w:r>
      <w:r>
        <w:rPr>
          <w:rFonts w:ascii="Arial" w:hAnsi="Arial" w:cs="Arial"/>
          <w:bCs/>
          <w:sz w:val="20"/>
          <w:lang w:val="en-US"/>
        </w:rPr>
        <w:t>T-SPECT principal component (DaT)</w:t>
      </w: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sz w:val="20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Supplemental Figure 1</w:t>
      </w:r>
    </w:p>
    <w:p w:rsidR="00114E44" w:rsidRDefault="00114E44">
      <w:pPr>
        <w:rPr>
          <w:rFonts w:ascii="Arial" w:hAnsi="Arial" w:cs="Arial"/>
          <w:b/>
          <w:sz w:val="22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r w:rsidRPr="00154E93">
        <w:rPr>
          <w:rFonts w:ascii="Arial" w:hAnsi="Arial" w:cs="Arial"/>
          <w:b/>
          <w:noProof/>
          <w:sz w:val="22"/>
        </w:rPr>
        <w:drawing>
          <wp:inline distT="0" distB="0" distL="0" distR="0">
            <wp:extent cx="4619625" cy="3009900"/>
            <wp:effectExtent l="0" t="0" r="9525" b="0"/>
            <wp:docPr id="1" name="Grafik 1" descr="\\helios.med.uni-muenchen.de\Userdata\NUK\mscheife\config\Desktop\Tau-DAT Paper\Revision\final\supplemental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elios.med.uni-muenchen.de\Userdata\NUK\mscheife\config\Desktop\Tau-DAT Paper\Revision\final\supplemental figure 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E93" w:rsidRDefault="00154E93">
      <w:pPr>
        <w:rPr>
          <w:rFonts w:ascii="Arial" w:hAnsi="Arial" w:cs="Arial"/>
          <w:b/>
          <w:sz w:val="20"/>
          <w:lang w:val="en-US"/>
        </w:rPr>
      </w:pPr>
    </w:p>
    <w:p w:rsidR="00114E44" w:rsidRDefault="00154E93">
      <w:pPr>
        <w:rPr>
          <w:rFonts w:ascii="Arial" w:hAnsi="Arial" w:cs="Arial"/>
          <w:b/>
          <w:sz w:val="22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0"/>
          <w:lang w:val="en-US"/>
        </w:rPr>
        <w:t>Supplemental Figure 1:</w:t>
      </w:r>
    </w:p>
    <w:p w:rsidR="00114E44" w:rsidRDefault="00154E93">
      <w:pPr>
        <w:autoSpaceDE w:val="0"/>
        <w:autoSpaceDN w:val="0"/>
        <w:adjustRightInd w:val="0"/>
        <w:rPr>
          <w:rFonts w:ascii="Arial" w:hAnsi="Arial" w:cs="Arial"/>
          <w:b/>
          <w:noProof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Blue colors indicate negative multiple regression coefficients β. Orange colors indicate positive multiple regression coefficients β. The analysis of regional associations was performed on the patient´s hemisphere with lower DaT-SPECT mean z-scores. Region</w:t>
      </w:r>
      <w:r>
        <w:rPr>
          <w:rFonts w:ascii="Arial" w:hAnsi="Arial" w:cs="Arial"/>
          <w:sz w:val="21"/>
          <w:szCs w:val="21"/>
          <w:lang w:val="en-US"/>
        </w:rPr>
        <w:t xml:space="preserve">s analyzed for tau-PET: putamen (PUT),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globus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pallidus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externus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GPe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),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globus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pallidus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internus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GPi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),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subthalamic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nucleus (STN), substantia nigra (SN), dorsal midbrain (DMB) and dentate nucleus (Dentate). Regions analyzed for DaT-SPECT: caudate, anterior </w:t>
      </w:r>
      <w:r>
        <w:rPr>
          <w:rFonts w:ascii="Arial" w:hAnsi="Arial" w:cs="Arial"/>
          <w:sz w:val="21"/>
          <w:szCs w:val="21"/>
          <w:lang w:val="en-US"/>
        </w:rPr>
        <w:t>putamen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aPUT</w:t>
      </w:r>
      <w:proofErr w:type="spellEnd"/>
      <w:r>
        <w:rPr>
          <w:rFonts w:ascii="Arial" w:hAnsi="Arial" w:cs="Arial"/>
          <w:sz w:val="21"/>
          <w:szCs w:val="21"/>
          <w:lang w:val="en-US"/>
        </w:rPr>
        <w:t>) and posterior putamen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pPUT</w:t>
      </w:r>
      <w:proofErr w:type="spellEnd"/>
      <w:r>
        <w:rPr>
          <w:rFonts w:ascii="Arial" w:hAnsi="Arial" w:cs="Arial"/>
          <w:sz w:val="21"/>
          <w:szCs w:val="21"/>
          <w:lang w:val="en-US"/>
        </w:rPr>
        <w:t>).</w:t>
      </w:r>
    </w:p>
    <w:p w:rsidR="00114E44" w:rsidRDefault="00114E44">
      <w:pPr>
        <w:rPr>
          <w:rFonts w:ascii="Arial" w:hAnsi="Arial" w:cs="Arial"/>
          <w:sz w:val="16"/>
          <w:szCs w:val="21"/>
          <w:lang w:val="en-US"/>
        </w:rPr>
      </w:pPr>
    </w:p>
    <w:p w:rsidR="00114E44" w:rsidRDefault="00114E44">
      <w:pPr>
        <w:rPr>
          <w:lang w:val="en-US"/>
        </w:rPr>
      </w:pPr>
    </w:p>
    <w:sectPr w:rsidR="00114E44">
      <w:pgSz w:w="11901" w:h="16817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44"/>
    <w:rsid w:val="00114E44"/>
    <w:rsid w:val="0015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A783"/>
  <w15:chartTrackingRefBased/>
  <w15:docId w15:val="{839C8481-7058-4E71-8553-91DC355C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paragraph" w:customStyle="1" w:styleId="font5">
    <w:name w:val="font5"/>
    <w:basedOn w:val="Standard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6">
    <w:name w:val="font6"/>
    <w:basedOn w:val="Standard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7">
    <w:name w:val="font7"/>
    <w:basedOn w:val="Standard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11">
    <w:name w:val="xl11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12">
    <w:name w:val="xl11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13">
    <w:name w:val="xl11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16">
    <w:name w:val="xl11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17">
    <w:name w:val="xl117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18">
    <w:name w:val="xl11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19">
    <w:name w:val="xl11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1">
    <w:name w:val="xl121"/>
    <w:basedOn w:val="Stand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23">
    <w:name w:val="xl123"/>
    <w:basedOn w:val="Stand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24">
    <w:name w:val="xl12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27">
    <w:name w:val="xl127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28">
    <w:name w:val="xl12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29">
    <w:name w:val="xl129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30">
    <w:name w:val="xl130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customStyle="1" w:styleId="xl133">
    <w:name w:val="xl133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10205"/>
      <w:sz w:val="20"/>
      <w:szCs w:val="20"/>
    </w:rPr>
  </w:style>
  <w:style w:type="paragraph" w:styleId="Textkrper-Zeileneinzug">
    <w:name w:val="Body Text Indent"/>
    <w:basedOn w:val="Standard"/>
    <w:link w:val="Textkrper-ZeileneinzugZchn"/>
    <w:pPr>
      <w:suppressAutoHyphens/>
      <w:spacing w:line="360" w:lineRule="auto"/>
      <w:ind w:firstLine="709"/>
      <w:jc w:val="both"/>
    </w:pPr>
    <w:rPr>
      <w:szCs w:val="20"/>
      <w:lang w:val="en-GB" w:eastAsia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DF58CE-2D22-4587-98BC-273348C26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mscheife</cp:lastModifiedBy>
  <cp:revision>10</cp:revision>
  <dcterms:created xsi:type="dcterms:W3CDTF">2024-01-10T16:14:00Z</dcterms:created>
  <dcterms:modified xsi:type="dcterms:W3CDTF">2024-01-13T13:29:00Z</dcterms:modified>
</cp:coreProperties>
</file>