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EE29E" w14:textId="77777777" w:rsidR="005A3F71" w:rsidRPr="00DC4D1E" w:rsidRDefault="00302DB6">
      <w:pPr>
        <w:pStyle w:val="Heading1"/>
        <w:numPr>
          <w:ilvl w:val="0"/>
          <w:numId w:val="0"/>
        </w:numPr>
        <w:spacing w:line="480" w:lineRule="auto"/>
        <w:ind w:left="357" w:hanging="357"/>
        <w:rPr>
          <w:rFonts w:ascii="Times New Roman" w:hAnsi="Times New Roman"/>
          <w:b/>
          <w:sz w:val="28"/>
          <w:lang w:val="en-GB"/>
        </w:rPr>
      </w:pPr>
      <w:bookmarkStart w:id="0" w:name="_Hlk86433329"/>
      <w:bookmarkEnd w:id="0"/>
      <w:r w:rsidRPr="00EB11EF">
        <w:rPr>
          <w:rFonts w:ascii="Times New Roman" w:hAnsi="Times New Roman"/>
          <w:b/>
          <w:sz w:val="28"/>
          <w:lang w:val="en-GB"/>
        </w:rPr>
        <w:t>Original Article</w:t>
      </w:r>
    </w:p>
    <w:p w14:paraId="40487EB2" w14:textId="77777777" w:rsidR="005A3F71" w:rsidRPr="00DC4D1E" w:rsidRDefault="00302DB6">
      <w:pPr>
        <w:spacing w:after="0" w:line="480" w:lineRule="auto"/>
        <w:contextualSpacing/>
        <w:jc w:val="both"/>
        <w:rPr>
          <w:rFonts w:ascii="Times New Roman" w:hAnsi="Times New Roman"/>
          <w:b/>
          <w:i/>
          <w:sz w:val="24"/>
          <w:lang w:val="en-GB"/>
        </w:rPr>
      </w:pPr>
      <w:r w:rsidRPr="00DC4D1E">
        <w:rPr>
          <w:rFonts w:ascii="Times New Roman" w:hAnsi="Times New Roman"/>
          <w:b/>
          <w:i/>
          <w:sz w:val="24"/>
          <w:lang w:val="en-GB"/>
        </w:rPr>
        <w:t>European Journal of Nuclear Medicine and Molecular Imaging</w:t>
      </w:r>
    </w:p>
    <w:p w14:paraId="38314E74" w14:textId="6CC5266B" w:rsidR="005A3F71" w:rsidRPr="00DC4D1E" w:rsidRDefault="00302DB6">
      <w:pPr>
        <w:spacing w:after="0" w:line="480" w:lineRule="auto"/>
        <w:contextualSpacing/>
        <w:jc w:val="both"/>
        <w:rPr>
          <w:rFonts w:ascii="Times New Roman" w:hAnsi="Times New Roman"/>
          <w:sz w:val="24"/>
          <w:lang w:val="en-GB"/>
        </w:rPr>
      </w:pPr>
      <w:r w:rsidRPr="00DC4D1E">
        <w:rPr>
          <w:rFonts w:ascii="Times New Roman" w:hAnsi="Times New Roman"/>
          <w:b/>
          <w:sz w:val="24"/>
          <w:lang w:val="en-GB"/>
        </w:rPr>
        <w:t>Title:</w:t>
      </w:r>
      <w:r w:rsidRPr="00DC4D1E">
        <w:rPr>
          <w:rFonts w:ascii="Times New Roman" w:hAnsi="Times New Roman"/>
          <w:sz w:val="24"/>
          <w:lang w:val="en-GB"/>
        </w:rPr>
        <w:t xml:space="preserve"> Dosimetry and pharmacokinetics of </w:t>
      </w:r>
      <w:r w:rsidR="00F6446F" w:rsidRPr="00F6446F">
        <w:rPr>
          <w:rFonts w:ascii="Times New Roman" w:hAnsi="Times New Roman"/>
          <w:sz w:val="24"/>
        </w:rPr>
        <w:t>[</w:t>
      </w:r>
      <w:r w:rsidR="00F6446F" w:rsidRPr="00F6446F">
        <w:rPr>
          <w:rFonts w:ascii="Times New Roman" w:hAnsi="Times New Roman"/>
          <w:sz w:val="24"/>
          <w:vertAlign w:val="superscript"/>
        </w:rPr>
        <w:t>177</w:t>
      </w:r>
      <w:proofErr w:type="gramStart"/>
      <w:r w:rsidR="00F6446F" w:rsidRPr="00F6446F">
        <w:rPr>
          <w:rFonts w:ascii="Times New Roman" w:hAnsi="Times New Roman"/>
          <w:sz w:val="24"/>
        </w:rPr>
        <w:t>Lu]Lu</w:t>
      </w:r>
      <w:proofErr w:type="gramEnd"/>
      <w:r w:rsidR="00F6446F" w:rsidRPr="00F6446F">
        <w:rPr>
          <w:rFonts w:ascii="Times New Roman" w:hAnsi="Times New Roman"/>
          <w:sz w:val="24"/>
        </w:rPr>
        <w:t>-</w:t>
      </w:r>
      <w:proofErr w:type="spellStart"/>
      <w:r w:rsidR="00F6446F" w:rsidRPr="00F6446F">
        <w:rPr>
          <w:rFonts w:ascii="Times New Roman" w:hAnsi="Times New Roman"/>
          <w:sz w:val="24"/>
        </w:rPr>
        <w:t>satoreotide</w:t>
      </w:r>
      <w:proofErr w:type="spellEnd"/>
      <w:r w:rsidR="00AC4E8F">
        <w:rPr>
          <w:rFonts w:ascii="Times New Roman" w:hAnsi="Times New Roman"/>
          <w:sz w:val="24"/>
        </w:rPr>
        <w:t xml:space="preserve"> </w:t>
      </w:r>
      <w:r w:rsidRPr="0001203E">
        <w:rPr>
          <w:rFonts w:ascii="Times New Roman" w:hAnsi="Times New Roman"/>
          <w:sz w:val="24"/>
        </w:rPr>
        <w:t>tetraxetan</w:t>
      </w:r>
      <w:r w:rsidRPr="00DC4D1E">
        <w:rPr>
          <w:rFonts w:ascii="Times New Roman" w:hAnsi="Times New Roman"/>
          <w:sz w:val="24"/>
          <w:lang w:val="en-GB"/>
        </w:rPr>
        <w:t xml:space="preserve"> in patients with progressive neuroendocrine tumours </w:t>
      </w:r>
    </w:p>
    <w:p w14:paraId="569B7F2C" w14:textId="77777777"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b/>
          <w:sz w:val="24"/>
          <w:lang w:val="en-GB"/>
        </w:rPr>
        <w:t>Authors and A</w:t>
      </w:r>
      <w:r w:rsidRPr="00A32B39">
        <w:rPr>
          <w:rFonts w:ascii="Times New Roman" w:hAnsi="Times New Roman"/>
          <w:b/>
          <w:sz w:val="24"/>
          <w:lang w:val="en-GB"/>
        </w:rPr>
        <w:t>ffiliations</w:t>
      </w:r>
    </w:p>
    <w:p w14:paraId="266A9C51" w14:textId="1B764A18" w:rsidR="005A3F71" w:rsidRPr="00DC4D1E" w:rsidRDefault="00302DB6">
      <w:pPr>
        <w:pStyle w:val="ListParagraph"/>
        <w:spacing w:after="0" w:line="480" w:lineRule="auto"/>
        <w:ind w:left="0"/>
        <w:jc w:val="both"/>
        <w:rPr>
          <w:rFonts w:ascii="Times New Roman" w:hAnsi="Times New Roman"/>
          <w:sz w:val="24"/>
          <w:vertAlign w:val="superscript"/>
          <w:lang w:val="en-GB"/>
        </w:rPr>
      </w:pPr>
      <w:r w:rsidRPr="00EB11EF">
        <w:rPr>
          <w:rFonts w:ascii="Times New Roman" w:hAnsi="Times New Roman"/>
          <w:sz w:val="24"/>
          <w:lang w:val="en-GB"/>
        </w:rPr>
        <w:t>Seval Beykan</w:t>
      </w:r>
      <w:r w:rsidR="00C048F9">
        <w:rPr>
          <w:rFonts w:ascii="Times New Roman" w:hAnsi="Times New Roman"/>
          <w:sz w:val="24"/>
          <w:lang w:val="en-GB"/>
        </w:rPr>
        <w:t xml:space="preserve"> </w:t>
      </w:r>
      <w:r w:rsidR="00C048F9" w:rsidRPr="00C048F9">
        <w:rPr>
          <w:rFonts w:ascii="Times New Roman" w:hAnsi="Times New Roman"/>
          <w:sz w:val="24"/>
          <w:lang w:val="en-GB"/>
        </w:rPr>
        <w:t>Schürrle</w:t>
      </w:r>
      <w:r w:rsidRPr="00A32B39">
        <w:rPr>
          <w:rFonts w:ascii="Times New Roman" w:hAnsi="Times New Roman"/>
          <w:sz w:val="24"/>
          <w:lang w:val="en-GB"/>
        </w:rPr>
        <w:t>,</w:t>
      </w:r>
      <w:r w:rsidRPr="00A32B39">
        <w:rPr>
          <w:rFonts w:ascii="Times New Roman" w:hAnsi="Times New Roman"/>
          <w:sz w:val="24"/>
          <w:vertAlign w:val="superscript"/>
          <w:lang w:val="en-GB"/>
        </w:rPr>
        <w:t>1*</w:t>
      </w:r>
      <w:r w:rsidRPr="00A32B39">
        <w:rPr>
          <w:rFonts w:ascii="Times New Roman" w:hAnsi="Times New Roman"/>
          <w:sz w:val="24"/>
          <w:lang w:val="en-GB"/>
        </w:rPr>
        <w:t xml:space="preserve"> </w:t>
      </w:r>
      <w:r w:rsidRPr="00DC4D1E">
        <w:rPr>
          <w:rFonts w:ascii="Times New Roman" w:hAnsi="Times New Roman"/>
          <w:sz w:val="24"/>
          <w:lang w:val="en-GB"/>
        </w:rPr>
        <w:t>Uta Eberlein,</w:t>
      </w:r>
      <w:r w:rsidRPr="00DC4D1E">
        <w:rPr>
          <w:rFonts w:ascii="Times New Roman" w:hAnsi="Times New Roman"/>
          <w:sz w:val="24"/>
          <w:vertAlign w:val="superscript"/>
          <w:lang w:val="en-GB"/>
        </w:rPr>
        <w:t>1*</w:t>
      </w:r>
      <w:r w:rsidRPr="00DC4D1E">
        <w:rPr>
          <w:rFonts w:ascii="Times New Roman" w:hAnsi="Times New Roman"/>
          <w:sz w:val="24"/>
          <w:lang w:val="en-GB"/>
        </w:rPr>
        <w:t xml:space="preserve"> Catherine Ansquer,</w:t>
      </w:r>
      <w:r w:rsidRPr="00DC4D1E">
        <w:rPr>
          <w:rFonts w:ascii="Times New Roman" w:hAnsi="Times New Roman"/>
          <w:sz w:val="24"/>
          <w:vertAlign w:val="superscript"/>
          <w:lang w:val="en-GB"/>
        </w:rPr>
        <w:t>2</w:t>
      </w:r>
      <w:r w:rsidRPr="00DC4D1E">
        <w:rPr>
          <w:rFonts w:ascii="Times New Roman" w:hAnsi="Times New Roman"/>
          <w:sz w:val="24"/>
          <w:lang w:val="en-GB"/>
        </w:rPr>
        <w:t xml:space="preserve"> Jean-Mathieu Beauregard,</w:t>
      </w:r>
      <w:r w:rsidRPr="00DC4D1E">
        <w:rPr>
          <w:rFonts w:ascii="Times New Roman" w:hAnsi="Times New Roman"/>
          <w:sz w:val="24"/>
          <w:vertAlign w:val="superscript"/>
          <w:lang w:val="en-GB"/>
        </w:rPr>
        <w:t>3</w:t>
      </w:r>
      <w:r w:rsidRPr="00DC4D1E">
        <w:rPr>
          <w:rFonts w:ascii="Times New Roman" w:hAnsi="Times New Roman"/>
          <w:sz w:val="24"/>
          <w:lang w:val="en-GB"/>
        </w:rPr>
        <w:t xml:space="preserve"> Lucie Durand-Gasselin,</w:t>
      </w:r>
      <w:r w:rsidRPr="00DC4D1E">
        <w:rPr>
          <w:rFonts w:ascii="Times New Roman" w:hAnsi="Times New Roman"/>
          <w:sz w:val="24"/>
          <w:vertAlign w:val="superscript"/>
          <w:lang w:val="en-GB"/>
        </w:rPr>
        <w:t>4</w:t>
      </w:r>
      <w:r w:rsidRPr="00DC4D1E">
        <w:rPr>
          <w:rFonts w:ascii="Times New Roman" w:hAnsi="Times New Roman"/>
          <w:sz w:val="24"/>
          <w:lang w:val="en-GB"/>
        </w:rPr>
        <w:t xml:space="preserve"> Henning Grønbæk,</w:t>
      </w:r>
      <w:r w:rsidRPr="00DC4D1E">
        <w:rPr>
          <w:rFonts w:ascii="Times New Roman" w:hAnsi="Times New Roman"/>
          <w:sz w:val="24"/>
          <w:vertAlign w:val="superscript"/>
          <w:lang w:val="en-GB"/>
        </w:rPr>
        <w:t>5</w:t>
      </w:r>
      <w:r w:rsidRPr="00DC4D1E">
        <w:rPr>
          <w:rFonts w:ascii="Times New Roman" w:hAnsi="Times New Roman"/>
          <w:sz w:val="24"/>
          <w:lang w:val="en-GB"/>
        </w:rPr>
        <w:t xml:space="preserve"> Alexander Haug,</w:t>
      </w:r>
      <w:r w:rsidRPr="00DC4D1E">
        <w:rPr>
          <w:rFonts w:ascii="Times New Roman" w:hAnsi="Times New Roman"/>
          <w:sz w:val="24"/>
          <w:vertAlign w:val="superscript"/>
          <w:lang w:val="en-GB"/>
        </w:rPr>
        <w:t>6</w:t>
      </w:r>
      <w:r w:rsidRPr="00DC4D1E">
        <w:rPr>
          <w:rFonts w:ascii="Times New Roman" w:hAnsi="Times New Roman"/>
          <w:sz w:val="24"/>
          <w:lang w:val="en-GB"/>
        </w:rPr>
        <w:t xml:space="preserve"> Rodney J. Hicks,</w:t>
      </w:r>
      <w:r w:rsidRPr="00DC4D1E">
        <w:rPr>
          <w:rFonts w:ascii="Times New Roman" w:hAnsi="Times New Roman"/>
          <w:sz w:val="24"/>
          <w:vertAlign w:val="superscript"/>
          <w:lang w:val="en-GB"/>
        </w:rPr>
        <w:t>7,8</w:t>
      </w:r>
      <w:r w:rsidRPr="00DC4D1E">
        <w:rPr>
          <w:rFonts w:ascii="Times New Roman" w:hAnsi="Times New Roman"/>
          <w:sz w:val="24"/>
          <w:lang w:val="en-GB"/>
        </w:rPr>
        <w:t xml:space="preserve"> Nat P. Lenzo,</w:t>
      </w:r>
      <w:r w:rsidRPr="00DC4D1E">
        <w:rPr>
          <w:rFonts w:ascii="Times New Roman" w:hAnsi="Times New Roman"/>
          <w:sz w:val="24"/>
          <w:vertAlign w:val="superscript"/>
          <w:lang w:val="en-GB"/>
        </w:rPr>
        <w:t>9,10</w:t>
      </w:r>
      <w:r w:rsidRPr="00DC4D1E">
        <w:rPr>
          <w:rFonts w:ascii="Times New Roman" w:hAnsi="Times New Roman"/>
          <w:sz w:val="24"/>
          <w:lang w:val="en-GB"/>
        </w:rPr>
        <w:t xml:space="preserve"> Shaunak Navalkissoor,</w:t>
      </w:r>
      <w:r w:rsidRPr="00DC4D1E">
        <w:rPr>
          <w:rFonts w:ascii="Times New Roman" w:hAnsi="Times New Roman"/>
          <w:sz w:val="24"/>
          <w:vertAlign w:val="superscript"/>
          <w:lang w:val="en-GB"/>
        </w:rPr>
        <w:t>11</w:t>
      </w:r>
      <w:r w:rsidRPr="00DC4D1E">
        <w:rPr>
          <w:rFonts w:ascii="Times New Roman" w:hAnsi="Times New Roman"/>
          <w:sz w:val="24"/>
          <w:lang w:val="en-GB"/>
        </w:rPr>
        <w:t xml:space="preserve"> Guillaume P. Nicolas,</w:t>
      </w:r>
      <w:r w:rsidRPr="00DC4D1E">
        <w:rPr>
          <w:rFonts w:ascii="Times New Roman" w:hAnsi="Times New Roman"/>
          <w:sz w:val="24"/>
          <w:vertAlign w:val="superscript"/>
          <w:lang w:val="en-GB"/>
        </w:rPr>
        <w:t>12</w:t>
      </w:r>
      <w:r w:rsidRPr="00DC4D1E">
        <w:rPr>
          <w:rFonts w:ascii="Times New Roman" w:hAnsi="Times New Roman"/>
          <w:sz w:val="24"/>
          <w:lang w:val="en-GB"/>
        </w:rPr>
        <w:t xml:space="preserve"> Ben Pais,</w:t>
      </w:r>
      <w:r w:rsidRPr="00DC4D1E">
        <w:rPr>
          <w:rFonts w:ascii="Times New Roman" w:hAnsi="Times New Roman"/>
          <w:sz w:val="24"/>
          <w:vertAlign w:val="superscript"/>
          <w:lang w:val="en-GB"/>
        </w:rPr>
        <w:t>13</w:t>
      </w:r>
      <w:r w:rsidR="00237FF5">
        <w:rPr>
          <w:rFonts w:ascii="Times New Roman" w:hAnsi="Times New Roman"/>
          <w:sz w:val="24"/>
          <w:vertAlign w:val="superscript"/>
          <w:lang w:val="en-GB"/>
        </w:rPr>
        <w:t>,14</w:t>
      </w:r>
      <w:r w:rsidRPr="00DC4D1E">
        <w:rPr>
          <w:rFonts w:ascii="Times New Roman" w:hAnsi="Times New Roman"/>
          <w:sz w:val="24"/>
          <w:vertAlign w:val="superscript"/>
          <w:lang w:val="en-GB"/>
        </w:rPr>
        <w:t>†</w:t>
      </w:r>
      <w:r w:rsidRPr="00DC4D1E">
        <w:rPr>
          <w:rFonts w:ascii="Times New Roman" w:hAnsi="Times New Roman"/>
          <w:sz w:val="24"/>
          <w:lang w:val="en-GB"/>
        </w:rPr>
        <w:t xml:space="preserve"> Magali Volteau,</w:t>
      </w:r>
      <w:r w:rsidR="001B32C4">
        <w:rPr>
          <w:rFonts w:ascii="Times New Roman" w:hAnsi="Times New Roman"/>
          <w:sz w:val="24"/>
          <w:vertAlign w:val="superscript"/>
          <w:lang w:val="en-GB"/>
        </w:rPr>
        <w:t>4</w:t>
      </w:r>
      <w:r w:rsidRPr="00DC4D1E">
        <w:rPr>
          <w:rFonts w:ascii="Times New Roman" w:hAnsi="Times New Roman"/>
          <w:sz w:val="24"/>
          <w:lang w:val="en-GB"/>
        </w:rPr>
        <w:t xml:space="preserve"> Damian Wild,</w:t>
      </w:r>
      <w:r w:rsidRPr="00DC4D1E">
        <w:rPr>
          <w:rFonts w:ascii="Times New Roman" w:hAnsi="Times New Roman"/>
          <w:sz w:val="24"/>
          <w:vertAlign w:val="superscript"/>
          <w:lang w:val="en-GB"/>
        </w:rPr>
        <w:t>12</w:t>
      </w:r>
      <w:r w:rsidRPr="00DC4D1E">
        <w:rPr>
          <w:rFonts w:ascii="Times New Roman" w:hAnsi="Times New Roman"/>
          <w:sz w:val="24"/>
          <w:lang w:val="en-GB"/>
        </w:rPr>
        <w:t xml:space="preserve"> Alexander McEwan,</w:t>
      </w:r>
      <w:r w:rsidRPr="00DC4D1E">
        <w:rPr>
          <w:rFonts w:ascii="Times New Roman" w:hAnsi="Times New Roman"/>
          <w:sz w:val="24"/>
          <w:vertAlign w:val="superscript"/>
          <w:lang w:val="en-GB"/>
        </w:rPr>
        <w:t>1</w:t>
      </w:r>
      <w:r w:rsidR="001B32C4">
        <w:rPr>
          <w:rFonts w:ascii="Times New Roman" w:hAnsi="Times New Roman"/>
          <w:sz w:val="24"/>
          <w:vertAlign w:val="superscript"/>
          <w:lang w:val="en-GB"/>
        </w:rPr>
        <w:t>4</w:t>
      </w:r>
      <w:r w:rsidRPr="00DC4D1E">
        <w:rPr>
          <w:rFonts w:ascii="Times New Roman" w:hAnsi="Times New Roman"/>
          <w:sz w:val="24"/>
          <w:vertAlign w:val="superscript"/>
          <w:lang w:val="en-GB"/>
        </w:rPr>
        <w:t>‡</w:t>
      </w:r>
      <w:r w:rsidRPr="00DC4D1E">
        <w:rPr>
          <w:rFonts w:ascii="Times New Roman" w:hAnsi="Times New Roman"/>
          <w:sz w:val="24"/>
          <w:lang w:val="en-GB"/>
        </w:rPr>
        <w:t xml:space="preserve"> Michael Lassmann</w:t>
      </w:r>
      <w:r w:rsidRPr="00DC4D1E">
        <w:rPr>
          <w:rFonts w:ascii="Times New Roman" w:hAnsi="Times New Roman"/>
          <w:sz w:val="24"/>
          <w:vertAlign w:val="superscript"/>
          <w:lang w:val="en-GB"/>
        </w:rPr>
        <w:t>1</w:t>
      </w:r>
    </w:p>
    <w:p w14:paraId="62FBA764" w14:textId="77777777"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t>*</w:t>
      </w:r>
      <w:r w:rsidRPr="00EB11EF">
        <w:rPr>
          <w:rFonts w:ascii="Times New Roman" w:hAnsi="Times New Roman"/>
          <w:sz w:val="24"/>
          <w:lang w:val="en-GB"/>
        </w:rPr>
        <w:t>Shared first authorship</w:t>
      </w:r>
    </w:p>
    <w:p w14:paraId="6B518A9B" w14:textId="77777777"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t>1</w:t>
      </w:r>
      <w:r w:rsidRPr="00EB11EF">
        <w:rPr>
          <w:rFonts w:ascii="Times New Roman" w:hAnsi="Times New Roman"/>
          <w:sz w:val="24"/>
          <w:lang w:val="en-GB"/>
        </w:rPr>
        <w:t>Department of Nuclear Medicine, University Hospital Würzburg, Würzburg, G</w:t>
      </w:r>
      <w:r w:rsidRPr="00A32B39">
        <w:rPr>
          <w:rFonts w:ascii="Times New Roman" w:hAnsi="Times New Roman"/>
          <w:sz w:val="24"/>
          <w:lang w:val="en-GB"/>
        </w:rPr>
        <w:t>ermany</w:t>
      </w:r>
    </w:p>
    <w:p w14:paraId="323F5000" w14:textId="77777777" w:rsidR="005A3F71" w:rsidRPr="00DC4D1E" w:rsidRDefault="00302DB6">
      <w:pPr>
        <w:pStyle w:val="ListParagraph"/>
        <w:spacing w:after="0" w:line="480" w:lineRule="auto"/>
        <w:ind w:left="0"/>
        <w:jc w:val="both"/>
        <w:rPr>
          <w:rFonts w:ascii="Times New Roman" w:hAnsi="Times New Roman"/>
          <w:sz w:val="24"/>
          <w:lang w:val="fr-FR"/>
        </w:rPr>
      </w:pPr>
      <w:r>
        <w:rPr>
          <w:rFonts w:ascii="Times New Roman" w:hAnsi="Times New Roman"/>
          <w:sz w:val="24"/>
          <w:vertAlign w:val="superscript"/>
          <w:lang w:val="fr-FR"/>
        </w:rPr>
        <w:t>2</w:t>
      </w:r>
      <w:r>
        <w:rPr>
          <w:rFonts w:ascii="Times New Roman" w:hAnsi="Times New Roman"/>
          <w:sz w:val="24"/>
          <w:lang w:val="fr-FR"/>
        </w:rPr>
        <w:t>CHU Nantes, Nantes Université, Médecine Nucléaire, Nantes, France</w:t>
      </w:r>
    </w:p>
    <w:p w14:paraId="41ECD4DC" w14:textId="28890DD6" w:rsidR="005A3F71" w:rsidRPr="006F78D2" w:rsidRDefault="00302DB6">
      <w:pPr>
        <w:pStyle w:val="ListParagraph"/>
        <w:spacing w:after="0" w:line="480" w:lineRule="auto"/>
        <w:ind w:left="0"/>
        <w:jc w:val="both"/>
        <w:rPr>
          <w:rFonts w:ascii="Times New Roman" w:hAnsi="Times New Roman"/>
          <w:sz w:val="24"/>
          <w:lang w:val="fr-FR"/>
        </w:rPr>
      </w:pPr>
      <w:r w:rsidRPr="006F78D2">
        <w:rPr>
          <w:rFonts w:ascii="Times New Roman" w:hAnsi="Times New Roman"/>
          <w:sz w:val="24"/>
          <w:vertAlign w:val="superscript"/>
          <w:lang w:val="fr-FR"/>
        </w:rPr>
        <w:t>3</w:t>
      </w:r>
      <w:r w:rsidRPr="006F78D2">
        <w:rPr>
          <w:rFonts w:ascii="Times New Roman" w:hAnsi="Times New Roman"/>
          <w:sz w:val="24"/>
          <w:lang w:val="fr-FR"/>
        </w:rPr>
        <w:t>Department of Medical Imaging, CHU de Québec – Université Laval, Qu</w:t>
      </w:r>
      <w:r w:rsidR="002A7E51" w:rsidRPr="006F78D2">
        <w:rPr>
          <w:rFonts w:ascii="Times New Roman" w:hAnsi="Times New Roman"/>
          <w:sz w:val="24"/>
          <w:lang w:val="fr-FR"/>
        </w:rPr>
        <w:t>é</w:t>
      </w:r>
      <w:r w:rsidRPr="006F78D2">
        <w:rPr>
          <w:rFonts w:ascii="Times New Roman" w:hAnsi="Times New Roman"/>
          <w:sz w:val="24"/>
          <w:lang w:val="fr-FR"/>
        </w:rPr>
        <w:t xml:space="preserve">bec City, </w:t>
      </w:r>
      <w:proofErr w:type="spellStart"/>
      <w:r w:rsidR="008962D3" w:rsidRPr="006F78D2">
        <w:rPr>
          <w:rFonts w:ascii="Times New Roman" w:hAnsi="Times New Roman"/>
          <w:sz w:val="24"/>
          <w:lang w:val="fr-FR"/>
        </w:rPr>
        <w:t>Quebec</w:t>
      </w:r>
      <w:proofErr w:type="spellEnd"/>
      <w:r w:rsidR="008962D3" w:rsidRPr="006F78D2">
        <w:rPr>
          <w:rFonts w:ascii="Times New Roman" w:hAnsi="Times New Roman"/>
          <w:sz w:val="24"/>
          <w:lang w:val="fr-FR"/>
        </w:rPr>
        <w:t xml:space="preserve">, </w:t>
      </w:r>
      <w:r w:rsidRPr="006F78D2">
        <w:rPr>
          <w:rFonts w:ascii="Times New Roman" w:hAnsi="Times New Roman"/>
          <w:sz w:val="24"/>
          <w:lang w:val="fr-FR"/>
        </w:rPr>
        <w:t>Canada</w:t>
      </w:r>
    </w:p>
    <w:p w14:paraId="35AED2FD" w14:textId="77777777" w:rsidR="005A3F71" w:rsidRPr="006F78D2" w:rsidRDefault="00302DB6">
      <w:pPr>
        <w:pStyle w:val="ListParagraph"/>
        <w:spacing w:after="0" w:line="480" w:lineRule="auto"/>
        <w:ind w:left="0"/>
        <w:jc w:val="both"/>
        <w:rPr>
          <w:rFonts w:ascii="Times New Roman" w:hAnsi="Times New Roman"/>
          <w:sz w:val="24"/>
          <w:lang w:val="fr-FR"/>
        </w:rPr>
      </w:pPr>
      <w:r w:rsidRPr="006F78D2">
        <w:rPr>
          <w:rFonts w:ascii="Times New Roman" w:hAnsi="Times New Roman"/>
          <w:sz w:val="24"/>
          <w:vertAlign w:val="superscript"/>
          <w:lang w:val="fr-FR"/>
        </w:rPr>
        <w:t>4</w:t>
      </w:r>
      <w:r w:rsidRPr="006F78D2">
        <w:rPr>
          <w:rFonts w:ascii="Times New Roman" w:hAnsi="Times New Roman"/>
          <w:sz w:val="24"/>
          <w:lang w:val="fr-FR"/>
        </w:rPr>
        <w:t>Ipsen Innovation, Les Ulis, France</w:t>
      </w:r>
    </w:p>
    <w:p w14:paraId="0EE1104D" w14:textId="2CE49C6B" w:rsidR="005A3F71" w:rsidRPr="006F78D2" w:rsidRDefault="00302DB6">
      <w:pPr>
        <w:pStyle w:val="ListParagraph"/>
        <w:spacing w:after="0" w:line="480" w:lineRule="auto"/>
        <w:ind w:left="0"/>
        <w:jc w:val="both"/>
        <w:rPr>
          <w:rFonts w:ascii="Times New Roman" w:hAnsi="Times New Roman"/>
          <w:sz w:val="24"/>
          <w:lang w:val="fr-FR"/>
        </w:rPr>
      </w:pPr>
      <w:r w:rsidRPr="006F78D2">
        <w:rPr>
          <w:rFonts w:ascii="Times New Roman" w:hAnsi="Times New Roman"/>
          <w:sz w:val="24"/>
          <w:vertAlign w:val="superscript"/>
          <w:lang w:val="fr-FR"/>
        </w:rPr>
        <w:t>5</w:t>
      </w:r>
      <w:r w:rsidRPr="006F78D2">
        <w:rPr>
          <w:rFonts w:ascii="Times New Roman" w:hAnsi="Times New Roman"/>
          <w:sz w:val="24"/>
          <w:lang w:val="fr-FR"/>
        </w:rPr>
        <w:t xml:space="preserve">Department of </w:t>
      </w:r>
      <w:proofErr w:type="spellStart"/>
      <w:r w:rsidRPr="006F78D2">
        <w:rPr>
          <w:rFonts w:ascii="Times New Roman" w:hAnsi="Times New Roman"/>
          <w:sz w:val="24"/>
          <w:lang w:val="fr-FR"/>
        </w:rPr>
        <w:t>Hepatology</w:t>
      </w:r>
      <w:proofErr w:type="spellEnd"/>
      <w:r w:rsidRPr="006F78D2">
        <w:rPr>
          <w:rFonts w:ascii="Times New Roman" w:hAnsi="Times New Roman"/>
          <w:sz w:val="24"/>
          <w:lang w:val="fr-FR"/>
        </w:rPr>
        <w:t xml:space="preserve"> &amp; </w:t>
      </w:r>
      <w:proofErr w:type="spellStart"/>
      <w:r w:rsidRPr="006F78D2">
        <w:rPr>
          <w:rFonts w:ascii="Times New Roman" w:hAnsi="Times New Roman"/>
          <w:sz w:val="24"/>
          <w:lang w:val="fr-FR"/>
        </w:rPr>
        <w:t>Gastroenterology</w:t>
      </w:r>
      <w:proofErr w:type="spellEnd"/>
      <w:r w:rsidRPr="006F78D2">
        <w:rPr>
          <w:rFonts w:ascii="Times New Roman" w:hAnsi="Times New Roman"/>
          <w:sz w:val="24"/>
          <w:lang w:val="fr-FR"/>
        </w:rPr>
        <w:t xml:space="preserve">, ENETS Centre of Excellence, Aarhus </w:t>
      </w:r>
      <w:proofErr w:type="spellStart"/>
      <w:r w:rsidRPr="006F78D2">
        <w:rPr>
          <w:rFonts w:ascii="Times New Roman" w:hAnsi="Times New Roman"/>
          <w:sz w:val="24"/>
          <w:lang w:val="fr-FR"/>
        </w:rPr>
        <w:t>University</w:t>
      </w:r>
      <w:proofErr w:type="spellEnd"/>
      <w:r w:rsidRPr="006F78D2">
        <w:rPr>
          <w:rFonts w:ascii="Times New Roman" w:hAnsi="Times New Roman"/>
          <w:sz w:val="24"/>
          <w:lang w:val="fr-FR"/>
        </w:rPr>
        <w:t xml:space="preserve"> Hospital and </w:t>
      </w:r>
      <w:proofErr w:type="spellStart"/>
      <w:r w:rsidRPr="006F78D2">
        <w:rPr>
          <w:rFonts w:ascii="Times New Roman" w:hAnsi="Times New Roman"/>
          <w:sz w:val="24"/>
          <w:lang w:val="fr-FR"/>
        </w:rPr>
        <w:t>Clinical</w:t>
      </w:r>
      <w:proofErr w:type="spellEnd"/>
      <w:r w:rsidRPr="006F78D2">
        <w:rPr>
          <w:rFonts w:ascii="Times New Roman" w:hAnsi="Times New Roman"/>
          <w:sz w:val="24"/>
          <w:lang w:val="fr-FR"/>
        </w:rPr>
        <w:t xml:space="preserve"> Institute, Aarhus </w:t>
      </w:r>
      <w:proofErr w:type="spellStart"/>
      <w:r w:rsidRPr="006F78D2">
        <w:rPr>
          <w:rFonts w:ascii="Times New Roman" w:hAnsi="Times New Roman"/>
          <w:sz w:val="24"/>
          <w:lang w:val="fr-FR"/>
        </w:rPr>
        <w:t>University</w:t>
      </w:r>
      <w:proofErr w:type="spellEnd"/>
      <w:r w:rsidRPr="006F78D2">
        <w:rPr>
          <w:rFonts w:ascii="Times New Roman" w:hAnsi="Times New Roman"/>
          <w:sz w:val="24"/>
          <w:lang w:val="fr-FR"/>
        </w:rPr>
        <w:t xml:space="preserve">, Aarhus, </w:t>
      </w:r>
      <w:proofErr w:type="spellStart"/>
      <w:r w:rsidRPr="006F78D2">
        <w:rPr>
          <w:rFonts w:ascii="Times New Roman" w:hAnsi="Times New Roman"/>
          <w:sz w:val="24"/>
          <w:lang w:val="fr-FR"/>
        </w:rPr>
        <w:t>Denmark</w:t>
      </w:r>
      <w:proofErr w:type="spellEnd"/>
    </w:p>
    <w:p w14:paraId="6B3B0C06" w14:textId="77777777" w:rsidR="005A3F71" w:rsidRDefault="00302DB6">
      <w:pPr>
        <w:pStyle w:val="ListParagraph"/>
        <w:spacing w:after="0" w:line="480" w:lineRule="auto"/>
        <w:ind w:left="0"/>
        <w:jc w:val="both"/>
        <w:rPr>
          <w:rFonts w:ascii="Times New Roman" w:hAnsi="Times New Roman"/>
          <w:sz w:val="24"/>
        </w:rPr>
      </w:pPr>
      <w:r w:rsidRPr="00EB11EF">
        <w:rPr>
          <w:rFonts w:ascii="Times New Roman" w:hAnsi="Times New Roman"/>
          <w:sz w:val="24"/>
          <w:vertAlign w:val="superscript"/>
          <w:lang w:val="en-GB"/>
        </w:rPr>
        <w:t>6</w:t>
      </w:r>
      <w:r w:rsidRPr="0001203E">
        <w:rPr>
          <w:rFonts w:ascii="Times New Roman" w:hAnsi="Times New Roman"/>
          <w:sz w:val="24"/>
        </w:rPr>
        <w:t>Department of Radiology and Nuclear Medicine, Medical University of Vienna, Vienna, Austria</w:t>
      </w:r>
    </w:p>
    <w:p w14:paraId="534928E8" w14:textId="6F7A1F80" w:rsidR="005A3F71" w:rsidRDefault="00302DB6">
      <w:pPr>
        <w:pStyle w:val="ListParagraph"/>
        <w:spacing w:after="0" w:line="480" w:lineRule="auto"/>
        <w:ind w:left="0"/>
        <w:jc w:val="both"/>
        <w:rPr>
          <w:rFonts w:ascii="Times New Roman" w:hAnsi="Times New Roman"/>
          <w:sz w:val="24"/>
        </w:rPr>
      </w:pPr>
      <w:r w:rsidRPr="00EB11EF">
        <w:rPr>
          <w:rFonts w:ascii="Times New Roman" w:hAnsi="Times New Roman"/>
          <w:sz w:val="24"/>
          <w:vertAlign w:val="superscript"/>
          <w:lang w:val="en-GB"/>
        </w:rPr>
        <w:t>7</w:t>
      </w:r>
      <w:r w:rsidRPr="0001203E">
        <w:rPr>
          <w:rFonts w:ascii="Times New Roman" w:hAnsi="Times New Roman"/>
          <w:sz w:val="24"/>
        </w:rPr>
        <w:t>Department of Medicine, St Vincent’s Hospital, The University of Melbourne</w:t>
      </w:r>
      <w:r w:rsidR="002A7E51">
        <w:rPr>
          <w:rFonts w:ascii="Times New Roman" w:hAnsi="Times New Roman"/>
          <w:sz w:val="24"/>
        </w:rPr>
        <w:t>, Melbourne, V</w:t>
      </w:r>
      <w:r w:rsidR="008962D3">
        <w:rPr>
          <w:rFonts w:ascii="Times New Roman" w:hAnsi="Times New Roman"/>
          <w:sz w:val="24"/>
        </w:rPr>
        <w:t>ictoria</w:t>
      </w:r>
      <w:r w:rsidR="002A7E51">
        <w:rPr>
          <w:rFonts w:ascii="Times New Roman" w:hAnsi="Times New Roman"/>
          <w:sz w:val="24"/>
        </w:rPr>
        <w:t>, Australia</w:t>
      </w:r>
    </w:p>
    <w:p w14:paraId="38B32752" w14:textId="50F5BB3A" w:rsidR="005A3F71" w:rsidRDefault="00302DB6">
      <w:pPr>
        <w:pStyle w:val="ListParagraph"/>
        <w:spacing w:after="0" w:line="480" w:lineRule="auto"/>
        <w:ind w:left="0"/>
        <w:jc w:val="both"/>
        <w:rPr>
          <w:rFonts w:ascii="Times New Roman" w:hAnsi="Times New Roman"/>
          <w:sz w:val="24"/>
        </w:rPr>
      </w:pPr>
      <w:r w:rsidRPr="00EB11EF">
        <w:rPr>
          <w:rFonts w:ascii="Times New Roman" w:hAnsi="Times New Roman"/>
          <w:sz w:val="24"/>
          <w:vertAlign w:val="superscript"/>
        </w:rPr>
        <w:t>8</w:t>
      </w:r>
      <w:r w:rsidRPr="00EB11EF">
        <w:rPr>
          <w:rFonts w:ascii="Times New Roman" w:hAnsi="Times New Roman"/>
          <w:sz w:val="24"/>
        </w:rPr>
        <w:t>Department of Medicine, Central Clinical School, the Alfred Hospital, Monash University</w:t>
      </w:r>
      <w:r w:rsidRPr="00A32B39">
        <w:rPr>
          <w:rFonts w:ascii="Times New Roman" w:hAnsi="Times New Roman"/>
          <w:sz w:val="24"/>
        </w:rPr>
        <w:t>,</w:t>
      </w:r>
      <w:r w:rsidRPr="00A32B39">
        <w:rPr>
          <w:rFonts w:ascii="Times New Roman" w:hAnsi="Times New Roman"/>
          <w:strike/>
          <w:sz w:val="24"/>
        </w:rPr>
        <w:t xml:space="preserve"> </w:t>
      </w:r>
      <w:r w:rsidRPr="00A32B39">
        <w:rPr>
          <w:rFonts w:ascii="Times New Roman" w:hAnsi="Times New Roman"/>
          <w:sz w:val="24"/>
        </w:rPr>
        <w:t xml:space="preserve">Melbourne, </w:t>
      </w:r>
      <w:r w:rsidR="002A7E51">
        <w:rPr>
          <w:rFonts w:ascii="Times New Roman" w:hAnsi="Times New Roman"/>
          <w:sz w:val="24"/>
        </w:rPr>
        <w:t>V</w:t>
      </w:r>
      <w:r w:rsidR="008962D3">
        <w:rPr>
          <w:rFonts w:ascii="Times New Roman" w:hAnsi="Times New Roman"/>
          <w:sz w:val="24"/>
        </w:rPr>
        <w:t>ictoria</w:t>
      </w:r>
      <w:r w:rsidR="002A7E51">
        <w:rPr>
          <w:rFonts w:ascii="Times New Roman" w:hAnsi="Times New Roman"/>
          <w:sz w:val="24"/>
        </w:rPr>
        <w:t xml:space="preserve">, </w:t>
      </w:r>
      <w:r w:rsidRPr="00A32B39">
        <w:rPr>
          <w:rFonts w:ascii="Times New Roman" w:hAnsi="Times New Roman"/>
          <w:sz w:val="24"/>
        </w:rPr>
        <w:t xml:space="preserve">Australia </w:t>
      </w:r>
    </w:p>
    <w:p w14:paraId="4BF842DD" w14:textId="242B1931"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t>9</w:t>
      </w:r>
      <w:r w:rsidRPr="00EB11EF">
        <w:rPr>
          <w:rFonts w:ascii="Times New Roman" w:hAnsi="Times New Roman"/>
          <w:sz w:val="24"/>
          <w:lang w:val="en-GB"/>
        </w:rPr>
        <w:t xml:space="preserve">GenesisCare, East Fremantle, </w:t>
      </w:r>
      <w:r w:rsidR="002A7E51">
        <w:rPr>
          <w:rFonts w:ascii="Times New Roman" w:hAnsi="Times New Roman"/>
          <w:sz w:val="24"/>
          <w:lang w:val="en-GB"/>
        </w:rPr>
        <w:t>W</w:t>
      </w:r>
      <w:r w:rsidR="008962D3">
        <w:rPr>
          <w:rFonts w:ascii="Times New Roman" w:hAnsi="Times New Roman"/>
          <w:sz w:val="24"/>
          <w:lang w:val="en-GB"/>
        </w:rPr>
        <w:t>estern Australia</w:t>
      </w:r>
      <w:r w:rsidR="002A7E51">
        <w:rPr>
          <w:rFonts w:ascii="Times New Roman" w:hAnsi="Times New Roman"/>
          <w:sz w:val="24"/>
          <w:lang w:val="en-GB"/>
        </w:rPr>
        <w:t xml:space="preserve">, </w:t>
      </w:r>
      <w:r w:rsidRPr="00EB11EF">
        <w:rPr>
          <w:rFonts w:ascii="Times New Roman" w:hAnsi="Times New Roman"/>
          <w:sz w:val="24"/>
          <w:lang w:val="en-GB"/>
        </w:rPr>
        <w:t>Australia</w:t>
      </w:r>
    </w:p>
    <w:p w14:paraId="0E29FC78" w14:textId="4694F917"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lastRenderedPageBreak/>
        <w:t>10</w:t>
      </w:r>
      <w:r w:rsidRPr="00EB11EF">
        <w:rPr>
          <w:rFonts w:ascii="Times New Roman" w:hAnsi="Times New Roman"/>
          <w:sz w:val="24"/>
          <w:lang w:val="en-GB"/>
        </w:rPr>
        <w:t>Department of Medi</w:t>
      </w:r>
      <w:r w:rsidRPr="00A32B39">
        <w:rPr>
          <w:rFonts w:ascii="Times New Roman" w:hAnsi="Times New Roman"/>
          <w:sz w:val="24"/>
          <w:lang w:val="en-GB"/>
        </w:rPr>
        <w:t xml:space="preserve">cine, Curtin University, Perth, </w:t>
      </w:r>
      <w:r w:rsidR="002A7E51">
        <w:rPr>
          <w:rFonts w:ascii="Times New Roman" w:hAnsi="Times New Roman"/>
          <w:sz w:val="24"/>
          <w:lang w:val="en-GB"/>
        </w:rPr>
        <w:t>W</w:t>
      </w:r>
      <w:r w:rsidR="008962D3">
        <w:rPr>
          <w:rFonts w:ascii="Times New Roman" w:hAnsi="Times New Roman"/>
          <w:sz w:val="24"/>
          <w:lang w:val="en-GB"/>
        </w:rPr>
        <w:t>estern Australia</w:t>
      </w:r>
      <w:r w:rsidR="002A7E51">
        <w:rPr>
          <w:rFonts w:ascii="Times New Roman" w:hAnsi="Times New Roman"/>
          <w:sz w:val="24"/>
          <w:lang w:val="en-GB"/>
        </w:rPr>
        <w:t xml:space="preserve">, </w:t>
      </w:r>
      <w:r w:rsidRPr="00A32B39">
        <w:rPr>
          <w:rFonts w:ascii="Times New Roman" w:hAnsi="Times New Roman"/>
          <w:sz w:val="24"/>
          <w:lang w:val="en-GB"/>
        </w:rPr>
        <w:t>Australia</w:t>
      </w:r>
    </w:p>
    <w:p w14:paraId="7BC73572" w14:textId="77777777" w:rsidR="005A3F71" w:rsidRDefault="00302DB6">
      <w:pPr>
        <w:pStyle w:val="ListParagraph"/>
        <w:spacing w:after="0" w:line="480" w:lineRule="auto"/>
        <w:ind w:left="0"/>
        <w:contextualSpacing w:val="0"/>
        <w:jc w:val="both"/>
        <w:rPr>
          <w:rFonts w:ascii="Times New Roman" w:hAnsi="Times New Roman"/>
          <w:sz w:val="24"/>
        </w:rPr>
      </w:pPr>
      <w:r w:rsidRPr="00EB11EF">
        <w:rPr>
          <w:rFonts w:ascii="Times New Roman" w:hAnsi="Times New Roman"/>
          <w:sz w:val="24"/>
          <w:vertAlign w:val="superscript"/>
          <w:lang w:val="en-GB"/>
        </w:rPr>
        <w:t>11</w:t>
      </w:r>
      <w:r w:rsidRPr="0001203E">
        <w:rPr>
          <w:rFonts w:ascii="Times New Roman" w:hAnsi="Times New Roman"/>
          <w:sz w:val="24"/>
        </w:rPr>
        <w:t xml:space="preserve">Neuroendocrine </w:t>
      </w:r>
      <w:proofErr w:type="spellStart"/>
      <w:r w:rsidRPr="0001203E">
        <w:rPr>
          <w:rFonts w:ascii="Times New Roman" w:hAnsi="Times New Roman"/>
          <w:sz w:val="24"/>
        </w:rPr>
        <w:t>Tumour</w:t>
      </w:r>
      <w:proofErr w:type="spellEnd"/>
      <w:r w:rsidRPr="0001203E">
        <w:rPr>
          <w:rFonts w:ascii="Times New Roman" w:hAnsi="Times New Roman"/>
          <w:sz w:val="24"/>
        </w:rPr>
        <w:t xml:space="preserve"> Unit, ENETS Centre of Excellence, Royal Free London NHS Foundation Trust, London, United Kingdom</w:t>
      </w:r>
    </w:p>
    <w:p w14:paraId="245A5CEA" w14:textId="77777777" w:rsidR="005A3F71" w:rsidRDefault="00302DB6">
      <w:pPr>
        <w:pStyle w:val="ListParagraph"/>
        <w:spacing w:after="0" w:line="480" w:lineRule="auto"/>
        <w:ind w:left="0"/>
        <w:contextualSpacing w:val="0"/>
        <w:jc w:val="both"/>
        <w:rPr>
          <w:rFonts w:ascii="Times New Roman" w:hAnsi="Times New Roman"/>
          <w:sz w:val="24"/>
        </w:rPr>
      </w:pPr>
      <w:r w:rsidRPr="00EB11EF">
        <w:rPr>
          <w:rFonts w:ascii="Times New Roman" w:hAnsi="Times New Roman"/>
          <w:sz w:val="24"/>
          <w:vertAlign w:val="superscript"/>
          <w:lang w:val="en-GB"/>
        </w:rPr>
        <w:t>12</w:t>
      </w:r>
      <w:r w:rsidRPr="0001203E">
        <w:rPr>
          <w:rFonts w:ascii="Times New Roman" w:hAnsi="Times New Roman"/>
          <w:sz w:val="24"/>
        </w:rPr>
        <w:t>Division of Nuclear Medicine, ENETS Centre of Excellence, University Hospital Basel, Basel, Switzerland</w:t>
      </w:r>
    </w:p>
    <w:p w14:paraId="39AB3248" w14:textId="77777777" w:rsidR="005A3F71" w:rsidRPr="00DC4D1E" w:rsidRDefault="00302DB6">
      <w:pPr>
        <w:pStyle w:val="ListParagraph"/>
        <w:spacing w:after="0" w:line="480" w:lineRule="auto"/>
        <w:ind w:left="0"/>
        <w:contextualSpacing w:val="0"/>
        <w:jc w:val="both"/>
        <w:rPr>
          <w:rFonts w:ascii="Times New Roman" w:hAnsi="Times New Roman"/>
          <w:sz w:val="24"/>
          <w:lang w:val="en-GB"/>
        </w:rPr>
      </w:pPr>
      <w:r w:rsidRPr="00EB11EF">
        <w:rPr>
          <w:rFonts w:ascii="Times New Roman" w:hAnsi="Times New Roman"/>
          <w:sz w:val="24"/>
          <w:vertAlign w:val="superscript"/>
          <w:lang w:val="en-GB"/>
        </w:rPr>
        <w:t>13</w:t>
      </w:r>
      <w:r w:rsidRPr="00A32B39">
        <w:rPr>
          <w:rFonts w:ascii="Times New Roman" w:hAnsi="Times New Roman"/>
          <w:sz w:val="24"/>
          <w:lang w:val="en-GB"/>
        </w:rPr>
        <w:t xml:space="preserve">SRT-Biomedical B.V., Soest, Netherlands </w:t>
      </w:r>
    </w:p>
    <w:p w14:paraId="6F27179B" w14:textId="581080C7" w:rsidR="005A3F71" w:rsidRPr="00DC4D1E" w:rsidRDefault="00302DB6">
      <w:pPr>
        <w:pStyle w:val="ListParagraph"/>
        <w:spacing w:after="0" w:line="480" w:lineRule="auto"/>
        <w:ind w:left="0"/>
        <w:contextualSpacing w:val="0"/>
        <w:jc w:val="both"/>
        <w:rPr>
          <w:rFonts w:ascii="Times New Roman" w:hAnsi="Times New Roman"/>
          <w:sz w:val="24"/>
          <w:lang w:val="en-GB"/>
        </w:rPr>
      </w:pPr>
      <w:r w:rsidRPr="00EB11EF">
        <w:rPr>
          <w:rFonts w:ascii="Times New Roman" w:hAnsi="Times New Roman"/>
          <w:sz w:val="24"/>
          <w:vertAlign w:val="superscript"/>
          <w:lang w:val="en-GB"/>
        </w:rPr>
        <w:t>1</w:t>
      </w:r>
      <w:r w:rsidR="001B32C4">
        <w:rPr>
          <w:rFonts w:ascii="Times New Roman" w:hAnsi="Times New Roman"/>
          <w:sz w:val="24"/>
          <w:vertAlign w:val="superscript"/>
          <w:lang w:val="en-GB"/>
        </w:rPr>
        <w:t>4</w:t>
      </w:r>
      <w:r w:rsidRPr="00A32B39">
        <w:rPr>
          <w:rFonts w:ascii="Times New Roman" w:hAnsi="Times New Roman"/>
          <w:sz w:val="24"/>
          <w:lang w:val="en-GB"/>
        </w:rPr>
        <w:t>Ariceum Therapeutics GmbH, Berlin, Germany</w:t>
      </w:r>
    </w:p>
    <w:p w14:paraId="49C192F7" w14:textId="77777777"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t>†</w:t>
      </w:r>
      <w:r w:rsidRPr="00EB11EF">
        <w:rPr>
          <w:rFonts w:ascii="Times New Roman" w:hAnsi="Times New Roman"/>
          <w:sz w:val="24"/>
          <w:lang w:val="en-GB"/>
        </w:rPr>
        <w:t xml:space="preserve">Former: Ipsen, </w:t>
      </w:r>
      <w:proofErr w:type="spellStart"/>
      <w:r w:rsidRPr="00EB11EF">
        <w:rPr>
          <w:rFonts w:ascii="Times New Roman" w:hAnsi="Times New Roman"/>
          <w:sz w:val="24"/>
          <w:lang w:val="en-GB"/>
        </w:rPr>
        <w:t>Hoofddorp</w:t>
      </w:r>
      <w:proofErr w:type="spellEnd"/>
      <w:r w:rsidRPr="00EB11EF">
        <w:rPr>
          <w:rFonts w:ascii="Times New Roman" w:hAnsi="Times New Roman"/>
          <w:sz w:val="24"/>
          <w:lang w:val="en-GB"/>
        </w:rPr>
        <w:t>, Netherlands</w:t>
      </w:r>
    </w:p>
    <w:p w14:paraId="222FD8BC" w14:textId="24937314"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sz w:val="24"/>
          <w:vertAlign w:val="superscript"/>
          <w:lang w:val="en-GB"/>
        </w:rPr>
        <w:t>‡</w:t>
      </w:r>
      <w:r w:rsidRPr="00EB11EF">
        <w:rPr>
          <w:rFonts w:ascii="Times New Roman" w:hAnsi="Times New Roman"/>
          <w:sz w:val="24"/>
          <w:lang w:val="en-GB"/>
        </w:rPr>
        <w:t>Former: Ipsen Bioscience, Cambridge, M</w:t>
      </w:r>
      <w:r w:rsidR="008962D3" w:rsidRPr="008962D3">
        <w:rPr>
          <w:rFonts w:ascii="Times New Roman" w:hAnsi="Times New Roman"/>
          <w:sz w:val="24"/>
          <w:lang w:val="en-GB"/>
        </w:rPr>
        <w:t>assachusetts</w:t>
      </w:r>
      <w:r w:rsidRPr="00EB11EF">
        <w:rPr>
          <w:rFonts w:ascii="Times New Roman" w:hAnsi="Times New Roman"/>
          <w:sz w:val="24"/>
          <w:lang w:val="en-GB"/>
        </w:rPr>
        <w:t>, United States</w:t>
      </w:r>
    </w:p>
    <w:p w14:paraId="209A7752" w14:textId="2F9BBFE6" w:rsidR="005A3F71" w:rsidRPr="00DC4D1E" w:rsidRDefault="00302DB6">
      <w:pPr>
        <w:pStyle w:val="ListParagraph"/>
        <w:spacing w:after="0" w:line="480" w:lineRule="auto"/>
        <w:ind w:left="0"/>
        <w:jc w:val="both"/>
        <w:rPr>
          <w:rFonts w:ascii="Times New Roman" w:hAnsi="Times New Roman"/>
          <w:sz w:val="24"/>
          <w:lang w:val="en-GB"/>
        </w:rPr>
      </w:pPr>
      <w:r w:rsidRPr="00EB11EF">
        <w:rPr>
          <w:rFonts w:ascii="Times New Roman" w:hAnsi="Times New Roman"/>
          <w:b/>
          <w:sz w:val="24"/>
          <w:lang w:val="en-GB"/>
        </w:rPr>
        <w:t xml:space="preserve">Correspondence: </w:t>
      </w:r>
      <w:r w:rsidRPr="00EB11EF">
        <w:rPr>
          <w:rFonts w:ascii="Times New Roman" w:hAnsi="Times New Roman"/>
          <w:sz w:val="24"/>
          <w:lang w:val="en-GB"/>
        </w:rPr>
        <w:t xml:space="preserve">Ben Pais, </w:t>
      </w:r>
      <w:hyperlink r:id="rId8" w:history="1">
        <w:r w:rsidR="009161FA" w:rsidRPr="00D75EEA">
          <w:rPr>
            <w:rStyle w:val="Hyperlink"/>
            <w:rFonts w:ascii="Times New Roman" w:hAnsi="Times New Roman" w:cs="Times New Roman"/>
            <w:bCs/>
            <w:sz w:val="24"/>
            <w:szCs w:val="24"/>
            <w:lang w:val="en-GB"/>
          </w:rPr>
          <w:t>b.pais@ariceum-therapeutics.com</w:t>
        </w:r>
      </w:hyperlink>
      <w:r w:rsidRPr="00EB11EF">
        <w:rPr>
          <w:rFonts w:ascii="Times New Roman" w:hAnsi="Times New Roman"/>
          <w:sz w:val="24"/>
          <w:lang w:val="en-GB"/>
        </w:rPr>
        <w:t xml:space="preserve"> </w:t>
      </w:r>
    </w:p>
    <w:p w14:paraId="66A5547A" w14:textId="06754AD5" w:rsidR="00B466EE" w:rsidRDefault="000A3E74">
      <w:pPr>
        <w:spacing w:after="0" w:line="480" w:lineRule="auto"/>
        <w:contextualSpacing/>
        <w:jc w:val="both"/>
        <w:rPr>
          <w:rFonts w:ascii="Times New Roman" w:hAnsi="Times New Roman"/>
          <w:sz w:val="24"/>
          <w:lang w:val="en-GB"/>
        </w:rPr>
      </w:pPr>
      <w:r>
        <w:rPr>
          <w:rFonts w:ascii="Times New Roman" w:hAnsi="Times New Roman"/>
          <w:b/>
          <w:sz w:val="24"/>
          <w:lang w:val="en-GB"/>
        </w:rPr>
        <w:t>Manuscript details</w:t>
      </w:r>
      <w:r w:rsidR="00302DB6" w:rsidRPr="00DC4D1E">
        <w:rPr>
          <w:rFonts w:ascii="Times New Roman" w:hAnsi="Times New Roman"/>
          <w:b/>
          <w:sz w:val="24"/>
          <w:lang w:val="en-GB"/>
        </w:rPr>
        <w:t>:</w:t>
      </w:r>
      <w:r w:rsidR="00302DB6" w:rsidRPr="00DC4D1E">
        <w:rPr>
          <w:rFonts w:ascii="Times New Roman" w:hAnsi="Times New Roman"/>
          <w:sz w:val="24"/>
          <w:lang w:val="en-GB"/>
        </w:rPr>
        <w:t xml:space="preserve"> </w:t>
      </w:r>
      <w:r w:rsidR="00751860">
        <w:rPr>
          <w:rFonts w:ascii="Times New Roman" w:hAnsi="Times New Roman"/>
          <w:sz w:val="24"/>
          <w:lang w:val="en-GB"/>
        </w:rPr>
        <w:t>6,1</w:t>
      </w:r>
      <w:r w:rsidR="00507510">
        <w:rPr>
          <w:rFonts w:ascii="Times New Roman" w:hAnsi="Times New Roman"/>
          <w:sz w:val="24"/>
          <w:lang w:val="en-GB"/>
        </w:rPr>
        <w:t>10/</w:t>
      </w:r>
      <w:r w:rsidR="00302DB6" w:rsidRPr="00DC4D1E">
        <w:rPr>
          <w:rFonts w:ascii="Times New Roman" w:hAnsi="Times New Roman"/>
          <w:sz w:val="24"/>
          <w:lang w:val="en-GB"/>
        </w:rPr>
        <w:t>6,000 (including references); 3 Tables; 3 Figures.</w:t>
      </w:r>
    </w:p>
    <w:p w14:paraId="4C3C891C" w14:textId="77777777" w:rsidR="00B466EE" w:rsidRPr="0001203E" w:rsidRDefault="00B466EE" w:rsidP="00B466EE">
      <w:pPr>
        <w:pStyle w:val="Heading1"/>
        <w:numPr>
          <w:ilvl w:val="0"/>
          <w:numId w:val="0"/>
        </w:numPr>
        <w:spacing w:line="480" w:lineRule="auto"/>
        <w:ind w:left="357" w:hanging="357"/>
        <w:rPr>
          <w:rFonts w:ascii="Times New Roman" w:hAnsi="Times New Roman"/>
          <w:b/>
          <w:sz w:val="28"/>
          <w:lang w:val="en-GB"/>
        </w:rPr>
      </w:pPr>
      <w:r w:rsidRPr="00A32B39">
        <w:rPr>
          <w:rFonts w:ascii="Times New Roman" w:hAnsi="Times New Roman"/>
          <w:b/>
          <w:sz w:val="28"/>
          <w:lang w:val="en-GB"/>
        </w:rPr>
        <w:t>Acknowledgments</w:t>
      </w:r>
    </w:p>
    <w:p w14:paraId="4964DEA6" w14:textId="5CA3436D" w:rsidR="00B466EE" w:rsidRPr="0001203E" w:rsidRDefault="00B466EE" w:rsidP="00B466EE">
      <w:pPr>
        <w:spacing w:after="40" w:line="480" w:lineRule="auto"/>
        <w:jc w:val="both"/>
        <w:rPr>
          <w:rFonts w:ascii="Times New Roman" w:hAnsi="Times New Roman"/>
          <w:sz w:val="24"/>
          <w:lang w:val="en-GB"/>
        </w:rPr>
      </w:pPr>
      <w:r w:rsidRPr="0038610F">
        <w:rPr>
          <w:rFonts w:ascii="Times New Roman" w:hAnsi="Times New Roman"/>
          <w:sz w:val="24"/>
        </w:rPr>
        <w:t>The authors would like to thank all patients involved in the study, their caregivers, care team, investigators, and research staff in the participating institutions. The authors would like to thank Peter Iversen, MD, PhD, Aarhus University Hospital, Aarhus, Denmark,</w:t>
      </w:r>
      <w:r w:rsidR="001B32C4">
        <w:rPr>
          <w:rFonts w:ascii="Times New Roman" w:hAnsi="Times New Roman"/>
          <w:sz w:val="24"/>
        </w:rPr>
        <w:t xml:space="preserve"> </w:t>
      </w:r>
      <w:r w:rsidRPr="0038610F">
        <w:rPr>
          <w:rFonts w:ascii="Times New Roman" w:hAnsi="Times New Roman"/>
          <w:sz w:val="24"/>
        </w:rPr>
        <w:t xml:space="preserve">for his involvement in the study. </w:t>
      </w:r>
      <w:r w:rsidRPr="00DC4D1E">
        <w:rPr>
          <w:rFonts w:ascii="Times New Roman" w:hAnsi="Times New Roman"/>
          <w:sz w:val="24"/>
          <w:lang w:val="en-GB"/>
        </w:rPr>
        <w:t xml:space="preserve">The authors would like to thank Thomas </w:t>
      </w:r>
      <w:proofErr w:type="spellStart"/>
      <w:r w:rsidRPr="00DC4D1E">
        <w:rPr>
          <w:rFonts w:ascii="Times New Roman" w:hAnsi="Times New Roman"/>
          <w:sz w:val="24"/>
          <w:lang w:val="en-GB"/>
        </w:rPr>
        <w:t>Rohban</w:t>
      </w:r>
      <w:proofErr w:type="spellEnd"/>
      <w:r w:rsidRPr="00DC4D1E">
        <w:rPr>
          <w:rFonts w:ascii="Times New Roman" w:hAnsi="Times New Roman"/>
          <w:sz w:val="24"/>
          <w:lang w:val="en-GB"/>
        </w:rPr>
        <w:t xml:space="preserve">, MD, and Magalie El Hajj, PharmD, from Partner 4 Health (Paris, France) </w:t>
      </w:r>
      <w:r w:rsidRPr="0038610F">
        <w:rPr>
          <w:rFonts w:ascii="Times New Roman" w:hAnsi="Times New Roman"/>
          <w:sz w:val="24"/>
        </w:rPr>
        <w:t xml:space="preserve">and Patrick Cox, BSc, Jessica A. Buttress, PhD, and Erin Clarkson, BSc, from Costello Medical (London and Cambridge, UK) </w:t>
      </w:r>
      <w:r w:rsidRPr="00DC4D1E">
        <w:rPr>
          <w:rFonts w:ascii="Times New Roman" w:hAnsi="Times New Roman"/>
          <w:sz w:val="24"/>
          <w:lang w:val="en-GB"/>
        </w:rPr>
        <w:t xml:space="preserve">for providing medical writing support, which was sponsored by Ipsen in accordance with Good Publication Practice guidelines. </w:t>
      </w:r>
    </w:p>
    <w:p w14:paraId="60E04227" w14:textId="5EC5D5BB" w:rsidR="005A3F71" w:rsidRPr="00DC4D1E" w:rsidRDefault="00302DB6">
      <w:pPr>
        <w:spacing w:after="0" w:line="480" w:lineRule="auto"/>
        <w:contextualSpacing/>
        <w:jc w:val="both"/>
        <w:rPr>
          <w:rFonts w:ascii="Times New Roman" w:hAnsi="Times New Roman"/>
          <w:sz w:val="24"/>
          <w:lang w:val="en-GB"/>
        </w:rPr>
      </w:pPr>
      <w:r w:rsidRPr="00DC4D1E">
        <w:rPr>
          <w:rFonts w:ascii="Times New Roman" w:hAnsi="Times New Roman"/>
          <w:b/>
          <w:sz w:val="28"/>
          <w:lang w:val="en-GB"/>
        </w:rPr>
        <w:br w:type="page"/>
      </w:r>
    </w:p>
    <w:p w14:paraId="569228EB" w14:textId="45FA9602" w:rsidR="00443686" w:rsidRDefault="00443686">
      <w:pPr>
        <w:rPr>
          <w:rFonts w:ascii="Times New Roman" w:hAnsi="Times New Roman"/>
          <w:b/>
          <w:sz w:val="28"/>
          <w:lang w:val="en-GB"/>
        </w:rPr>
        <w:sectPr w:rsidR="00443686">
          <w:footerReference w:type="default" r:id="rId9"/>
          <w:pgSz w:w="12240" w:h="15840"/>
          <w:pgMar w:top="1440" w:right="1440" w:bottom="1440" w:left="1530" w:header="720" w:footer="720" w:gutter="0"/>
          <w:cols w:space="720"/>
          <w:docGrid w:linePitch="360"/>
        </w:sectPr>
      </w:pPr>
    </w:p>
    <w:p w14:paraId="61AECE20" w14:textId="45FB922E" w:rsidR="005A3F71" w:rsidRPr="0001203E" w:rsidRDefault="00302DB6">
      <w:pPr>
        <w:pStyle w:val="Heading1"/>
        <w:numPr>
          <w:ilvl w:val="0"/>
          <w:numId w:val="0"/>
        </w:numPr>
        <w:spacing w:line="480" w:lineRule="auto"/>
        <w:ind w:left="357" w:hanging="357"/>
        <w:rPr>
          <w:rFonts w:ascii="Times New Roman" w:hAnsi="Times New Roman"/>
          <w:b/>
          <w:sz w:val="28"/>
          <w:lang w:val="en-GB"/>
        </w:rPr>
      </w:pPr>
      <w:r w:rsidRPr="00A32B39">
        <w:rPr>
          <w:rFonts w:ascii="Times New Roman" w:hAnsi="Times New Roman"/>
          <w:b/>
          <w:sz w:val="28"/>
          <w:lang w:val="en-GB"/>
        </w:rPr>
        <w:lastRenderedPageBreak/>
        <w:t xml:space="preserve">Supplementary </w:t>
      </w:r>
      <w:r w:rsidR="00260120">
        <w:rPr>
          <w:rFonts w:ascii="Times New Roman" w:hAnsi="Times New Roman"/>
          <w:b/>
          <w:sz w:val="28"/>
          <w:lang w:val="en-GB"/>
        </w:rPr>
        <w:t>Information</w:t>
      </w:r>
    </w:p>
    <w:p w14:paraId="63276882" w14:textId="77777777" w:rsidR="0092102F" w:rsidRPr="00DC4D1E" w:rsidRDefault="0092102F" w:rsidP="003B7C87">
      <w:pPr>
        <w:rPr>
          <w:rFonts w:ascii="Times New Roman" w:hAnsi="Times New Roman"/>
          <w:b/>
          <w:sz w:val="28"/>
          <w:lang w:val="en-GB"/>
        </w:rPr>
      </w:pPr>
      <w:r w:rsidRPr="00EB11EF">
        <w:rPr>
          <w:rFonts w:ascii="Times New Roman" w:hAnsi="Times New Roman"/>
          <w:b/>
          <w:sz w:val="28"/>
          <w:lang w:val="en-GB"/>
        </w:rPr>
        <w:t xml:space="preserve">Plain Language Summary </w:t>
      </w:r>
    </w:p>
    <w:p w14:paraId="79E12109" w14:textId="347C442B" w:rsidR="0092102F" w:rsidRDefault="0092102F" w:rsidP="0092102F">
      <w:pPr>
        <w:spacing w:line="480" w:lineRule="auto"/>
        <w:jc w:val="both"/>
        <w:rPr>
          <w:rFonts w:ascii="Times New Roman" w:hAnsi="Times New Roman"/>
          <w:sz w:val="24"/>
        </w:rPr>
      </w:pPr>
      <w:r w:rsidRPr="00EB11EF">
        <w:rPr>
          <w:rFonts w:ascii="Times New Roman" w:hAnsi="Times New Roman"/>
          <w:sz w:val="24"/>
        </w:rPr>
        <w:t xml:space="preserve">Neuroendocrine </w:t>
      </w:r>
      <w:proofErr w:type="spellStart"/>
      <w:r w:rsidRPr="00EB11EF">
        <w:rPr>
          <w:rFonts w:ascii="Times New Roman" w:hAnsi="Times New Roman"/>
          <w:sz w:val="24"/>
        </w:rPr>
        <w:t>tumours</w:t>
      </w:r>
      <w:proofErr w:type="spellEnd"/>
      <w:r w:rsidRPr="00EB11EF">
        <w:rPr>
          <w:rFonts w:ascii="Times New Roman" w:hAnsi="Times New Roman"/>
          <w:sz w:val="24"/>
        </w:rPr>
        <w:t xml:space="preserve"> (NETs) are r</w:t>
      </w:r>
      <w:r w:rsidRPr="00A32B39">
        <w:rPr>
          <w:rFonts w:ascii="Times New Roman" w:hAnsi="Times New Roman"/>
          <w:sz w:val="24"/>
        </w:rPr>
        <w:t xml:space="preserve">are cancers that grow from cells that release hormones. NETs can form in many different organs of the body. Radioligand </w:t>
      </w:r>
      <w:r>
        <w:rPr>
          <w:rFonts w:ascii="Times New Roman" w:hAnsi="Times New Roman"/>
          <w:sz w:val="24"/>
        </w:rPr>
        <w:t>t</w:t>
      </w:r>
      <w:r w:rsidRPr="00A32B39">
        <w:rPr>
          <w:rFonts w:ascii="Times New Roman" w:hAnsi="Times New Roman"/>
          <w:sz w:val="24"/>
        </w:rPr>
        <w:t xml:space="preserve">herapy (RLT) is a type of cancer treatment which delivers radiation to cancer cells inside the body. RLT is designed to specifically treat </w:t>
      </w:r>
      <w:proofErr w:type="spellStart"/>
      <w:r w:rsidRPr="00A32B39">
        <w:rPr>
          <w:rFonts w:ascii="Times New Roman" w:hAnsi="Times New Roman"/>
          <w:sz w:val="24"/>
        </w:rPr>
        <w:t>tumours</w:t>
      </w:r>
      <w:proofErr w:type="spellEnd"/>
      <w:r w:rsidRPr="00A32B39">
        <w:rPr>
          <w:rFonts w:ascii="Times New Roman" w:hAnsi="Times New Roman"/>
          <w:sz w:val="24"/>
        </w:rPr>
        <w:t xml:space="preserve">, such that a high dose of radiation is given to cancer cells, while little radiation is given to the healthy surrounding cells. </w:t>
      </w:r>
    </w:p>
    <w:p w14:paraId="4CBD3FFE" w14:textId="7B19708F" w:rsidR="0092102F" w:rsidRDefault="0092102F" w:rsidP="0092102F">
      <w:pPr>
        <w:spacing w:line="480" w:lineRule="auto"/>
        <w:jc w:val="both"/>
        <w:rPr>
          <w:rFonts w:ascii="Times New Roman" w:hAnsi="Times New Roman"/>
          <w:sz w:val="24"/>
        </w:rPr>
      </w:pPr>
      <w:r>
        <w:rPr>
          <w:rFonts w:ascii="Times New Roman" w:hAnsi="Times New Roman"/>
          <w:sz w:val="24"/>
        </w:rPr>
        <w:t>[</w:t>
      </w:r>
      <w:r w:rsidRPr="005A1584">
        <w:rPr>
          <w:rFonts w:ascii="Times New Roman" w:hAnsi="Times New Roman"/>
          <w:sz w:val="24"/>
          <w:vertAlign w:val="superscript"/>
        </w:rPr>
        <w:t>177</w:t>
      </w:r>
      <w:proofErr w:type="gramStart"/>
      <w:r w:rsidRPr="00EB11EF">
        <w:rPr>
          <w:rFonts w:ascii="Times New Roman" w:hAnsi="Times New Roman"/>
          <w:sz w:val="24"/>
        </w:rPr>
        <w:t>Lu</w:t>
      </w:r>
      <w:r>
        <w:rPr>
          <w:rFonts w:ascii="Times New Roman" w:hAnsi="Times New Roman"/>
          <w:sz w:val="24"/>
        </w:rPr>
        <w:t>]Lu</w:t>
      </w:r>
      <w:proofErr w:type="gramEnd"/>
      <w:r>
        <w:rPr>
          <w:rFonts w:ascii="Times New Roman" w:hAnsi="Times New Roman"/>
          <w:sz w:val="24"/>
        </w:rPr>
        <w:t>-</w:t>
      </w:r>
      <w:proofErr w:type="spellStart"/>
      <w:r w:rsidRPr="00EB11EF">
        <w:rPr>
          <w:rFonts w:ascii="Times New Roman" w:hAnsi="Times New Roman"/>
          <w:sz w:val="24"/>
        </w:rPr>
        <w:t>satoreotide</w:t>
      </w:r>
      <w:proofErr w:type="spellEnd"/>
      <w:r w:rsidRPr="00EB11EF">
        <w:rPr>
          <w:rFonts w:ascii="Times New Roman" w:hAnsi="Times New Roman"/>
          <w:sz w:val="24"/>
        </w:rPr>
        <w:t xml:space="preserve"> tetraxetan is a new type of RLT which may be an effective treatment for patients with NETs. </w:t>
      </w:r>
      <w:r>
        <w:rPr>
          <w:rFonts w:ascii="Times New Roman" w:hAnsi="Times New Roman"/>
          <w:sz w:val="24"/>
        </w:rPr>
        <w:t>Because</w:t>
      </w:r>
      <w:r w:rsidRPr="00EB11EF">
        <w:rPr>
          <w:rFonts w:ascii="Times New Roman" w:hAnsi="Times New Roman"/>
          <w:sz w:val="24"/>
        </w:rPr>
        <w:t xml:space="preserve"> radiation is harmful to </w:t>
      </w:r>
      <w:r>
        <w:rPr>
          <w:rFonts w:ascii="Times New Roman" w:hAnsi="Times New Roman"/>
          <w:sz w:val="24"/>
        </w:rPr>
        <w:t xml:space="preserve">both cancer and </w:t>
      </w:r>
      <w:r w:rsidRPr="00EB11EF">
        <w:rPr>
          <w:rFonts w:ascii="Times New Roman" w:hAnsi="Times New Roman"/>
          <w:sz w:val="24"/>
        </w:rPr>
        <w:t xml:space="preserve">normal cells, this </w:t>
      </w:r>
      <w:r>
        <w:rPr>
          <w:rFonts w:ascii="Times New Roman" w:hAnsi="Times New Roman"/>
          <w:sz w:val="24"/>
        </w:rPr>
        <w:t>study</w:t>
      </w:r>
      <w:r w:rsidRPr="00EB11EF">
        <w:rPr>
          <w:rFonts w:ascii="Times New Roman" w:hAnsi="Times New Roman"/>
          <w:sz w:val="24"/>
        </w:rPr>
        <w:t xml:space="preserve"> investigated how much radiation </w:t>
      </w:r>
      <w:r>
        <w:rPr>
          <w:rFonts w:ascii="Times New Roman" w:hAnsi="Times New Roman"/>
          <w:sz w:val="24"/>
        </w:rPr>
        <w:t>[</w:t>
      </w:r>
      <w:r w:rsidRPr="005A1584">
        <w:rPr>
          <w:rFonts w:ascii="Times New Roman" w:hAnsi="Times New Roman"/>
          <w:sz w:val="24"/>
          <w:vertAlign w:val="superscript"/>
        </w:rPr>
        <w:t>177</w:t>
      </w:r>
      <w:proofErr w:type="gramStart"/>
      <w:r w:rsidRPr="00EB11EF">
        <w:rPr>
          <w:rFonts w:ascii="Times New Roman" w:hAnsi="Times New Roman"/>
          <w:sz w:val="24"/>
        </w:rPr>
        <w:t>Lu</w:t>
      </w:r>
      <w:r>
        <w:rPr>
          <w:rFonts w:ascii="Times New Roman" w:hAnsi="Times New Roman"/>
          <w:sz w:val="24"/>
        </w:rPr>
        <w:t>]Lu</w:t>
      </w:r>
      <w:proofErr w:type="gramEnd"/>
      <w:r w:rsidRPr="00EB11EF">
        <w:rPr>
          <w:rFonts w:ascii="Times New Roman" w:hAnsi="Times New Roman"/>
          <w:sz w:val="24"/>
        </w:rPr>
        <w:t>-</w:t>
      </w:r>
      <w:proofErr w:type="spellStart"/>
      <w:r w:rsidRPr="00EB11EF">
        <w:rPr>
          <w:rFonts w:ascii="Times New Roman" w:hAnsi="Times New Roman"/>
          <w:sz w:val="24"/>
        </w:rPr>
        <w:t>satoreotide</w:t>
      </w:r>
      <w:proofErr w:type="spellEnd"/>
      <w:r w:rsidRPr="00EB11EF">
        <w:rPr>
          <w:rFonts w:ascii="Times New Roman" w:hAnsi="Times New Roman"/>
          <w:sz w:val="24"/>
        </w:rPr>
        <w:t xml:space="preserve"> tetraxetan delivered </w:t>
      </w:r>
      <w:r w:rsidR="00A032CD">
        <w:rPr>
          <w:rFonts w:ascii="Times New Roman" w:hAnsi="Times New Roman"/>
          <w:sz w:val="24"/>
        </w:rPr>
        <w:t>to</w:t>
      </w:r>
      <w:r w:rsidRPr="00EB11EF">
        <w:rPr>
          <w:rFonts w:ascii="Times New Roman" w:hAnsi="Times New Roman"/>
          <w:sz w:val="24"/>
        </w:rPr>
        <w:t xml:space="preserve"> different parts of the body.</w:t>
      </w:r>
    </w:p>
    <w:p w14:paraId="134CD881" w14:textId="77777777" w:rsidR="0092102F" w:rsidRDefault="0092102F" w:rsidP="0092102F">
      <w:pPr>
        <w:spacing w:line="480" w:lineRule="auto"/>
        <w:jc w:val="both"/>
        <w:rPr>
          <w:rFonts w:ascii="Times New Roman" w:hAnsi="Times New Roman"/>
          <w:sz w:val="24"/>
        </w:rPr>
      </w:pPr>
      <w:r w:rsidRPr="00EB11EF">
        <w:rPr>
          <w:rFonts w:ascii="Times New Roman" w:hAnsi="Times New Roman"/>
          <w:sz w:val="24"/>
        </w:rPr>
        <w:t xml:space="preserve">Forty patients were treated with varying amounts and strengths of </w:t>
      </w:r>
      <w:r>
        <w:rPr>
          <w:rFonts w:ascii="Times New Roman" w:hAnsi="Times New Roman"/>
          <w:sz w:val="24"/>
        </w:rPr>
        <w:t>[</w:t>
      </w:r>
      <w:r w:rsidRPr="005A1584">
        <w:rPr>
          <w:rFonts w:ascii="Times New Roman" w:hAnsi="Times New Roman"/>
          <w:sz w:val="24"/>
          <w:vertAlign w:val="superscript"/>
        </w:rPr>
        <w:t>177</w:t>
      </w:r>
      <w:proofErr w:type="gramStart"/>
      <w:r w:rsidRPr="00EB11EF">
        <w:rPr>
          <w:rFonts w:ascii="Times New Roman" w:hAnsi="Times New Roman"/>
          <w:sz w:val="24"/>
        </w:rPr>
        <w:t>Lu</w:t>
      </w:r>
      <w:r>
        <w:rPr>
          <w:rFonts w:ascii="Times New Roman" w:hAnsi="Times New Roman"/>
          <w:sz w:val="24"/>
        </w:rPr>
        <w:t>]Lu</w:t>
      </w:r>
      <w:proofErr w:type="gramEnd"/>
      <w:r w:rsidRPr="00EB11EF">
        <w:rPr>
          <w:rFonts w:ascii="Times New Roman" w:hAnsi="Times New Roman"/>
          <w:sz w:val="24"/>
        </w:rPr>
        <w:t>-</w:t>
      </w:r>
      <w:proofErr w:type="spellStart"/>
      <w:r w:rsidRPr="00EB11EF">
        <w:rPr>
          <w:rFonts w:ascii="Times New Roman" w:hAnsi="Times New Roman"/>
          <w:sz w:val="24"/>
        </w:rPr>
        <w:t>satoreotide</w:t>
      </w:r>
      <w:proofErr w:type="spellEnd"/>
      <w:r w:rsidRPr="00EB11EF">
        <w:rPr>
          <w:rFonts w:ascii="Times New Roman" w:hAnsi="Times New Roman"/>
          <w:sz w:val="24"/>
        </w:rPr>
        <w:t xml:space="preserve"> tetraxetan</w:t>
      </w:r>
      <w:r>
        <w:rPr>
          <w:rFonts w:ascii="Times New Roman" w:hAnsi="Times New Roman"/>
          <w:sz w:val="24"/>
        </w:rPr>
        <w:t>. T</w:t>
      </w:r>
      <w:r w:rsidRPr="00A32B39">
        <w:rPr>
          <w:rFonts w:ascii="Times New Roman" w:hAnsi="Times New Roman"/>
          <w:sz w:val="24"/>
        </w:rPr>
        <w:t xml:space="preserve">he amount of radiation that was delivered to </w:t>
      </w:r>
      <w:r>
        <w:rPr>
          <w:rFonts w:ascii="Times New Roman" w:hAnsi="Times New Roman"/>
          <w:sz w:val="24"/>
        </w:rPr>
        <w:t>the</w:t>
      </w:r>
      <w:r w:rsidRPr="00A32B39">
        <w:rPr>
          <w:rFonts w:ascii="Times New Roman" w:hAnsi="Times New Roman"/>
          <w:sz w:val="24"/>
        </w:rPr>
        <w:t xml:space="preserve"> cancer cells and different organs in the body was </w:t>
      </w:r>
      <w:r>
        <w:rPr>
          <w:rFonts w:ascii="Times New Roman" w:hAnsi="Times New Roman"/>
          <w:sz w:val="24"/>
        </w:rPr>
        <w:t xml:space="preserve">then </w:t>
      </w:r>
      <w:r w:rsidRPr="00A32B39">
        <w:rPr>
          <w:rFonts w:ascii="Times New Roman" w:hAnsi="Times New Roman"/>
          <w:sz w:val="24"/>
        </w:rPr>
        <w:t xml:space="preserve">measured. </w:t>
      </w:r>
    </w:p>
    <w:p w14:paraId="061A8F8E" w14:textId="697D1FE3" w:rsidR="0092102F" w:rsidRDefault="0092102F" w:rsidP="0092102F">
      <w:pPr>
        <w:spacing w:line="480" w:lineRule="auto"/>
        <w:jc w:val="both"/>
        <w:rPr>
          <w:rFonts w:ascii="Times New Roman" w:hAnsi="Times New Roman"/>
          <w:sz w:val="24"/>
        </w:rPr>
      </w:pPr>
      <w:r w:rsidRPr="00EB11EF">
        <w:rPr>
          <w:rFonts w:ascii="Times New Roman" w:hAnsi="Times New Roman"/>
          <w:sz w:val="24"/>
        </w:rPr>
        <w:t xml:space="preserve">The results of the </w:t>
      </w:r>
      <w:r>
        <w:rPr>
          <w:rFonts w:ascii="Times New Roman" w:hAnsi="Times New Roman"/>
          <w:sz w:val="24"/>
        </w:rPr>
        <w:t>study</w:t>
      </w:r>
      <w:r w:rsidRPr="00EB11EF">
        <w:rPr>
          <w:rFonts w:ascii="Times New Roman" w:hAnsi="Times New Roman"/>
          <w:sz w:val="24"/>
        </w:rPr>
        <w:t xml:space="preserve"> showed that </w:t>
      </w:r>
      <w:r>
        <w:rPr>
          <w:rFonts w:ascii="Times New Roman" w:hAnsi="Times New Roman"/>
          <w:sz w:val="24"/>
        </w:rPr>
        <w:t>[</w:t>
      </w:r>
      <w:r w:rsidRPr="005A1584">
        <w:rPr>
          <w:rFonts w:ascii="Times New Roman" w:hAnsi="Times New Roman"/>
          <w:sz w:val="24"/>
          <w:vertAlign w:val="superscript"/>
        </w:rPr>
        <w:t>177</w:t>
      </w:r>
      <w:proofErr w:type="gramStart"/>
      <w:r w:rsidRPr="00EB11EF">
        <w:rPr>
          <w:rFonts w:ascii="Times New Roman" w:hAnsi="Times New Roman"/>
          <w:sz w:val="24"/>
        </w:rPr>
        <w:t>Lu</w:t>
      </w:r>
      <w:r>
        <w:rPr>
          <w:rFonts w:ascii="Times New Roman" w:hAnsi="Times New Roman"/>
          <w:sz w:val="24"/>
        </w:rPr>
        <w:t>]Lu</w:t>
      </w:r>
      <w:proofErr w:type="gramEnd"/>
      <w:r w:rsidRPr="00EB11EF">
        <w:rPr>
          <w:rFonts w:ascii="Times New Roman" w:hAnsi="Times New Roman"/>
          <w:sz w:val="24"/>
        </w:rPr>
        <w:t>-</w:t>
      </w:r>
      <w:proofErr w:type="spellStart"/>
      <w:r w:rsidRPr="00EB11EF">
        <w:rPr>
          <w:rFonts w:ascii="Times New Roman" w:hAnsi="Times New Roman"/>
          <w:sz w:val="24"/>
        </w:rPr>
        <w:t>satoreotide</w:t>
      </w:r>
      <w:proofErr w:type="spellEnd"/>
      <w:r w:rsidRPr="00EB11EF">
        <w:rPr>
          <w:rFonts w:ascii="Times New Roman" w:hAnsi="Times New Roman"/>
          <w:sz w:val="24"/>
        </w:rPr>
        <w:t xml:space="preserve"> tetraxetan is safe for use in patients with NETs, when </w:t>
      </w:r>
      <w:r w:rsidR="00A032CD">
        <w:rPr>
          <w:rFonts w:ascii="Times New Roman" w:hAnsi="Times New Roman"/>
          <w:sz w:val="24"/>
        </w:rPr>
        <w:t>the amount</w:t>
      </w:r>
      <w:r w:rsidRPr="00A32B39">
        <w:rPr>
          <w:rFonts w:ascii="Times New Roman" w:hAnsi="Times New Roman"/>
          <w:sz w:val="24"/>
        </w:rPr>
        <w:t xml:space="preserve"> of radioactivity</w:t>
      </w:r>
      <w:r>
        <w:rPr>
          <w:rFonts w:ascii="Times New Roman" w:hAnsi="Times New Roman"/>
          <w:sz w:val="24"/>
        </w:rPr>
        <w:t xml:space="preserve"> (which helps deliver the treatment to the cancer cells)</w:t>
      </w:r>
      <w:r w:rsidR="00A032CD">
        <w:rPr>
          <w:rFonts w:ascii="Times New Roman" w:hAnsi="Times New Roman"/>
          <w:sz w:val="24"/>
        </w:rPr>
        <w:t xml:space="preserve"> is limited</w:t>
      </w:r>
      <w:r w:rsidR="00604416">
        <w:rPr>
          <w:rFonts w:ascii="Times New Roman" w:hAnsi="Times New Roman"/>
          <w:sz w:val="24"/>
        </w:rPr>
        <w:t>,</w:t>
      </w:r>
      <w:r w:rsidR="00A032CD">
        <w:rPr>
          <w:rFonts w:ascii="Times New Roman" w:hAnsi="Times New Roman"/>
          <w:sz w:val="24"/>
        </w:rPr>
        <w:t xml:space="preserve"> to reduce the amount of radiation to healthy </w:t>
      </w:r>
      <w:r w:rsidR="00753F40">
        <w:rPr>
          <w:rFonts w:ascii="Times New Roman" w:hAnsi="Times New Roman"/>
          <w:sz w:val="24"/>
        </w:rPr>
        <w:t>organs</w:t>
      </w:r>
      <w:r w:rsidRPr="00A32B39">
        <w:rPr>
          <w:rFonts w:ascii="Times New Roman" w:hAnsi="Times New Roman"/>
          <w:sz w:val="24"/>
        </w:rPr>
        <w:t xml:space="preserve">. As </w:t>
      </w:r>
      <w:r>
        <w:rPr>
          <w:rFonts w:ascii="Times New Roman" w:hAnsi="Times New Roman"/>
          <w:sz w:val="24"/>
        </w:rPr>
        <w:t>[</w:t>
      </w:r>
      <w:r w:rsidRPr="005A1584">
        <w:rPr>
          <w:rFonts w:ascii="Times New Roman" w:hAnsi="Times New Roman"/>
          <w:sz w:val="24"/>
          <w:vertAlign w:val="superscript"/>
        </w:rPr>
        <w:t>177</w:t>
      </w:r>
      <w:proofErr w:type="gramStart"/>
      <w:r w:rsidRPr="00A32B39">
        <w:rPr>
          <w:rFonts w:ascii="Times New Roman" w:hAnsi="Times New Roman"/>
          <w:sz w:val="24"/>
        </w:rPr>
        <w:t>Lu</w:t>
      </w:r>
      <w:r>
        <w:rPr>
          <w:rFonts w:ascii="Times New Roman" w:hAnsi="Times New Roman"/>
          <w:sz w:val="24"/>
        </w:rPr>
        <w:t>]Lu</w:t>
      </w:r>
      <w:proofErr w:type="gramEnd"/>
      <w:r w:rsidRPr="00A32B39">
        <w:rPr>
          <w:rFonts w:ascii="Times New Roman" w:hAnsi="Times New Roman"/>
          <w:sz w:val="24"/>
        </w:rPr>
        <w:t>-</w:t>
      </w:r>
      <w:proofErr w:type="spellStart"/>
      <w:r w:rsidRPr="00A32B39">
        <w:rPr>
          <w:rFonts w:ascii="Times New Roman" w:hAnsi="Times New Roman"/>
          <w:sz w:val="24"/>
        </w:rPr>
        <w:t>satoreotide</w:t>
      </w:r>
      <w:proofErr w:type="spellEnd"/>
      <w:r w:rsidRPr="00A32B39">
        <w:rPr>
          <w:rFonts w:ascii="Times New Roman" w:hAnsi="Times New Roman"/>
          <w:sz w:val="24"/>
        </w:rPr>
        <w:t xml:space="preserve"> tetraxetan is designed to specifically treat cancer cells, the treatment was taken up by </w:t>
      </w:r>
      <w:r>
        <w:rPr>
          <w:rFonts w:ascii="Times New Roman" w:hAnsi="Times New Roman"/>
          <w:sz w:val="24"/>
        </w:rPr>
        <w:t xml:space="preserve">cancerous </w:t>
      </w:r>
      <w:proofErr w:type="spellStart"/>
      <w:r w:rsidRPr="00A32B39">
        <w:rPr>
          <w:rFonts w:ascii="Times New Roman" w:hAnsi="Times New Roman"/>
          <w:sz w:val="24"/>
        </w:rPr>
        <w:t>tumours</w:t>
      </w:r>
      <w:proofErr w:type="spellEnd"/>
      <w:r w:rsidRPr="00A32B39">
        <w:rPr>
          <w:rFonts w:ascii="Times New Roman" w:hAnsi="Times New Roman"/>
          <w:sz w:val="24"/>
        </w:rPr>
        <w:t xml:space="preserve"> more than other healthy organs, and it remained in the </w:t>
      </w:r>
      <w:proofErr w:type="spellStart"/>
      <w:r w:rsidRPr="00A32B39">
        <w:rPr>
          <w:rFonts w:ascii="Times New Roman" w:hAnsi="Times New Roman"/>
          <w:sz w:val="24"/>
        </w:rPr>
        <w:t>tumours</w:t>
      </w:r>
      <w:proofErr w:type="spellEnd"/>
      <w:r w:rsidRPr="00A32B39">
        <w:rPr>
          <w:rFonts w:ascii="Times New Roman" w:hAnsi="Times New Roman"/>
          <w:sz w:val="24"/>
        </w:rPr>
        <w:t xml:space="preserve"> for a long </w:t>
      </w:r>
      <w:r>
        <w:rPr>
          <w:rFonts w:ascii="Times New Roman" w:hAnsi="Times New Roman"/>
          <w:sz w:val="24"/>
        </w:rPr>
        <w:t>time</w:t>
      </w:r>
      <w:r w:rsidRPr="00A32B39">
        <w:rPr>
          <w:rFonts w:ascii="Times New Roman" w:hAnsi="Times New Roman"/>
          <w:sz w:val="24"/>
        </w:rPr>
        <w:t xml:space="preserve">. </w:t>
      </w:r>
      <w:r w:rsidR="00753F40">
        <w:rPr>
          <w:rFonts w:ascii="Times New Roman" w:hAnsi="Times New Roman"/>
          <w:sz w:val="24"/>
        </w:rPr>
        <w:t>T</w:t>
      </w:r>
      <w:r w:rsidRPr="00A32B39">
        <w:rPr>
          <w:rFonts w:ascii="Times New Roman" w:hAnsi="Times New Roman"/>
          <w:sz w:val="24"/>
        </w:rPr>
        <w:t>he am</w:t>
      </w:r>
      <w:r w:rsidRPr="00DC4D1E">
        <w:rPr>
          <w:rFonts w:ascii="Times New Roman" w:hAnsi="Times New Roman"/>
          <w:sz w:val="24"/>
        </w:rPr>
        <w:t xml:space="preserve">ount of radiation given to </w:t>
      </w:r>
      <w:r w:rsidR="00753F40">
        <w:rPr>
          <w:rFonts w:ascii="Times New Roman" w:hAnsi="Times New Roman"/>
          <w:sz w:val="24"/>
        </w:rPr>
        <w:t xml:space="preserve">healthy </w:t>
      </w:r>
      <w:r w:rsidRPr="00DC4D1E">
        <w:rPr>
          <w:rFonts w:ascii="Times New Roman" w:hAnsi="Times New Roman"/>
          <w:sz w:val="24"/>
        </w:rPr>
        <w:t>organs (such as the bone marrow, kidneys, liver, and spleen) was within safe limits</w:t>
      </w:r>
      <w:r w:rsidR="00753F40">
        <w:rPr>
          <w:rFonts w:ascii="Times New Roman" w:hAnsi="Times New Roman"/>
          <w:sz w:val="24"/>
        </w:rPr>
        <w:t xml:space="preserve"> in most patients in this study</w:t>
      </w:r>
      <w:r w:rsidRPr="00DC4D1E">
        <w:rPr>
          <w:rFonts w:ascii="Times New Roman" w:hAnsi="Times New Roman"/>
          <w:sz w:val="24"/>
        </w:rPr>
        <w:t xml:space="preserve">. </w:t>
      </w:r>
      <w:r w:rsidRPr="00F6446F">
        <w:rPr>
          <w:rFonts w:ascii="Times New Roman" w:hAnsi="Times New Roman"/>
          <w:sz w:val="24"/>
        </w:rPr>
        <w:t>[</w:t>
      </w:r>
      <w:r w:rsidRPr="00F6446F">
        <w:rPr>
          <w:rFonts w:ascii="Times New Roman" w:hAnsi="Times New Roman"/>
          <w:sz w:val="24"/>
          <w:vertAlign w:val="superscript"/>
        </w:rPr>
        <w:t>177</w:t>
      </w:r>
      <w:proofErr w:type="gramStart"/>
      <w:r w:rsidRPr="00F6446F">
        <w:rPr>
          <w:rFonts w:ascii="Times New Roman" w:hAnsi="Times New Roman"/>
          <w:sz w:val="24"/>
        </w:rPr>
        <w:t>Lu]Lu</w:t>
      </w:r>
      <w:proofErr w:type="gramEnd"/>
      <w:r w:rsidRPr="00F6446F">
        <w:rPr>
          <w:rFonts w:ascii="Times New Roman" w:hAnsi="Times New Roman"/>
          <w:sz w:val="24"/>
        </w:rPr>
        <w:t>-</w:t>
      </w:r>
      <w:proofErr w:type="spellStart"/>
      <w:r w:rsidRPr="00F6446F">
        <w:rPr>
          <w:rFonts w:ascii="Times New Roman" w:hAnsi="Times New Roman"/>
          <w:sz w:val="24"/>
        </w:rPr>
        <w:t>satoreotide</w:t>
      </w:r>
      <w:proofErr w:type="spellEnd"/>
      <w:r w:rsidRPr="00F6446F">
        <w:rPr>
          <w:rFonts w:ascii="Times New Roman" w:hAnsi="Times New Roman"/>
          <w:sz w:val="24"/>
        </w:rPr>
        <w:t xml:space="preserve"> </w:t>
      </w:r>
      <w:r w:rsidRPr="00DC4D1E">
        <w:rPr>
          <w:rFonts w:ascii="Times New Roman" w:hAnsi="Times New Roman"/>
          <w:sz w:val="24"/>
        </w:rPr>
        <w:t xml:space="preserve">tetraxetan was mainly removed from the body by the kidneys. </w:t>
      </w:r>
    </w:p>
    <w:p w14:paraId="2A8047CB" w14:textId="7812F0D5" w:rsidR="0092102F" w:rsidRDefault="0092102F" w:rsidP="003B7C87">
      <w:pPr>
        <w:spacing w:line="480" w:lineRule="auto"/>
        <w:rPr>
          <w:rFonts w:ascii="Times New Roman" w:hAnsi="Times New Roman"/>
          <w:b/>
          <w:sz w:val="28"/>
          <w:lang w:val="en-GB"/>
        </w:rPr>
      </w:pPr>
      <w:r w:rsidRPr="004D569C">
        <w:rPr>
          <w:rFonts w:ascii="Times New Roman" w:hAnsi="Times New Roman"/>
          <w:sz w:val="24"/>
        </w:rPr>
        <w:lastRenderedPageBreak/>
        <w:t xml:space="preserve">These findings will help researchers to design future studies on </w:t>
      </w:r>
      <w:r w:rsidRPr="00F6446F">
        <w:rPr>
          <w:rFonts w:ascii="Times New Roman" w:hAnsi="Times New Roman"/>
          <w:sz w:val="24"/>
        </w:rPr>
        <w:t>[</w:t>
      </w:r>
      <w:r w:rsidRPr="00F6446F">
        <w:rPr>
          <w:rFonts w:ascii="Times New Roman" w:hAnsi="Times New Roman"/>
          <w:sz w:val="24"/>
          <w:vertAlign w:val="superscript"/>
        </w:rPr>
        <w:t>177</w:t>
      </w:r>
      <w:proofErr w:type="gramStart"/>
      <w:r w:rsidRPr="00F6446F">
        <w:rPr>
          <w:rFonts w:ascii="Times New Roman" w:hAnsi="Times New Roman"/>
          <w:sz w:val="24"/>
        </w:rPr>
        <w:t>Lu]Lu</w:t>
      </w:r>
      <w:proofErr w:type="gramEnd"/>
      <w:r w:rsidRPr="00F6446F">
        <w:rPr>
          <w:rFonts w:ascii="Times New Roman" w:hAnsi="Times New Roman"/>
          <w:sz w:val="24"/>
        </w:rPr>
        <w:t>-</w:t>
      </w:r>
      <w:proofErr w:type="spellStart"/>
      <w:r w:rsidRPr="00F6446F">
        <w:rPr>
          <w:rFonts w:ascii="Times New Roman" w:hAnsi="Times New Roman"/>
          <w:sz w:val="24"/>
        </w:rPr>
        <w:t>satoreotide</w:t>
      </w:r>
      <w:proofErr w:type="spellEnd"/>
      <w:r w:rsidR="00AC4E8F">
        <w:rPr>
          <w:rFonts w:ascii="Times New Roman" w:hAnsi="Times New Roman"/>
          <w:sz w:val="24"/>
        </w:rPr>
        <w:t xml:space="preserve"> </w:t>
      </w:r>
      <w:r w:rsidRPr="004D569C">
        <w:rPr>
          <w:rFonts w:ascii="Times New Roman" w:hAnsi="Times New Roman"/>
          <w:sz w:val="24"/>
        </w:rPr>
        <w:t>tetraxetan, supporting the development of a new, effective treatment option for patients with NETs.</w:t>
      </w:r>
    </w:p>
    <w:p w14:paraId="0A267CBE" w14:textId="145C0D8B" w:rsidR="005A3F71" w:rsidRPr="0001203E" w:rsidRDefault="00302DB6">
      <w:pPr>
        <w:rPr>
          <w:rFonts w:ascii="Times New Roman" w:hAnsi="Times New Roman"/>
          <w:b/>
          <w:sz w:val="28"/>
          <w:lang w:val="en-GB"/>
        </w:rPr>
      </w:pPr>
      <w:r w:rsidRPr="00DC4D1E">
        <w:rPr>
          <w:rFonts w:ascii="Times New Roman" w:hAnsi="Times New Roman"/>
          <w:b/>
          <w:sz w:val="28"/>
          <w:lang w:val="en-GB"/>
        </w:rPr>
        <w:t>Methods</w:t>
      </w:r>
    </w:p>
    <w:p w14:paraId="018C33B5" w14:textId="2AB8ABC0" w:rsidR="005A3F71" w:rsidRPr="0001203E" w:rsidRDefault="00302DB6">
      <w:pPr>
        <w:rPr>
          <w:rFonts w:ascii="Times New Roman" w:hAnsi="Times New Roman"/>
          <w:b/>
          <w:sz w:val="24"/>
          <w:lang w:val="en-GB"/>
        </w:rPr>
      </w:pPr>
      <w:r w:rsidRPr="00DC4D1E">
        <w:rPr>
          <w:rFonts w:ascii="Times New Roman" w:hAnsi="Times New Roman"/>
          <w:b/>
          <w:sz w:val="24"/>
          <w:lang w:val="en-GB"/>
        </w:rPr>
        <w:t>Image acquisition</w:t>
      </w:r>
    </w:p>
    <w:p w14:paraId="7AA86072" w14:textId="7B24818E" w:rsidR="005A3F71" w:rsidRPr="0001203E" w:rsidRDefault="00302DB6">
      <w:pPr>
        <w:spacing w:line="480" w:lineRule="auto"/>
        <w:jc w:val="both"/>
        <w:rPr>
          <w:rFonts w:ascii="Times New Roman" w:hAnsi="Times New Roman"/>
          <w:sz w:val="24"/>
          <w:lang w:val="en-GB"/>
        </w:rPr>
      </w:pPr>
      <w:r w:rsidRPr="00DC4D1E">
        <w:rPr>
          <w:rFonts w:ascii="Times New Roman" w:hAnsi="Times New Roman"/>
          <w:sz w:val="24"/>
          <w:lang w:val="en-GB"/>
        </w:rPr>
        <w:t xml:space="preserve">All images were acquired with a 20% energy window around the main photopeak of </w:t>
      </w:r>
      <w:r w:rsidRPr="00DC4D1E">
        <w:rPr>
          <w:rFonts w:ascii="Times New Roman" w:hAnsi="Times New Roman"/>
          <w:sz w:val="24"/>
          <w:vertAlign w:val="superscript"/>
          <w:lang w:val="en-GB"/>
        </w:rPr>
        <w:t>177</w:t>
      </w:r>
      <w:r w:rsidRPr="00DC4D1E">
        <w:rPr>
          <w:rFonts w:ascii="Times New Roman" w:hAnsi="Times New Roman"/>
          <w:sz w:val="24"/>
          <w:lang w:val="en-GB"/>
        </w:rPr>
        <w:t>Lu (208 keV). For scatter correction, the triple-energy window method was applied</w:t>
      </w:r>
      <w:r w:rsidR="00A11378" w:rsidRPr="00A11378">
        <w:t xml:space="preserve"> </w:t>
      </w:r>
      <w:r w:rsidR="00A11378" w:rsidRPr="00A11378">
        <w:rPr>
          <w:rFonts w:ascii="Times New Roman" w:hAnsi="Times New Roman"/>
          <w:sz w:val="24"/>
          <w:lang w:val="en-GB"/>
        </w:rPr>
        <w:t xml:space="preserve">based on the recommendation of the Committee on Medical Internal Radiation Dose </w:t>
      </w:r>
      <w:r w:rsidR="00A11378">
        <w:rPr>
          <w:rFonts w:ascii="Times New Roman" w:hAnsi="Times New Roman"/>
          <w:sz w:val="24"/>
          <w:lang w:val="en-GB"/>
        </w:rPr>
        <w:fldChar w:fldCharType="begin"/>
      </w:r>
      <w:r w:rsidR="009C66D1">
        <w:rPr>
          <w:rFonts w:ascii="Times New Roman" w:hAnsi="Times New Roman"/>
          <w:sz w:val="24"/>
          <w:lang w:val="en-GB"/>
        </w:rPr>
        <w:instrText xml:space="preserve"> ADDIN EN.CITE &lt;EndNote&gt;&lt;Cite&gt;&lt;Author&gt;Ljungberg&lt;/Author&gt;&lt;Year&gt;2016&lt;/Year&gt;&lt;RecNum&gt;62&lt;/RecNum&gt;&lt;DisplayText&gt;[1]&lt;/DisplayText&gt;&lt;record&gt;&lt;rec-number&gt;62&lt;/rec-number&gt;&lt;foreign-keys&gt;&lt;key app="EN" db-id="dezze9rzn5wfrueapezvwfd3dfxw5pzfa99f" timestamp="1706010544"&gt;62&lt;/key&gt;&lt;/foreign-keys&gt;&lt;ref-type name="Journal Article"&gt;17&lt;/ref-type&gt;&lt;contributors&gt;&lt;authors&gt;&lt;author&gt;Ljungberg, Michael&lt;/author&gt;&lt;author&gt;Celler, Anna&lt;/author&gt;&lt;author&gt;Konijnenberg, Mark, W. &lt;/author&gt;&lt;author&gt;Eckerman, Keith, F. &lt;/author&gt;&lt;author&gt;Dewaraja, Yuni, K. &lt;/author&gt;&lt;author&gt;Sjögreen-Gleisner, Katarina&lt;/author&gt;&lt;/authors&gt;&lt;/contributors&gt;&lt;titles&gt;&lt;title&gt;MIRD Pamphlet No. 26: Joint EANM/MIRD Guidelines for Quantitative 177Lu SPECT Applied for Dosimetry of Radiopharmaceutical Therapy&lt;/title&gt;&lt;secondary-title&gt;Journal of Nuclear Medicine&lt;/secondary-title&gt;&lt;/titles&gt;&lt;periodical&gt;&lt;full-title&gt;Journal of Nuclear Medicine&lt;/full-title&gt;&lt;/periodical&gt;&lt;pages&gt;151–162&lt;/pages&gt;&lt;volume&gt;57&lt;/volume&gt;&lt;number&gt;1&lt;/number&gt;&lt;dates&gt;&lt;year&gt;2016&lt;/year&gt;&lt;/dates&gt;&lt;urls&gt;&lt;related-urls&gt;&lt;url&gt;http://jnm.snmjournals.org/content/57/1/151.abstract&lt;/url&gt;&lt;/related-urls&gt;&lt;/urls&gt;&lt;electronic-resource-num&gt;10.2967/jnumed.115.159012&lt;/electronic-resource-num&gt;&lt;/record&gt;&lt;/Cite&gt;&lt;/EndNote&gt;</w:instrText>
      </w:r>
      <w:r w:rsidR="00A11378">
        <w:rPr>
          <w:rFonts w:ascii="Times New Roman" w:hAnsi="Times New Roman"/>
          <w:sz w:val="24"/>
          <w:lang w:val="en-GB"/>
        </w:rPr>
        <w:fldChar w:fldCharType="separate"/>
      </w:r>
      <w:r w:rsidR="009C66D1">
        <w:rPr>
          <w:rFonts w:ascii="Times New Roman" w:hAnsi="Times New Roman"/>
          <w:noProof/>
          <w:sz w:val="24"/>
          <w:lang w:val="en-GB"/>
        </w:rPr>
        <w:t>[1]</w:t>
      </w:r>
      <w:r w:rsidR="00A11378">
        <w:rPr>
          <w:rFonts w:ascii="Times New Roman" w:hAnsi="Times New Roman"/>
          <w:sz w:val="24"/>
          <w:lang w:val="en-GB"/>
        </w:rPr>
        <w:fldChar w:fldCharType="end"/>
      </w:r>
      <w:r w:rsidRPr="00DC4D1E">
        <w:rPr>
          <w:rFonts w:ascii="Times New Roman" w:hAnsi="Times New Roman"/>
          <w:sz w:val="24"/>
          <w:lang w:val="en-GB"/>
        </w:rPr>
        <w:t>.</w:t>
      </w:r>
      <w:r w:rsidRPr="00DC4D1E">
        <w:rPr>
          <w:lang w:val="en-GB"/>
        </w:rPr>
        <w:t xml:space="preserve"> </w:t>
      </w:r>
      <w:r w:rsidRPr="00DC4D1E">
        <w:rPr>
          <w:rFonts w:ascii="Times New Roman" w:hAnsi="Times New Roman"/>
          <w:sz w:val="24"/>
          <w:lang w:val="en-GB"/>
        </w:rPr>
        <w:t>Whole-body images were acquired with a scanning time of 20 cm/min in a 256 × 1,024 matrix. SPECT imaging was performed with a 15-second frame duration for 120–128 projections, applying 60–64 views per head over 180° in a 128 × 128 matrix size. Co</w:t>
      </w:r>
      <w:r w:rsidR="007854C3">
        <w:rPr>
          <w:rFonts w:ascii="Times New Roman" w:hAnsi="Times New Roman"/>
          <w:sz w:val="24"/>
          <w:lang w:val="en-GB"/>
        </w:rPr>
        <w:t>-</w:t>
      </w:r>
      <w:r w:rsidRPr="00DC4D1E">
        <w:rPr>
          <w:rFonts w:ascii="Times New Roman" w:hAnsi="Times New Roman"/>
          <w:sz w:val="24"/>
          <w:lang w:val="en-GB"/>
        </w:rPr>
        <w:t xml:space="preserve">registered CTs were acquired in low-dose technique, with a 5-mm slice thickness and a 0.99-mm pixel size (130 </w:t>
      </w:r>
      <w:proofErr w:type="spellStart"/>
      <w:r w:rsidRPr="00DC4D1E">
        <w:rPr>
          <w:rFonts w:ascii="Times New Roman" w:hAnsi="Times New Roman"/>
          <w:sz w:val="24"/>
          <w:lang w:val="en-GB"/>
        </w:rPr>
        <w:t>kVp</w:t>
      </w:r>
      <w:proofErr w:type="spellEnd"/>
      <w:r w:rsidRPr="00DC4D1E">
        <w:rPr>
          <w:rFonts w:ascii="Times New Roman" w:hAnsi="Times New Roman"/>
          <w:sz w:val="24"/>
          <w:lang w:val="en-GB"/>
        </w:rPr>
        <w:t xml:space="preserve">, 30 mA), and used to generate an attenuation map. SPECT images were iteratively reconstructed, with a minimum of 36 updates, using the ordered subset expectation maximisation (OSEM) algorithm, with collimator depth-dependent three-dimensional resolution recovery (if available) and attenuation correction taken from the µ-maps obtained by the system software from the CT images. No filtering was applied. A syringe containing a known </w:t>
      </w:r>
      <w:r w:rsidRPr="0099571E">
        <w:rPr>
          <w:rFonts w:ascii="Times New Roman" w:hAnsi="Times New Roman"/>
          <w:sz w:val="24"/>
          <w:vertAlign w:val="superscript"/>
        </w:rPr>
        <w:t>177</w:t>
      </w:r>
      <w:r w:rsidRPr="0099571E">
        <w:rPr>
          <w:rFonts w:ascii="Times New Roman" w:hAnsi="Times New Roman"/>
          <w:sz w:val="24"/>
        </w:rPr>
        <w:t>Lu</w:t>
      </w:r>
      <w:r w:rsidRPr="00DC4D1E">
        <w:rPr>
          <w:rFonts w:ascii="Times New Roman" w:hAnsi="Times New Roman"/>
          <w:sz w:val="24"/>
          <w:lang w:val="en-GB"/>
        </w:rPr>
        <w:t xml:space="preserve"> activity (approximately 20 MBq) was added in the field of view of the whole-body images </w:t>
      </w:r>
      <w:r w:rsidR="009A566E" w:rsidRPr="009A566E">
        <w:rPr>
          <w:rFonts w:ascii="Times New Roman" w:hAnsi="Times New Roman"/>
          <w:sz w:val="24"/>
          <w:lang w:val="en-GB"/>
        </w:rPr>
        <w:t>to track the stability of the gamma cameras during each therapy cycle</w:t>
      </w:r>
      <w:r w:rsidR="00A11378">
        <w:rPr>
          <w:rFonts w:ascii="Times New Roman" w:hAnsi="Times New Roman"/>
          <w:sz w:val="24"/>
          <w:lang w:val="en-GB"/>
        </w:rPr>
        <w:t xml:space="preserve">, </w:t>
      </w:r>
      <w:r w:rsidRPr="00DC4D1E">
        <w:rPr>
          <w:rFonts w:ascii="Times New Roman" w:hAnsi="Times New Roman"/>
          <w:sz w:val="24"/>
          <w:lang w:val="en-GB"/>
        </w:rPr>
        <w:t>for quality control purposes. For part B, an additional syringe measurement at a single timepoint was performed on SPECT/CT acquisitions.</w:t>
      </w:r>
    </w:p>
    <w:p w14:paraId="2888F060" w14:textId="52BAD951" w:rsidR="005A3F71" w:rsidRPr="0001203E" w:rsidRDefault="00302DB6">
      <w:pPr>
        <w:tabs>
          <w:tab w:val="left" w:pos="3330"/>
        </w:tabs>
        <w:spacing w:before="160" w:after="0" w:line="480" w:lineRule="auto"/>
        <w:jc w:val="both"/>
        <w:rPr>
          <w:rFonts w:ascii="Times New Roman" w:hAnsi="Times New Roman"/>
          <w:b/>
          <w:sz w:val="24"/>
          <w:lang w:val="en-GB"/>
        </w:rPr>
      </w:pPr>
      <w:r w:rsidRPr="00DC4D1E">
        <w:rPr>
          <w:rFonts w:ascii="Times New Roman" w:hAnsi="Times New Roman"/>
          <w:b/>
          <w:sz w:val="24"/>
          <w:lang w:val="en-GB"/>
        </w:rPr>
        <w:t xml:space="preserve">Delineation and </w:t>
      </w:r>
      <w:r w:rsidR="00F6446F" w:rsidRPr="00F6446F">
        <w:rPr>
          <w:rFonts w:ascii="Times New Roman" w:hAnsi="Times New Roman"/>
          <w:b/>
          <w:sz w:val="24"/>
        </w:rPr>
        <w:t>[</w:t>
      </w:r>
      <w:r w:rsidR="00F6446F" w:rsidRPr="00F6446F">
        <w:rPr>
          <w:rFonts w:ascii="Times New Roman" w:hAnsi="Times New Roman"/>
          <w:b/>
          <w:sz w:val="24"/>
          <w:vertAlign w:val="superscript"/>
        </w:rPr>
        <w:t>177</w:t>
      </w:r>
      <w:proofErr w:type="gramStart"/>
      <w:r w:rsidR="00F6446F" w:rsidRPr="00F6446F">
        <w:rPr>
          <w:rFonts w:ascii="Times New Roman" w:hAnsi="Times New Roman"/>
          <w:b/>
          <w:sz w:val="24"/>
        </w:rPr>
        <w:t>Lu]Lu</w:t>
      </w:r>
      <w:proofErr w:type="gramEnd"/>
      <w:r w:rsidR="00F6446F" w:rsidRPr="00F6446F">
        <w:rPr>
          <w:rFonts w:ascii="Times New Roman" w:hAnsi="Times New Roman"/>
          <w:b/>
          <w:sz w:val="24"/>
        </w:rPr>
        <w:t>-</w:t>
      </w:r>
      <w:proofErr w:type="spellStart"/>
      <w:r w:rsidR="00F6446F" w:rsidRPr="00F6446F">
        <w:rPr>
          <w:rFonts w:ascii="Times New Roman" w:hAnsi="Times New Roman"/>
          <w:b/>
          <w:sz w:val="24"/>
        </w:rPr>
        <w:t>satoreotide</w:t>
      </w:r>
      <w:proofErr w:type="spellEnd"/>
      <w:r w:rsidR="00AC4E8F">
        <w:rPr>
          <w:rFonts w:ascii="Times New Roman" w:hAnsi="Times New Roman"/>
          <w:b/>
          <w:sz w:val="24"/>
        </w:rPr>
        <w:t xml:space="preserve"> </w:t>
      </w:r>
      <w:r w:rsidRPr="0099571E">
        <w:rPr>
          <w:rFonts w:ascii="Times New Roman" w:hAnsi="Times New Roman"/>
          <w:b/>
          <w:sz w:val="24"/>
        </w:rPr>
        <w:t>tetraxetan</w:t>
      </w:r>
      <w:r w:rsidRPr="00DC4D1E">
        <w:rPr>
          <w:rFonts w:ascii="Times New Roman" w:hAnsi="Times New Roman"/>
          <w:b/>
          <w:sz w:val="24"/>
          <w:lang w:val="en-GB"/>
        </w:rPr>
        <w:t xml:space="preserve"> activity quantification</w:t>
      </w:r>
    </w:p>
    <w:p w14:paraId="287A54BD" w14:textId="39BA7458" w:rsidR="005A3F71" w:rsidRPr="0001203E" w:rsidRDefault="00302DB6">
      <w:pPr>
        <w:spacing w:after="0" w:line="480" w:lineRule="auto"/>
        <w:contextualSpacing/>
        <w:jc w:val="both"/>
        <w:rPr>
          <w:rFonts w:ascii="Times New Roman" w:hAnsi="Times New Roman"/>
          <w:sz w:val="24"/>
          <w:lang w:val="en-GB"/>
        </w:rPr>
      </w:pPr>
      <w:r w:rsidRPr="00DC4D1E">
        <w:rPr>
          <w:rFonts w:ascii="Times New Roman" w:hAnsi="Times New Roman"/>
          <w:sz w:val="24"/>
          <w:lang w:val="en-GB"/>
        </w:rPr>
        <w:t xml:space="preserve">For evaluated organs, </w:t>
      </w:r>
      <w:bookmarkStart w:id="1" w:name="_Hlk152236294"/>
      <w:r w:rsidRPr="00DC4D1E">
        <w:rPr>
          <w:rFonts w:ascii="Times New Roman" w:hAnsi="Times New Roman"/>
          <w:sz w:val="24"/>
          <w:lang w:val="en-GB"/>
        </w:rPr>
        <w:t xml:space="preserve">regions/volumes of interest (ROIs/VOIs) were drawn manually over the whole organs of interest (whole body, left and right kidneys, liver, spleen, and bone marrow), using the NUKDOS software for planar whole-body scans and the SPECT/CT acquired in part A </w:t>
      </w:r>
      <w:r w:rsidR="00EC15F6">
        <w:rPr>
          <w:rFonts w:ascii="Times New Roman" w:hAnsi="Times New Roman" w:cs="Times New Roman"/>
          <w:sz w:val="24"/>
          <w:szCs w:val="24"/>
          <w:lang w:val="en-GB"/>
        </w:rPr>
        <w:lastRenderedPageBreak/>
        <w:fldChar w:fldCharType="begin"/>
      </w:r>
      <w:r w:rsidR="009C66D1">
        <w:rPr>
          <w:rFonts w:ascii="Times New Roman" w:hAnsi="Times New Roman" w:cs="Times New Roman"/>
          <w:sz w:val="24"/>
          <w:szCs w:val="24"/>
          <w:lang w:val="en-GB"/>
        </w:rPr>
        <w:instrText xml:space="preserve"> ADDIN EN.CITE &lt;EndNote&gt;&lt;Cite&gt;&lt;Author&gt;Kletting&lt;/Author&gt;&lt;Year&gt;2015&lt;/Year&gt;&lt;RecNum&gt;19&lt;/RecNum&gt;&lt;DisplayText&gt;[2]&lt;/DisplayText&gt;&lt;record&gt;&lt;rec-number&gt;19&lt;/rec-number&gt;&lt;foreign-keys&gt;&lt;key app="EN" db-id="dezze9rzn5wfrueapezvwfd3dfxw5pzfa99f" timestamp="1656432337"&gt;19&lt;/key&gt;&lt;/foreign-keys&gt;&lt;ref-type name="Journal Article"&gt;17&lt;/ref-type&gt;&lt;contributors&gt;&lt;authors&gt;&lt;author&gt;Kletting, Peter&lt;/author&gt;&lt;author&gt;Schimmel, Sebastian&lt;/author&gt;&lt;author&gt;Hänscheid, Heribert&lt;/author&gt;&lt;author&gt;Luster, Markus&lt;/author&gt;&lt;author&gt;Fernández, Maria&lt;/author&gt;&lt;author&gt;Nosske, Dietmar&lt;/author&gt;&lt;author&gt;Lassmann, Michael&lt;/author&gt;&lt;author&gt;Glatting, Gerhard&lt;/author&gt;&lt;/authors&gt;&lt;/contributors&gt;&lt;titles&gt;&lt;title&gt;The NUKDOS software for treatment planning in molecular radiotherapy&lt;/title&gt;&lt;secondary-title&gt;Zeitschrift für Medizinische Physik&lt;/secondary-title&gt;&lt;/titles&gt;&lt;periodical&gt;&lt;full-title&gt;Zeitschrift für Medizinische Physik&lt;/full-title&gt;&lt;/periodical&gt;&lt;pages&gt;264-274&lt;/pages&gt;&lt;volume&gt;25&lt;/volume&gt;&lt;number&gt;3&lt;/number&gt;&lt;keywords&gt;&lt;keyword&gt;Dosimetry&lt;/keyword&gt;&lt;keyword&gt;Software&lt;/keyword&gt;&lt;keyword&gt;Molecular radiotherapy&lt;/keyword&gt;&lt;keyword&gt;Treatment planning&lt;/keyword&gt;&lt;keyword&gt;Dosimetrie&lt;/keyword&gt;&lt;keyword&gt;Molekulare Radiotherapie&lt;/keyword&gt;&lt;keyword&gt;Therapieplanung&lt;/keyword&gt;&lt;/keywords&gt;&lt;dates&gt;&lt;year&gt;2015&lt;/year&gt;&lt;pub-dates&gt;&lt;date&gt;2015/09/01/&lt;/date&gt;&lt;/pub-dates&gt;&lt;/dates&gt;&lt;isbn&gt;0939-3889&lt;/isbn&gt;&lt;urls&gt;&lt;related-urls&gt;&lt;url&gt;https://www.sciencedirect.com/science/article/pii/S0939388915000021&lt;/url&gt;&lt;/related-urls&gt;&lt;/urls&gt;&lt;electronic-resource-num&gt;https://doi.org/10.1016/j.zemedi.2015.01.001&lt;/electronic-resource-num&gt;&lt;/record&gt;&lt;/Cite&gt;&lt;/EndNote&gt;</w:instrText>
      </w:r>
      <w:r w:rsidR="00EC15F6">
        <w:rPr>
          <w:rFonts w:ascii="Times New Roman" w:hAnsi="Times New Roman" w:cs="Times New Roman"/>
          <w:sz w:val="24"/>
          <w:szCs w:val="24"/>
          <w:lang w:val="en-GB"/>
        </w:rPr>
        <w:fldChar w:fldCharType="separate"/>
      </w:r>
      <w:r w:rsidR="009C66D1">
        <w:rPr>
          <w:rFonts w:ascii="Times New Roman" w:hAnsi="Times New Roman" w:cs="Times New Roman"/>
          <w:noProof/>
          <w:sz w:val="24"/>
          <w:szCs w:val="24"/>
          <w:lang w:val="en-GB"/>
        </w:rPr>
        <w:t>[2]</w:t>
      </w:r>
      <w:r w:rsidR="00EC15F6">
        <w:rPr>
          <w:rFonts w:ascii="Times New Roman" w:hAnsi="Times New Roman" w:cs="Times New Roman"/>
          <w:sz w:val="24"/>
          <w:szCs w:val="24"/>
          <w:lang w:val="en-GB"/>
        </w:rPr>
        <w:fldChar w:fldCharType="end"/>
      </w:r>
      <w:r w:rsidR="004A68EE">
        <w:rPr>
          <w:rFonts w:ascii="Times New Roman" w:hAnsi="Times New Roman" w:cs="Times New Roman"/>
          <w:sz w:val="24"/>
          <w:szCs w:val="24"/>
          <w:lang w:val="en-GB"/>
        </w:rPr>
        <w:t>.</w:t>
      </w:r>
      <w:r w:rsidRPr="00DC4D1E">
        <w:rPr>
          <w:rFonts w:ascii="Times New Roman" w:hAnsi="Times New Roman"/>
          <w:sz w:val="24"/>
          <w:lang w:val="en-GB"/>
        </w:rPr>
        <w:t xml:space="preserve"> </w:t>
      </w:r>
      <w:bookmarkEnd w:id="1"/>
      <w:r w:rsidRPr="00DC4D1E">
        <w:rPr>
          <w:rFonts w:ascii="Times New Roman" w:hAnsi="Times New Roman"/>
          <w:sz w:val="24"/>
          <w:lang w:val="en-GB"/>
        </w:rPr>
        <w:t xml:space="preserve">For all SPECT/CT images acquired in part B, VOIs were drawn in a SIEMENS </w:t>
      </w:r>
      <w:proofErr w:type="spellStart"/>
      <w:proofErr w:type="gramStart"/>
      <w:r w:rsidRPr="00DC4D1E">
        <w:rPr>
          <w:rFonts w:ascii="Times New Roman" w:hAnsi="Times New Roman"/>
          <w:sz w:val="24"/>
          <w:lang w:val="en-GB"/>
        </w:rPr>
        <w:t>E.Soft</w:t>
      </w:r>
      <w:proofErr w:type="spellEnd"/>
      <w:proofErr w:type="gramEnd"/>
      <w:r w:rsidRPr="00DC4D1E">
        <w:rPr>
          <w:rFonts w:ascii="Times New Roman" w:hAnsi="Times New Roman"/>
          <w:sz w:val="24"/>
          <w:lang w:val="en-GB"/>
        </w:rPr>
        <w:t xml:space="preserve"> workstation. For part A planar whole-body scans, an additional irregularly shaped ROI was placed around each target ROI for background subtraction. The corresponding organ volumes were taken from the corresponding CT images, and organ masses were derived by applying a tissue density of 1.0 g/cm</w:t>
      </w:r>
      <w:r w:rsidRPr="00DC4D1E">
        <w:rPr>
          <w:rFonts w:ascii="Times New Roman" w:hAnsi="Times New Roman"/>
          <w:sz w:val="24"/>
          <w:vertAlign w:val="superscript"/>
          <w:lang w:val="en-GB"/>
        </w:rPr>
        <w:t>3</w:t>
      </w:r>
      <w:r w:rsidRPr="00DC4D1E">
        <w:rPr>
          <w:rFonts w:ascii="Times New Roman" w:hAnsi="Times New Roman"/>
          <w:sz w:val="24"/>
          <w:lang w:val="en-GB"/>
        </w:rPr>
        <w:t>. For the bone marrow, ROIs/VOIs were drawn on the L</w:t>
      </w:r>
      <w:r w:rsidRPr="00DC4D1E">
        <w:rPr>
          <w:rFonts w:ascii="Times New Roman" w:hAnsi="Times New Roman"/>
          <w:sz w:val="24"/>
          <w:vertAlign w:val="subscript"/>
          <w:lang w:val="en-GB"/>
        </w:rPr>
        <w:t>2</w:t>
      </w:r>
      <w:r w:rsidR="009C7CA3">
        <w:rPr>
          <w:rFonts w:ascii="Times New Roman" w:hAnsi="Times New Roman"/>
          <w:sz w:val="24"/>
          <w:lang w:val="en-GB"/>
        </w:rPr>
        <w:t>–</w:t>
      </w:r>
      <w:r w:rsidRPr="00DC4D1E">
        <w:rPr>
          <w:rFonts w:ascii="Times New Roman" w:hAnsi="Times New Roman"/>
          <w:sz w:val="24"/>
          <w:lang w:val="en-GB"/>
        </w:rPr>
        <w:t>L</w:t>
      </w:r>
      <w:r w:rsidRPr="00DC4D1E">
        <w:rPr>
          <w:rFonts w:ascii="Times New Roman" w:hAnsi="Times New Roman"/>
          <w:sz w:val="24"/>
          <w:vertAlign w:val="subscript"/>
          <w:lang w:val="en-GB"/>
        </w:rPr>
        <w:t>4</w:t>
      </w:r>
      <w:r w:rsidRPr="00DC4D1E">
        <w:rPr>
          <w:rFonts w:ascii="Times New Roman" w:hAnsi="Times New Roman"/>
          <w:sz w:val="24"/>
          <w:lang w:val="en-GB"/>
        </w:rPr>
        <w:t xml:space="preserve"> lumbar vertebrae </w:t>
      </w:r>
      <w:r w:rsidR="00EC15F6">
        <w:rPr>
          <w:rFonts w:ascii="Times New Roman" w:hAnsi="Times New Roman" w:cs="Times New Roman"/>
          <w:sz w:val="24"/>
          <w:szCs w:val="24"/>
          <w:lang w:val="en-GB"/>
        </w:rPr>
        <w:fldChar w:fldCharType="begin">
          <w:fldData xml:space="preserve">PEVuZE5vdGU+PENpdGU+PEF1dGhvcj5CbGFra2lzcnVkPC9BdXRob3I+PFllYXI+MjAxNzwvWWVh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</w:fldData>
        </w:fldChar>
      </w:r>
      <w:r w:rsidR="009C66D1">
        <w:rPr>
          <w:rFonts w:ascii="Times New Roman" w:hAnsi="Times New Roman" w:cs="Times New Roman"/>
          <w:sz w:val="24"/>
          <w:szCs w:val="24"/>
          <w:lang w:val="en-GB"/>
        </w:rPr>
        <w:instrText xml:space="preserve"> ADDIN EN.CITE </w:instrText>
      </w:r>
      <w:r w:rsidR="009C66D1">
        <w:rPr>
          <w:rFonts w:ascii="Times New Roman" w:hAnsi="Times New Roman" w:cs="Times New Roman"/>
          <w:sz w:val="24"/>
          <w:szCs w:val="24"/>
          <w:lang w:val="en-GB"/>
        </w:rPr>
        <w:fldChar w:fldCharType="begin">
          <w:fldData xml:space="preserve">PEVuZE5vdGU+PENpdGU+PEF1dGhvcj5CbGFra2lzcnVkPC9BdXRob3I+PFllYXI+MjAxNzwvWWVh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</w:fldData>
        </w:fldChar>
      </w:r>
      <w:r w:rsidR="009C66D1">
        <w:rPr>
          <w:rFonts w:ascii="Times New Roman" w:hAnsi="Times New Roman" w:cs="Times New Roman"/>
          <w:sz w:val="24"/>
          <w:szCs w:val="24"/>
          <w:lang w:val="en-GB"/>
        </w:rPr>
        <w:instrText xml:space="preserve"> ADDIN EN.CITE.DATA </w:instrText>
      </w:r>
      <w:r w:rsidR="009C66D1">
        <w:rPr>
          <w:rFonts w:ascii="Times New Roman" w:hAnsi="Times New Roman" w:cs="Times New Roman"/>
          <w:sz w:val="24"/>
          <w:szCs w:val="24"/>
          <w:lang w:val="en-GB"/>
        </w:rPr>
      </w:r>
      <w:r w:rsidR="009C66D1">
        <w:rPr>
          <w:rFonts w:ascii="Times New Roman" w:hAnsi="Times New Roman" w:cs="Times New Roman"/>
          <w:sz w:val="24"/>
          <w:szCs w:val="24"/>
          <w:lang w:val="en-GB"/>
        </w:rPr>
        <w:fldChar w:fldCharType="end"/>
      </w:r>
      <w:r w:rsidR="00EC15F6">
        <w:rPr>
          <w:rFonts w:ascii="Times New Roman" w:hAnsi="Times New Roman" w:cs="Times New Roman"/>
          <w:sz w:val="24"/>
          <w:szCs w:val="24"/>
          <w:lang w:val="en-GB"/>
        </w:rPr>
        <w:fldChar w:fldCharType="separate"/>
      </w:r>
      <w:r w:rsidR="009C66D1">
        <w:rPr>
          <w:rFonts w:ascii="Times New Roman" w:hAnsi="Times New Roman" w:cs="Times New Roman"/>
          <w:noProof/>
          <w:sz w:val="24"/>
          <w:szCs w:val="24"/>
          <w:lang w:val="en-GB"/>
        </w:rPr>
        <w:t>[3, 4]</w:t>
      </w:r>
      <w:r w:rsidR="00EC15F6">
        <w:rPr>
          <w:rFonts w:ascii="Times New Roman" w:hAnsi="Times New Roman" w:cs="Times New Roman"/>
          <w:sz w:val="24"/>
          <w:szCs w:val="24"/>
          <w:lang w:val="en-GB"/>
        </w:rPr>
        <w:fldChar w:fldCharType="end"/>
      </w:r>
      <w:r w:rsidRPr="0099571E">
        <w:rPr>
          <w:rFonts w:ascii="Times New Roman" w:hAnsi="Times New Roman"/>
          <w:sz w:val="24"/>
        </w:rPr>
        <w:t>,</w:t>
      </w:r>
      <w:r w:rsidRPr="00DC4D1E">
        <w:rPr>
          <w:rFonts w:ascii="Times New Roman" w:hAnsi="Times New Roman"/>
          <w:sz w:val="24"/>
          <w:lang w:val="en-GB"/>
        </w:rPr>
        <w:t xml:space="preserve"> assuming that this location is reflective of the absorbed dose to the overall bone marrow. In case of overlapping activities in the L</w:t>
      </w:r>
      <w:r w:rsidRPr="00DC4D1E">
        <w:rPr>
          <w:rFonts w:ascii="Times New Roman" w:hAnsi="Times New Roman"/>
          <w:sz w:val="24"/>
          <w:vertAlign w:val="subscript"/>
          <w:lang w:val="en-GB"/>
        </w:rPr>
        <w:t>2</w:t>
      </w:r>
      <w:r w:rsidR="009C7CA3">
        <w:rPr>
          <w:rFonts w:ascii="Times New Roman" w:hAnsi="Times New Roman"/>
          <w:sz w:val="24"/>
          <w:lang w:val="en-GB"/>
        </w:rPr>
        <w:t>–</w:t>
      </w:r>
      <w:r w:rsidRPr="00DC4D1E">
        <w:rPr>
          <w:rFonts w:ascii="Times New Roman" w:hAnsi="Times New Roman"/>
          <w:sz w:val="24"/>
          <w:lang w:val="en-GB"/>
        </w:rPr>
        <w:t>L</w:t>
      </w:r>
      <w:r w:rsidRPr="00DC4D1E">
        <w:rPr>
          <w:rFonts w:ascii="Times New Roman" w:hAnsi="Times New Roman"/>
          <w:sz w:val="24"/>
          <w:vertAlign w:val="subscript"/>
          <w:lang w:val="en-GB"/>
        </w:rPr>
        <w:t>4</w:t>
      </w:r>
      <w:r w:rsidRPr="00DC4D1E">
        <w:rPr>
          <w:rFonts w:ascii="Times New Roman" w:hAnsi="Times New Roman"/>
          <w:sz w:val="24"/>
          <w:lang w:val="en-GB"/>
        </w:rPr>
        <w:t xml:space="preserve"> vertebrae on the planar and SPECT/CT scans associated with lesions or bone marrow involvement, other vertebrae were taken as surrogates for the bone marrow. If no other vertebrae were available, no ROI or VOI was drawn. For the kidneys, ROIs/VOIs were drawn over the renal cortex, or, in case the cortex could not be separated, over the whole kidney.</w:t>
      </w:r>
    </w:p>
    <w:p w14:paraId="7811A389" w14:textId="3F3EE7AF" w:rsidR="005A3F71" w:rsidRPr="0001203E" w:rsidRDefault="00302DB6">
      <w:pPr>
        <w:spacing w:line="480" w:lineRule="auto"/>
        <w:ind w:firstLine="720"/>
        <w:jc w:val="both"/>
        <w:rPr>
          <w:rFonts w:ascii="Times New Roman" w:hAnsi="Times New Roman"/>
          <w:sz w:val="24"/>
          <w:lang w:val="en-GB"/>
        </w:rPr>
      </w:pPr>
      <w:r w:rsidRPr="00DC4D1E">
        <w:rPr>
          <w:rFonts w:ascii="Times New Roman" w:hAnsi="Times New Roman"/>
          <w:sz w:val="24"/>
          <w:lang w:val="en-GB"/>
        </w:rPr>
        <w:t>All ROIs/VOIs were then used for activity quantification. Using the NUKDOS software, the time-integrated activity coefficients (TIACs) for a given source volume were computed by integrating the</w:t>
      </w:r>
      <w:r w:rsidRPr="0099571E">
        <w:t xml:space="preserve"> </w:t>
      </w:r>
      <w:r w:rsidRPr="00DC4D1E">
        <w:rPr>
          <w:rFonts w:ascii="Times New Roman" w:hAnsi="Times New Roman"/>
          <w:sz w:val="24"/>
          <w:lang w:val="en-GB"/>
        </w:rPr>
        <w:t>time-activity curves.</w:t>
      </w:r>
    </w:p>
    <w:p w14:paraId="57BBA68B" w14:textId="77777777" w:rsidR="005A3F71" w:rsidRPr="0001203E" w:rsidRDefault="00302DB6">
      <w:pPr>
        <w:rPr>
          <w:rFonts w:ascii="Times New Roman" w:hAnsi="Times New Roman"/>
          <w:b/>
          <w:sz w:val="24"/>
          <w:lang w:val="en-GB"/>
        </w:rPr>
      </w:pPr>
      <w:r w:rsidRPr="00DC4D1E">
        <w:rPr>
          <w:rFonts w:ascii="Times New Roman" w:hAnsi="Times New Roman"/>
          <w:b/>
          <w:sz w:val="24"/>
          <w:lang w:val="en-GB"/>
        </w:rPr>
        <w:t>Image calibration</w:t>
      </w:r>
    </w:p>
    <w:p w14:paraId="54F1125D" w14:textId="006A0417" w:rsidR="005A3F71" w:rsidRPr="0001203E" w:rsidRDefault="00302DB6">
      <w:pPr>
        <w:spacing w:after="0" w:line="480" w:lineRule="auto"/>
        <w:contextualSpacing/>
        <w:jc w:val="both"/>
        <w:rPr>
          <w:rFonts w:ascii="Times New Roman" w:hAnsi="Times New Roman"/>
          <w:sz w:val="24"/>
          <w:lang w:val="en-GB"/>
        </w:rPr>
      </w:pPr>
      <w:r w:rsidRPr="00DC4D1E">
        <w:rPr>
          <w:rFonts w:ascii="Times New Roman" w:hAnsi="Times New Roman"/>
          <w:sz w:val="24"/>
          <w:lang w:val="en-GB"/>
        </w:rPr>
        <w:t>To ensure comparability of the gamma counter results and the image quantification of the SPECT/CT images at each study centre, three low-activity samples were centrally prepared and shipped to the study sites. The traceability of the activity in the samples was determined by measuring each sample in a high-purity germanium detector (Canberra</w:t>
      </w:r>
      <w:r w:rsidR="005A7CB6">
        <w:rPr>
          <w:rFonts w:ascii="Times New Roman" w:hAnsi="Times New Roman"/>
          <w:sz w:val="24"/>
          <w:lang w:val="en-GB"/>
        </w:rPr>
        <w:t xml:space="preserve"> </w:t>
      </w:r>
      <w:proofErr w:type="spellStart"/>
      <w:r w:rsidR="005A7CB6">
        <w:rPr>
          <w:rFonts w:ascii="Times New Roman" w:hAnsi="Times New Roman"/>
          <w:sz w:val="24"/>
          <w:lang w:val="en-GB"/>
        </w:rPr>
        <w:t>GmBH</w:t>
      </w:r>
      <w:proofErr w:type="spellEnd"/>
      <w:r w:rsidR="005A7CB6">
        <w:rPr>
          <w:rFonts w:ascii="Times New Roman" w:hAnsi="Times New Roman"/>
          <w:sz w:val="24"/>
          <w:lang w:val="en-GB"/>
        </w:rPr>
        <w:t>, Germany</w:t>
      </w:r>
      <w:r w:rsidRPr="00DC4D1E">
        <w:rPr>
          <w:rFonts w:ascii="Times New Roman" w:hAnsi="Times New Roman"/>
          <w:sz w:val="24"/>
          <w:lang w:val="en-GB"/>
        </w:rPr>
        <w:t>) at the central site. The counting efficiency of the detector was ascertained by using standards traceable to the National Institute of Standards and Technology and the</w:t>
      </w:r>
      <w:r w:rsidRPr="0099571E">
        <w:t xml:space="preserve"> </w:t>
      </w:r>
      <w:r w:rsidRPr="00DC4D1E">
        <w:rPr>
          <w:rFonts w:ascii="Times New Roman" w:hAnsi="Times New Roman"/>
          <w:sz w:val="24"/>
          <w:lang w:val="en-GB"/>
        </w:rPr>
        <w:t>National Physical Laboratory</w:t>
      </w:r>
      <w:r w:rsidR="007854C3">
        <w:rPr>
          <w:rFonts w:ascii="Times New Roman" w:hAnsi="Times New Roman"/>
          <w:sz w:val="24"/>
          <w:lang w:val="en-GB"/>
        </w:rPr>
        <w:t>, United Kingdom</w:t>
      </w:r>
      <w:r w:rsidRPr="00DC4D1E">
        <w:rPr>
          <w:rFonts w:ascii="Times New Roman" w:hAnsi="Times New Roman"/>
          <w:sz w:val="24"/>
          <w:lang w:val="en-GB"/>
        </w:rPr>
        <w:t>. In principle, the calibration process setup was as follows:</w:t>
      </w:r>
    </w:p>
    <w:p w14:paraId="3F5A5AE5" w14:textId="77777777" w:rsidR="005A3F71" w:rsidRPr="0001203E" w:rsidRDefault="00302DB6" w:rsidP="0001203E">
      <w:pPr>
        <w:pStyle w:val="ListParagraph"/>
        <w:numPr>
          <w:ilvl w:val="0"/>
          <w:numId w:val="18"/>
        </w:numPr>
        <w:spacing w:line="480" w:lineRule="auto"/>
        <w:ind w:left="810" w:hanging="450"/>
        <w:jc w:val="both"/>
        <w:rPr>
          <w:rFonts w:ascii="Times New Roman" w:hAnsi="Times New Roman"/>
          <w:sz w:val="24"/>
          <w:lang w:val="en-GB"/>
        </w:rPr>
      </w:pPr>
      <w:r w:rsidRPr="00A32B39">
        <w:rPr>
          <w:rFonts w:ascii="Times New Roman" w:hAnsi="Times New Roman"/>
          <w:sz w:val="24"/>
          <w:lang w:val="en-GB"/>
        </w:rPr>
        <w:lastRenderedPageBreak/>
        <w:t xml:space="preserve">On-site preparation of two different dilutions of </w:t>
      </w:r>
      <w:r w:rsidRPr="0099571E">
        <w:rPr>
          <w:rFonts w:ascii="Times New Roman" w:hAnsi="Times New Roman"/>
          <w:sz w:val="24"/>
          <w:vertAlign w:val="superscript"/>
        </w:rPr>
        <w:t>177</w:t>
      </w:r>
      <w:r w:rsidRPr="0099571E">
        <w:rPr>
          <w:rFonts w:ascii="Times New Roman" w:hAnsi="Times New Roman"/>
          <w:sz w:val="24"/>
        </w:rPr>
        <w:t>Lu</w:t>
      </w:r>
      <w:r w:rsidRPr="00A32B39">
        <w:rPr>
          <w:rFonts w:ascii="Times New Roman" w:hAnsi="Times New Roman"/>
          <w:sz w:val="24"/>
          <w:lang w:val="en-GB"/>
        </w:rPr>
        <w:t xml:space="preserve"> activity, determined in a calibrated activity meter, for filling a phantom for SPECT/CT imaging and for calibrating the well counter.</w:t>
      </w:r>
    </w:p>
    <w:p w14:paraId="085DC642" w14:textId="77777777" w:rsidR="005A3F71" w:rsidRPr="0001203E" w:rsidRDefault="00302DB6" w:rsidP="0001203E">
      <w:pPr>
        <w:pStyle w:val="ListParagraph"/>
        <w:numPr>
          <w:ilvl w:val="0"/>
          <w:numId w:val="18"/>
        </w:numPr>
        <w:spacing w:line="480" w:lineRule="auto"/>
        <w:ind w:left="810" w:hanging="450"/>
        <w:jc w:val="both"/>
        <w:rPr>
          <w:rFonts w:ascii="Times New Roman" w:hAnsi="Times New Roman"/>
          <w:sz w:val="24"/>
          <w:lang w:val="en-GB"/>
        </w:rPr>
      </w:pPr>
      <w:r w:rsidRPr="00A32B39">
        <w:rPr>
          <w:rFonts w:ascii="Times New Roman" w:hAnsi="Times New Roman"/>
          <w:sz w:val="24"/>
          <w:lang w:val="en-GB"/>
        </w:rPr>
        <w:t>Determination of the image calibration factor (ICF) by imaging a phantom with SPECT/CT with standardi</w:t>
      </w:r>
      <w:r w:rsidRPr="00DC4D1E">
        <w:rPr>
          <w:rFonts w:ascii="Times New Roman" w:hAnsi="Times New Roman"/>
          <w:sz w:val="24"/>
          <w:lang w:val="en-GB"/>
        </w:rPr>
        <w:t>sed acquisition and reconstruction settings.</w:t>
      </w:r>
    </w:p>
    <w:p w14:paraId="108B74E5" w14:textId="77777777" w:rsidR="005A3F71" w:rsidRPr="0001203E" w:rsidRDefault="00302DB6" w:rsidP="0001203E">
      <w:pPr>
        <w:pStyle w:val="ListParagraph"/>
        <w:numPr>
          <w:ilvl w:val="0"/>
          <w:numId w:val="18"/>
        </w:numPr>
        <w:spacing w:line="480" w:lineRule="auto"/>
        <w:ind w:left="810" w:hanging="450"/>
        <w:jc w:val="both"/>
        <w:rPr>
          <w:rFonts w:ascii="Times New Roman" w:hAnsi="Times New Roman"/>
          <w:sz w:val="24"/>
          <w:lang w:val="en-GB"/>
        </w:rPr>
      </w:pPr>
      <w:r w:rsidRPr="00A32B39">
        <w:rPr>
          <w:rFonts w:ascii="Times New Roman" w:hAnsi="Times New Roman"/>
          <w:sz w:val="24"/>
          <w:lang w:val="en-GB"/>
        </w:rPr>
        <w:t>Determination of the well counter calibration factor.</w:t>
      </w:r>
    </w:p>
    <w:p w14:paraId="51104165" w14:textId="77777777" w:rsidR="005A3F71" w:rsidRPr="0001203E" w:rsidRDefault="00302DB6" w:rsidP="0001203E">
      <w:pPr>
        <w:pStyle w:val="ListParagraph"/>
        <w:numPr>
          <w:ilvl w:val="0"/>
          <w:numId w:val="18"/>
        </w:numPr>
        <w:spacing w:line="480" w:lineRule="auto"/>
        <w:ind w:left="810" w:hanging="450"/>
        <w:jc w:val="both"/>
        <w:rPr>
          <w:rFonts w:ascii="Times New Roman" w:hAnsi="Times New Roman"/>
          <w:sz w:val="24"/>
          <w:lang w:val="en-GB"/>
        </w:rPr>
      </w:pPr>
      <w:r w:rsidRPr="00A32B39">
        <w:rPr>
          <w:rFonts w:ascii="Times New Roman" w:hAnsi="Times New Roman"/>
          <w:sz w:val="24"/>
          <w:lang w:val="en-GB"/>
        </w:rPr>
        <w:t xml:space="preserve">Measurement of three calibrated low-activity well counter samples </w:t>
      </w:r>
      <w:r w:rsidRPr="00DC4D1E">
        <w:rPr>
          <w:rFonts w:ascii="Times New Roman" w:hAnsi="Times New Roman"/>
          <w:sz w:val="24"/>
          <w:lang w:val="en-GB"/>
        </w:rPr>
        <w:t>provided by the central site.</w:t>
      </w:r>
    </w:p>
    <w:p w14:paraId="77A98F1D" w14:textId="77777777" w:rsidR="005A3F71" w:rsidRPr="0001203E" w:rsidRDefault="00302DB6" w:rsidP="0001203E">
      <w:pPr>
        <w:pStyle w:val="ListParagraph"/>
        <w:numPr>
          <w:ilvl w:val="0"/>
          <w:numId w:val="18"/>
        </w:numPr>
        <w:spacing w:after="0" w:line="480" w:lineRule="auto"/>
        <w:ind w:left="806" w:hanging="446"/>
        <w:jc w:val="both"/>
        <w:rPr>
          <w:rFonts w:ascii="Times New Roman" w:hAnsi="Times New Roman"/>
          <w:sz w:val="24"/>
          <w:lang w:val="en-GB"/>
        </w:rPr>
      </w:pPr>
      <w:r w:rsidRPr="00A32B39">
        <w:rPr>
          <w:rFonts w:ascii="Times New Roman" w:hAnsi="Times New Roman"/>
          <w:sz w:val="24"/>
          <w:lang w:val="en-GB"/>
        </w:rPr>
        <w:t>Comparison of the activity values of the three samples to the values provided by the central site. If the deviations were &gt;10%, the procedure was to be repeated until an acceptable deviation was reached.</w:t>
      </w:r>
    </w:p>
    <w:p w14:paraId="3EE43A0E" w14:textId="77777777" w:rsidR="005A3F71" w:rsidRPr="0001203E" w:rsidRDefault="00302DB6" w:rsidP="0001203E">
      <w:pPr>
        <w:pStyle w:val="ListParagraph"/>
        <w:numPr>
          <w:ilvl w:val="0"/>
          <w:numId w:val="18"/>
        </w:numPr>
        <w:spacing w:after="0" w:line="480" w:lineRule="auto"/>
        <w:ind w:left="806" w:hanging="446"/>
        <w:jc w:val="both"/>
        <w:rPr>
          <w:rFonts w:ascii="Times New Roman" w:hAnsi="Times New Roman"/>
          <w:sz w:val="24"/>
          <w:lang w:val="en-GB"/>
        </w:rPr>
      </w:pPr>
      <w:r w:rsidRPr="00A32B39">
        <w:rPr>
          <w:rFonts w:ascii="Times New Roman" w:hAnsi="Times New Roman"/>
          <w:sz w:val="24"/>
          <w:lang w:val="en-GB"/>
        </w:rPr>
        <w:t xml:space="preserve">Well counter measurement of a low-activity aliquot of the stock solution for filling the phantom. If the value of the diluted activity and the value measured in the gamma counter deviated by </w:t>
      </w:r>
      <w:r w:rsidRPr="00DC4D1E">
        <w:rPr>
          <w:rFonts w:ascii="Times New Roman" w:hAnsi="Times New Roman"/>
          <w:sz w:val="24"/>
          <w:lang w:val="en-GB"/>
        </w:rPr>
        <w:t>&gt;10%, the procedure was to be repeated until an acceptable deviation was reached.</w:t>
      </w:r>
    </w:p>
    <w:p w14:paraId="549401ED" w14:textId="77777777" w:rsidR="005A3F71" w:rsidRPr="0001203E" w:rsidRDefault="00302DB6" w:rsidP="0001203E">
      <w:pPr>
        <w:pStyle w:val="ListParagraph"/>
        <w:numPr>
          <w:ilvl w:val="0"/>
          <w:numId w:val="18"/>
        </w:numPr>
        <w:spacing w:line="480" w:lineRule="auto"/>
        <w:ind w:left="806" w:hanging="446"/>
        <w:contextualSpacing w:val="0"/>
        <w:jc w:val="both"/>
        <w:rPr>
          <w:rFonts w:ascii="Times New Roman" w:hAnsi="Times New Roman"/>
          <w:sz w:val="24"/>
          <w:lang w:val="en-GB"/>
        </w:rPr>
      </w:pPr>
      <w:r w:rsidRPr="00A32B39">
        <w:rPr>
          <w:rFonts w:ascii="Times New Roman" w:hAnsi="Times New Roman"/>
          <w:sz w:val="24"/>
          <w:lang w:val="en-GB"/>
        </w:rPr>
        <w:t xml:space="preserve">Comparison of the </w:t>
      </w:r>
      <w:proofErr w:type="gramStart"/>
      <w:r w:rsidRPr="00A32B39">
        <w:rPr>
          <w:rFonts w:ascii="Times New Roman" w:hAnsi="Times New Roman"/>
          <w:sz w:val="24"/>
          <w:lang w:val="en-GB"/>
        </w:rPr>
        <w:t>vendor-specific</w:t>
      </w:r>
      <w:proofErr w:type="gramEnd"/>
      <w:r w:rsidRPr="00A32B39">
        <w:rPr>
          <w:rFonts w:ascii="Times New Roman" w:hAnsi="Times New Roman"/>
          <w:sz w:val="24"/>
          <w:lang w:val="en-GB"/>
        </w:rPr>
        <w:t xml:space="preserve"> ICF to the ICF of the calibration site (for SIEMENS SPECT/CT systems only). If the deviation was &lt;5%, the site-specific ICF was deemed acceptable.</w:t>
      </w:r>
    </w:p>
    <w:p w14:paraId="4D1ACEF1" w14:textId="77777777" w:rsidR="005A3F71" w:rsidRPr="0001203E" w:rsidRDefault="00302DB6">
      <w:pPr>
        <w:rPr>
          <w:rFonts w:ascii="Times New Roman" w:hAnsi="Times New Roman"/>
          <w:b/>
          <w:sz w:val="24"/>
          <w:lang w:val="en-GB"/>
        </w:rPr>
      </w:pPr>
      <w:r w:rsidRPr="00DC4D1E">
        <w:rPr>
          <w:rFonts w:ascii="Times New Roman" w:hAnsi="Times New Roman"/>
          <w:b/>
          <w:sz w:val="24"/>
          <w:lang w:val="en-GB"/>
        </w:rPr>
        <w:t>Dosimetry</w:t>
      </w:r>
    </w:p>
    <w:p w14:paraId="1881D855" w14:textId="2E3159F0" w:rsidR="005A3F71" w:rsidRPr="0001203E" w:rsidRDefault="00302DB6">
      <w:pPr>
        <w:spacing w:after="0" w:line="480" w:lineRule="auto"/>
        <w:contextualSpacing/>
        <w:jc w:val="both"/>
        <w:rPr>
          <w:rFonts w:ascii="Times New Roman" w:hAnsi="Times New Roman"/>
          <w:sz w:val="24"/>
          <w:lang w:val="en-GB"/>
        </w:rPr>
      </w:pPr>
      <w:r w:rsidRPr="00DC4D1E">
        <w:rPr>
          <w:rFonts w:ascii="Times New Roman" w:hAnsi="Times New Roman"/>
          <w:sz w:val="24"/>
          <w:lang w:val="en-GB"/>
        </w:rPr>
        <w:t xml:space="preserve">Patient-specific dosimetry calculations were performed according to European Association of Nuclear Medicine Dosimetry Guidance </w:t>
      </w:r>
      <w:r w:rsidR="001B73F3">
        <w:rPr>
          <w:rFonts w:ascii="Times New Roman" w:hAnsi="Times New Roman" w:cs="Times New Roman"/>
          <w:sz w:val="24"/>
          <w:szCs w:val="24"/>
          <w:lang w:val="en-GB"/>
        </w:rPr>
        <w:fldChar w:fldCharType="begin">
          <w:fldData xml:space="preserve">PEVuZE5vdGU+PENpdGU+PEF1dGhvcj5MYXNzbWFubjwvQXV0aG9yPjxZZWFyPjIwMTE8L1llYXI+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</w:fldData>
        </w:fldChar>
      </w:r>
      <w:r w:rsidR="009C66D1">
        <w:rPr>
          <w:rFonts w:ascii="Times New Roman" w:hAnsi="Times New Roman" w:cs="Times New Roman"/>
          <w:sz w:val="24"/>
          <w:szCs w:val="24"/>
          <w:lang w:val="en-GB"/>
        </w:rPr>
        <w:instrText xml:space="preserve"> ADDIN EN.CITE </w:instrText>
      </w:r>
      <w:r w:rsidR="009C66D1">
        <w:rPr>
          <w:rFonts w:ascii="Times New Roman" w:hAnsi="Times New Roman" w:cs="Times New Roman"/>
          <w:sz w:val="24"/>
          <w:szCs w:val="24"/>
          <w:lang w:val="en-GB"/>
        </w:rPr>
        <w:fldChar w:fldCharType="begin">
          <w:fldData xml:space="preserve">PEVuZE5vdGU+PENpdGU+PEF1dGhvcj5MYXNzbWFubjwvQXV0aG9yPjxZZWFyPjIwMTE8L1llYXI+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</w:fldData>
        </w:fldChar>
      </w:r>
      <w:r w:rsidR="009C66D1">
        <w:rPr>
          <w:rFonts w:ascii="Times New Roman" w:hAnsi="Times New Roman" w:cs="Times New Roman"/>
          <w:sz w:val="24"/>
          <w:szCs w:val="24"/>
          <w:lang w:val="en-GB"/>
        </w:rPr>
        <w:instrText xml:space="preserve"> ADDIN EN.CITE.DATA </w:instrText>
      </w:r>
      <w:r w:rsidR="009C66D1">
        <w:rPr>
          <w:rFonts w:ascii="Times New Roman" w:hAnsi="Times New Roman" w:cs="Times New Roman"/>
          <w:sz w:val="24"/>
          <w:szCs w:val="24"/>
          <w:lang w:val="en-GB"/>
        </w:rPr>
      </w:r>
      <w:r w:rsidR="009C66D1">
        <w:rPr>
          <w:rFonts w:ascii="Times New Roman" w:hAnsi="Times New Roman" w:cs="Times New Roman"/>
          <w:sz w:val="24"/>
          <w:szCs w:val="24"/>
          <w:lang w:val="en-GB"/>
        </w:rPr>
        <w:fldChar w:fldCharType="end"/>
      </w:r>
      <w:r w:rsidR="001B73F3">
        <w:rPr>
          <w:rFonts w:ascii="Times New Roman" w:hAnsi="Times New Roman" w:cs="Times New Roman"/>
          <w:sz w:val="24"/>
          <w:szCs w:val="24"/>
          <w:lang w:val="en-GB"/>
        </w:rPr>
        <w:fldChar w:fldCharType="separate"/>
      </w:r>
      <w:r w:rsidR="009C66D1">
        <w:rPr>
          <w:rFonts w:ascii="Times New Roman" w:hAnsi="Times New Roman" w:cs="Times New Roman"/>
          <w:noProof/>
          <w:sz w:val="24"/>
          <w:szCs w:val="24"/>
          <w:lang w:val="en-GB"/>
        </w:rPr>
        <w:t>[5]</w:t>
      </w:r>
      <w:r w:rsidR="001B73F3">
        <w:rPr>
          <w:rFonts w:ascii="Times New Roman" w:hAnsi="Times New Roman" w:cs="Times New Roman"/>
          <w:sz w:val="24"/>
          <w:szCs w:val="24"/>
          <w:lang w:val="en-GB"/>
        </w:rPr>
        <w:fldChar w:fldCharType="end"/>
      </w:r>
      <w:r w:rsidRPr="00DC4D1E">
        <w:rPr>
          <w:rFonts w:ascii="Times New Roman" w:hAnsi="Times New Roman"/>
          <w:sz w:val="24"/>
          <w:lang w:val="en-GB"/>
        </w:rPr>
        <w:t xml:space="preserve"> after each treatment cycle in both parts A and B, using the absorbed dose calculation features of the NUKDOS software </w:t>
      </w:r>
      <w:r w:rsidR="001B73F3">
        <w:rPr>
          <w:rFonts w:ascii="Times New Roman" w:hAnsi="Times New Roman" w:cs="Times New Roman"/>
          <w:sz w:val="24"/>
          <w:szCs w:val="24"/>
          <w:lang w:val="en-GB"/>
        </w:rPr>
        <w:fldChar w:fldCharType="begin"/>
      </w:r>
      <w:r w:rsidR="009C66D1">
        <w:rPr>
          <w:rFonts w:ascii="Times New Roman" w:hAnsi="Times New Roman" w:cs="Times New Roman"/>
          <w:sz w:val="24"/>
          <w:szCs w:val="24"/>
          <w:lang w:val="en-GB"/>
        </w:rPr>
        <w:instrText xml:space="preserve"> ADDIN EN.CITE &lt;EndNote&gt;&lt;Cite&gt;&lt;Author&gt;Kletting&lt;/Author&gt;&lt;Year&gt;2015&lt;/Year&gt;&lt;RecNum&gt;19&lt;/RecNum&gt;&lt;DisplayText&gt;[2]&lt;/DisplayText&gt;&lt;record&gt;&lt;rec-number&gt;19&lt;/rec-number&gt;&lt;foreign-keys&gt;&lt;key app="EN" db-id="dezze9rzn5wfrueapezvwfd3dfxw5pzfa99f" timestamp="1656432337"&gt;19&lt;/key&gt;&lt;/foreign-keys&gt;&lt;ref-type name="Journal Article"&gt;17&lt;/ref-type&gt;&lt;contributors&gt;&lt;authors&gt;&lt;author&gt;Kletting, Peter&lt;/author&gt;&lt;author&gt;Schimmel, Sebastian&lt;/author&gt;&lt;author&gt;Hänscheid, Heribert&lt;/author&gt;&lt;author&gt;Luster, Markus&lt;/author&gt;&lt;author&gt;Fernández, Maria&lt;/author&gt;&lt;author&gt;Nosske, Dietmar&lt;/author&gt;&lt;author&gt;Lassmann, Michael&lt;/author&gt;&lt;author&gt;Glatting, Gerhard&lt;/author&gt;&lt;/authors&gt;&lt;/contributors&gt;&lt;titles&gt;&lt;title&gt;The NUKDOS software for treatment planning in molecular radiotherapy&lt;/title&gt;&lt;secondary-title&gt;Zeitschrift für Medizinische Physik&lt;/secondary-title&gt;&lt;/titles&gt;&lt;periodical&gt;&lt;full-title&gt;Zeitschrift für Medizinische Physik&lt;/full-title&gt;&lt;/periodical&gt;&lt;pages&gt;264-274&lt;/pages&gt;&lt;volume&gt;25&lt;/volume&gt;&lt;number&gt;3&lt;/number&gt;&lt;keywords&gt;&lt;keyword&gt;Dosimetry&lt;/keyword&gt;&lt;keyword&gt;Software&lt;/keyword&gt;&lt;keyword&gt;Molecular radiotherapy&lt;/keyword&gt;&lt;keyword&gt;Treatment planning&lt;/keyword&gt;&lt;keyword&gt;Dosimetrie&lt;/keyword&gt;&lt;keyword&gt;Molekulare Radiotherapie&lt;/keyword&gt;&lt;keyword&gt;Therapieplanung&lt;/keyword&gt;&lt;/keywords&gt;&lt;dates&gt;&lt;year&gt;2015&lt;/year&gt;&lt;pub-dates&gt;&lt;date&gt;2015/09/01/&lt;/date&gt;&lt;/pub-dates&gt;&lt;/dates&gt;&lt;isbn&gt;0939-3889&lt;/isbn&gt;&lt;urls&gt;&lt;related-urls&gt;&lt;url&gt;https://www.sciencedirect.com/science/article/pii/S0939388915000021&lt;/url&gt;&lt;/related-urls&gt;&lt;/urls&gt;&lt;electronic-resource-num&gt;https://doi.org/10.1016/j.zemedi.2015.01.001&lt;/electronic-resource-num&gt;&lt;/record&gt;&lt;/Cite&gt;&lt;/EndNote&gt;</w:instrText>
      </w:r>
      <w:r w:rsidR="001B73F3">
        <w:rPr>
          <w:rFonts w:ascii="Times New Roman" w:hAnsi="Times New Roman" w:cs="Times New Roman"/>
          <w:sz w:val="24"/>
          <w:szCs w:val="24"/>
          <w:lang w:val="en-GB"/>
        </w:rPr>
        <w:fldChar w:fldCharType="separate"/>
      </w:r>
      <w:r w:rsidR="009C66D1">
        <w:rPr>
          <w:rFonts w:ascii="Times New Roman" w:hAnsi="Times New Roman" w:cs="Times New Roman"/>
          <w:noProof/>
          <w:sz w:val="24"/>
          <w:szCs w:val="24"/>
          <w:lang w:val="en-GB"/>
        </w:rPr>
        <w:t>[2]</w:t>
      </w:r>
      <w:r w:rsidR="001B73F3">
        <w:rPr>
          <w:rFonts w:ascii="Times New Roman" w:hAnsi="Times New Roman" w:cs="Times New Roman"/>
          <w:sz w:val="24"/>
          <w:szCs w:val="24"/>
          <w:lang w:val="en-GB"/>
        </w:rPr>
        <w:fldChar w:fldCharType="end"/>
      </w:r>
      <w:r w:rsidR="001B73F3">
        <w:rPr>
          <w:rFonts w:ascii="Times New Roman" w:hAnsi="Times New Roman" w:cs="Times New Roman"/>
          <w:sz w:val="24"/>
          <w:szCs w:val="24"/>
          <w:lang w:val="en-GB"/>
        </w:rPr>
        <w:t xml:space="preserve"> (i.e.,</w:t>
      </w:r>
      <w:r w:rsidRPr="00DC4D1E">
        <w:rPr>
          <w:rFonts w:ascii="Times New Roman" w:hAnsi="Times New Roman"/>
          <w:sz w:val="24"/>
          <w:lang w:val="en-GB"/>
        </w:rPr>
        <w:t xml:space="preserve"> integration of the time-activity curves, calculation of the absorbed dose). Model-based dosimetry calculations were only </w:t>
      </w:r>
      <w:r w:rsidRPr="00DC4D1E">
        <w:rPr>
          <w:rFonts w:ascii="Times New Roman" w:hAnsi="Times New Roman"/>
          <w:sz w:val="24"/>
          <w:lang w:val="en-GB"/>
        </w:rPr>
        <w:lastRenderedPageBreak/>
        <w:t xml:space="preserve">performed after the first </w:t>
      </w:r>
      <w:r w:rsidR="00F6446F" w:rsidRPr="00F6446F">
        <w:rPr>
          <w:rFonts w:ascii="Times New Roman" w:hAnsi="Times New Roman"/>
          <w:sz w:val="24"/>
        </w:rPr>
        <w:t>[</w:t>
      </w:r>
      <w:r w:rsidR="00F6446F" w:rsidRPr="00F6446F">
        <w:rPr>
          <w:rFonts w:ascii="Times New Roman" w:hAnsi="Times New Roman"/>
          <w:sz w:val="24"/>
          <w:vertAlign w:val="superscript"/>
        </w:rPr>
        <w:t>177</w:t>
      </w:r>
      <w:proofErr w:type="gramStart"/>
      <w:r w:rsidR="00F6446F" w:rsidRPr="00F6446F">
        <w:rPr>
          <w:rFonts w:ascii="Times New Roman" w:hAnsi="Times New Roman"/>
          <w:sz w:val="24"/>
        </w:rPr>
        <w:t>Lu]Lu</w:t>
      </w:r>
      <w:proofErr w:type="gramEnd"/>
      <w:r w:rsidR="00F6446F" w:rsidRPr="00F6446F">
        <w:rPr>
          <w:rFonts w:ascii="Times New Roman" w:hAnsi="Times New Roman"/>
          <w:sz w:val="24"/>
        </w:rPr>
        <w:t>-</w:t>
      </w:r>
      <w:proofErr w:type="spellStart"/>
      <w:r w:rsidR="00F6446F" w:rsidRPr="00F6446F">
        <w:rPr>
          <w:rFonts w:ascii="Times New Roman" w:hAnsi="Times New Roman"/>
          <w:sz w:val="24"/>
        </w:rPr>
        <w:t>satoreotide</w:t>
      </w:r>
      <w:proofErr w:type="spellEnd"/>
      <w:r w:rsidR="00AC4E8F">
        <w:rPr>
          <w:rFonts w:ascii="Times New Roman" w:hAnsi="Times New Roman"/>
          <w:sz w:val="24"/>
        </w:rPr>
        <w:t xml:space="preserve"> </w:t>
      </w:r>
      <w:r w:rsidRPr="00BB582E">
        <w:rPr>
          <w:rFonts w:ascii="Times New Roman" w:hAnsi="Times New Roman"/>
          <w:sz w:val="24"/>
        </w:rPr>
        <w:t>tetraxetan</w:t>
      </w:r>
      <w:r w:rsidRPr="00DC4D1E">
        <w:rPr>
          <w:rFonts w:ascii="Times New Roman" w:hAnsi="Times New Roman"/>
          <w:sz w:val="24"/>
          <w:lang w:val="en-GB"/>
        </w:rPr>
        <w:t xml:space="preserve"> cycle and for patients in part B. To generate organ-specific absorbed doses, TIACs were used as input data in the Organ Level </w:t>
      </w:r>
      <w:proofErr w:type="spellStart"/>
      <w:r w:rsidRPr="00DC4D1E">
        <w:rPr>
          <w:rFonts w:ascii="Times New Roman" w:hAnsi="Times New Roman"/>
          <w:sz w:val="24"/>
          <w:lang w:val="en-GB"/>
        </w:rPr>
        <w:t>INternal</w:t>
      </w:r>
      <w:proofErr w:type="spellEnd"/>
      <w:r w:rsidRPr="00DC4D1E">
        <w:rPr>
          <w:rFonts w:ascii="Times New Roman" w:hAnsi="Times New Roman"/>
          <w:sz w:val="24"/>
          <w:lang w:val="en-GB"/>
        </w:rPr>
        <w:t xml:space="preserve"> Dose Assessment/</w:t>
      </w:r>
      <w:proofErr w:type="spellStart"/>
      <w:r w:rsidRPr="00DC4D1E">
        <w:rPr>
          <w:rFonts w:ascii="Times New Roman" w:hAnsi="Times New Roman"/>
          <w:sz w:val="24"/>
          <w:lang w:val="en-GB"/>
        </w:rPr>
        <w:t>EXponential</w:t>
      </w:r>
      <w:proofErr w:type="spellEnd"/>
      <w:r w:rsidRPr="00DC4D1E">
        <w:rPr>
          <w:rFonts w:ascii="Times New Roman" w:hAnsi="Times New Roman"/>
          <w:sz w:val="24"/>
          <w:lang w:val="en-GB"/>
        </w:rPr>
        <w:t xml:space="preserve"> Modelling (OLINDA/EXM) software version 1.0, which was granted Food and Drug Administration 510(k) clearance in June 2004. The following settings were applied: </w:t>
      </w:r>
      <w:r w:rsidRPr="00BB582E">
        <w:rPr>
          <w:rFonts w:ascii="Times New Roman" w:hAnsi="Times New Roman"/>
          <w:sz w:val="24"/>
          <w:vertAlign w:val="superscript"/>
        </w:rPr>
        <w:t>177</w:t>
      </w:r>
      <w:r w:rsidRPr="00BB582E">
        <w:rPr>
          <w:rFonts w:ascii="Times New Roman" w:hAnsi="Times New Roman"/>
          <w:sz w:val="24"/>
        </w:rPr>
        <w:t>Lu</w:t>
      </w:r>
      <w:r w:rsidRPr="00DC4D1E">
        <w:rPr>
          <w:rFonts w:ascii="Times New Roman" w:hAnsi="Times New Roman"/>
          <w:sz w:val="24"/>
          <w:lang w:val="en-GB"/>
        </w:rPr>
        <w:t xml:space="preserve"> isotope, no bladder voiding model, adult male or female phantom. As the OLINDA/EXM software makes no distinction between the right and left kidneys, their TIACs were summed. In case biokinetic data were available for one kidney only, the kidney TIAC value was doubled. For the bone marrow, the patient-specific mass of the analysed vertebrae was used for upscaling image-based TIAC values according to the OLINDA/EXM phantom gender-specific masses (</w:t>
      </w:r>
      <w:proofErr w:type="spellStart"/>
      <w:r w:rsidRPr="00DC4D1E">
        <w:rPr>
          <w:rFonts w:ascii="Times New Roman" w:hAnsi="Times New Roman"/>
          <w:sz w:val="24"/>
          <w:lang w:val="en-GB"/>
        </w:rPr>
        <w:t>m</w:t>
      </w:r>
      <w:r w:rsidRPr="00DC4D1E">
        <w:rPr>
          <w:rFonts w:ascii="Times New Roman" w:hAnsi="Times New Roman"/>
          <w:sz w:val="24"/>
          <w:vertAlign w:val="subscript"/>
          <w:lang w:val="en-GB"/>
        </w:rPr>
        <w:t>Bone</w:t>
      </w:r>
      <w:proofErr w:type="spellEnd"/>
      <w:r w:rsidRPr="00DC4D1E">
        <w:rPr>
          <w:rFonts w:ascii="Times New Roman" w:hAnsi="Times New Roman"/>
          <w:sz w:val="24"/>
          <w:vertAlign w:val="subscript"/>
          <w:lang w:val="en-GB"/>
        </w:rPr>
        <w:t xml:space="preserve"> marrow</w:t>
      </w:r>
      <w:r w:rsidRPr="00DC4D1E">
        <w:rPr>
          <w:rFonts w:ascii="Times New Roman" w:hAnsi="Times New Roman"/>
          <w:sz w:val="24"/>
          <w:lang w:val="en-GB"/>
        </w:rPr>
        <w:t>=1,120 g for males and 1,300 g for females):</w:t>
      </w:r>
    </w:p>
    <w:p w14:paraId="4854F41E" w14:textId="77777777" w:rsidR="005A3F71" w:rsidRPr="0001203E" w:rsidRDefault="009C66D1">
      <w:pPr>
        <w:spacing w:after="0" w:line="480" w:lineRule="auto"/>
        <w:contextualSpacing/>
        <w:jc w:val="both"/>
        <w:rPr>
          <w:rFonts w:ascii="Times New Roman" w:hAnsi="Times New Roman"/>
          <w:sz w:val="24"/>
          <w:lang w:val="en-GB"/>
        </w:rPr>
      </w:pPr>
      <m:oMathPara>
        <m:oMath>
          <m:sSub>
            <m:sSubPr>
              <m:ctrlPr>
                <w:rPr>
                  <w:rFonts w:ascii="Cambria Math" w:hAnsi="Cambria Math"/>
                  <w:sz w:val="24"/>
                  <w:lang w:val="en-GB"/>
                </w:rPr>
              </m:ctrlPr>
            </m:sSubPr>
            <m:e>
              <m:r>
                <w:rPr>
                  <w:rFonts w:ascii="Cambria Math" w:hAnsi="Cambria Math"/>
                  <w:sz w:val="24"/>
                  <w:lang w:val="en-GB"/>
                </w:rPr>
                <m:t>TIAC</m:t>
              </m:r>
            </m:e>
            <m:sub>
              <m:r>
                <w:rPr>
                  <w:rFonts w:ascii="Cambria Math" w:hAnsi="Cambria Math"/>
                  <w:sz w:val="24"/>
                  <w:lang w:val="en-GB"/>
                </w:rPr>
                <m:t>Bone</m:t>
              </m:r>
              <m:r>
                <m:rPr>
                  <m:sty m:val="p"/>
                </m:rPr>
                <w:rPr>
                  <w:rFonts w:ascii="Cambria Math" w:hAnsi="Cambria Math"/>
                  <w:sz w:val="24"/>
                  <w:lang w:val="en-GB"/>
                </w:rPr>
                <m:t xml:space="preserve"> </m:t>
              </m:r>
              <m:r>
                <w:rPr>
                  <w:rFonts w:ascii="Cambria Math" w:hAnsi="Cambria Math"/>
                  <w:sz w:val="24"/>
                  <w:lang w:val="en-GB"/>
                </w:rPr>
                <m:t>marrow</m:t>
              </m:r>
            </m:sub>
          </m:sSub>
          <m:r>
            <w:rPr>
              <w:rFonts w:ascii="Cambria Math" w:hAnsi="Cambria Math"/>
              <w:sz w:val="24"/>
              <w:lang w:val="en-GB"/>
            </w:rPr>
            <m:t>=</m:t>
          </m:r>
          <m:r>
            <m:rPr>
              <m:sty m:val="p"/>
            </m:rPr>
            <w:rPr>
              <w:rFonts w:ascii="Cambria Math" w:hAnsi="Cambria Math"/>
              <w:sz w:val="24"/>
              <w:lang w:val="en-GB"/>
            </w:rPr>
            <m:t xml:space="preserve"> </m:t>
          </m:r>
          <m:sSub>
            <m:sSubPr>
              <m:ctrlPr>
                <w:rPr>
                  <w:rFonts w:ascii="Cambria Math" w:hAnsi="Cambria Math"/>
                  <w:sz w:val="24"/>
                  <w:lang w:val="en-GB"/>
                </w:rPr>
              </m:ctrlPr>
            </m:sSubPr>
            <m:e>
              <m:r>
                <w:rPr>
                  <w:rFonts w:ascii="Cambria Math" w:hAnsi="Cambria Math"/>
                  <w:sz w:val="24"/>
                  <w:lang w:val="en-GB"/>
                </w:rPr>
                <m:t>TIAC</m:t>
              </m:r>
            </m:e>
            <m:sub>
              <m:r>
                <w:rPr>
                  <w:rFonts w:ascii="Cambria Math" w:hAnsi="Cambria Math"/>
                  <w:sz w:val="24"/>
                  <w:lang w:val="en-GB"/>
                </w:rPr>
                <m:t>L2-L4</m:t>
              </m:r>
            </m:sub>
          </m:sSub>
          <m:f>
            <m:fPr>
              <m:ctrlPr>
                <w:rPr>
                  <w:rFonts w:ascii="Cambria Math" w:hAnsi="Cambria Math"/>
                  <w:sz w:val="24"/>
                  <w:lang w:val="en-GB"/>
                </w:rPr>
              </m:ctrlPr>
            </m:fPr>
            <m:num>
              <m:sSub>
                <m:sSubPr>
                  <m:ctrlPr>
                    <w:rPr>
                      <w:rFonts w:ascii="Cambria Math" w:hAnsi="Cambria Math"/>
                      <w:sz w:val="24"/>
                      <w:lang w:val="en-GB"/>
                    </w:rPr>
                  </m:ctrlPr>
                </m:sSubPr>
                <m:e>
                  <m:r>
                    <w:rPr>
                      <w:rFonts w:ascii="Cambria Math" w:hAnsi="Cambria Math"/>
                      <w:sz w:val="24"/>
                      <w:lang w:val="en-GB"/>
                    </w:rPr>
                    <m:t>m</m:t>
                  </m:r>
                </m:e>
                <m:sub>
                  <m:r>
                    <w:rPr>
                      <w:rFonts w:ascii="Cambria Math" w:hAnsi="Cambria Math"/>
                      <w:sz w:val="24"/>
                      <w:lang w:val="en-GB"/>
                    </w:rPr>
                    <m:t>Bone</m:t>
                  </m:r>
                  <m:r>
                    <m:rPr>
                      <m:sty m:val="p"/>
                    </m:rPr>
                    <w:rPr>
                      <w:rFonts w:ascii="Cambria Math" w:hAnsi="Cambria Math"/>
                      <w:sz w:val="24"/>
                      <w:lang w:val="en-GB"/>
                    </w:rPr>
                    <m:t xml:space="preserve"> </m:t>
                  </m:r>
                  <m:r>
                    <w:rPr>
                      <w:rFonts w:ascii="Cambria Math" w:hAnsi="Cambria Math"/>
                      <w:sz w:val="24"/>
                      <w:lang w:val="en-GB"/>
                    </w:rPr>
                    <m:t>marrow</m:t>
                  </m:r>
                </m:sub>
              </m:sSub>
            </m:num>
            <m:den>
              <m:sSub>
                <m:sSubPr>
                  <m:ctrlPr>
                    <w:rPr>
                      <w:rFonts w:ascii="Cambria Math" w:hAnsi="Cambria Math"/>
                      <w:sz w:val="24"/>
                      <w:lang w:val="en-GB"/>
                    </w:rPr>
                  </m:ctrlPr>
                </m:sSubPr>
                <m:e>
                  <m:r>
                    <w:rPr>
                      <w:rFonts w:ascii="Cambria Math" w:hAnsi="Cambria Math"/>
                      <w:sz w:val="24"/>
                      <w:lang w:val="en-GB"/>
                    </w:rPr>
                    <m:t>m</m:t>
                  </m:r>
                </m:e>
                <m:sub>
                  <m:r>
                    <w:rPr>
                      <w:rFonts w:ascii="Cambria Math" w:hAnsi="Cambria Math"/>
                      <w:sz w:val="24"/>
                      <w:lang w:val="en-GB"/>
                    </w:rPr>
                    <m:t>L2-L4</m:t>
                  </m:r>
                </m:sub>
              </m:sSub>
            </m:den>
          </m:f>
        </m:oMath>
      </m:oMathPara>
    </w:p>
    <w:p w14:paraId="06D9C931" w14:textId="77777777" w:rsidR="005A3F71" w:rsidRPr="0001203E" w:rsidRDefault="00302DB6">
      <w:pPr>
        <w:spacing w:before="80" w:line="480" w:lineRule="auto"/>
        <w:ind w:firstLine="720"/>
        <w:jc w:val="both"/>
        <w:rPr>
          <w:rFonts w:ascii="Times New Roman" w:hAnsi="Times New Roman"/>
          <w:sz w:val="24"/>
          <w:lang w:val="en-GB"/>
        </w:rPr>
      </w:pPr>
      <w:r w:rsidRPr="00DC4D1E">
        <w:rPr>
          <w:rFonts w:ascii="Times New Roman" w:hAnsi="Times New Roman"/>
          <w:sz w:val="24"/>
          <w:lang w:val="en-GB"/>
        </w:rPr>
        <w:t xml:space="preserve">The kidney, spleen, liver, and bone marrow TIACs were subtracted from the patient’s whole-body TIAC to obtain the TIAC of the remainder of the body. </w:t>
      </w:r>
    </w:p>
    <w:p w14:paraId="6C08215C" w14:textId="77777777" w:rsidR="005A3F71" w:rsidRDefault="00302DB6">
      <w:pPr>
        <w:tabs>
          <w:tab w:val="left" w:pos="180"/>
          <w:tab w:val="left" w:pos="810"/>
          <w:tab w:val="left" w:pos="1170"/>
        </w:tabs>
        <w:spacing w:after="140" w:line="240" w:lineRule="auto"/>
        <w:rPr>
          <w:rFonts w:ascii="Times New Roman" w:hAnsi="Times New Roman"/>
          <w:sz w:val="24"/>
        </w:rPr>
      </w:pPr>
      <w:r w:rsidRPr="00DC4D1E">
        <w:rPr>
          <w:rFonts w:ascii="Times New Roman" w:hAnsi="Times New Roman"/>
          <w:b/>
          <w:sz w:val="28"/>
          <w:lang w:val="en-GB"/>
        </w:rPr>
        <w:br w:type="page"/>
      </w:r>
    </w:p>
    <w:p w14:paraId="0EF4A7FB" w14:textId="77777777" w:rsidR="005A3F71" w:rsidRPr="0001203E" w:rsidRDefault="005A3F71">
      <w:pPr>
        <w:rPr>
          <w:rFonts w:ascii="Times New Roman" w:hAnsi="Times New Roman"/>
          <w:b/>
          <w:sz w:val="28"/>
          <w:lang w:val="en-GB"/>
        </w:rPr>
      </w:pPr>
    </w:p>
    <w:p w14:paraId="5ADD0ED7" w14:textId="77777777" w:rsidR="005A3F71" w:rsidRPr="0001203E" w:rsidRDefault="00302DB6">
      <w:pPr>
        <w:spacing w:before="80" w:line="480" w:lineRule="auto"/>
        <w:jc w:val="both"/>
        <w:rPr>
          <w:rFonts w:ascii="Times New Roman" w:hAnsi="Times New Roman"/>
          <w:b/>
          <w:sz w:val="28"/>
          <w:lang w:val="en-GB"/>
        </w:rPr>
      </w:pPr>
      <w:r w:rsidRPr="00DC4D1E">
        <w:rPr>
          <w:rFonts w:ascii="Times New Roman" w:hAnsi="Times New Roman"/>
          <w:b/>
          <w:sz w:val="28"/>
          <w:lang w:val="en-GB"/>
        </w:rPr>
        <w:t>Results</w:t>
      </w:r>
    </w:p>
    <w:p w14:paraId="6D8F32F5" w14:textId="0031F09D" w:rsidR="005A3F71" w:rsidRDefault="00302DB6">
      <w:r w:rsidRPr="00A32B39">
        <w:rPr>
          <w:rFonts w:ascii="Times New Roman" w:hAnsi="Times New Roman"/>
          <w:b/>
          <w:sz w:val="24"/>
        </w:rPr>
        <w:t>Pharmacokinetics</w:t>
      </w:r>
    </w:p>
    <w:p w14:paraId="29A2CD94" w14:textId="39F8DF32" w:rsidR="005A3F71" w:rsidRDefault="00302DB6">
      <w:pPr>
        <w:pStyle w:val="CommentText"/>
        <w:spacing w:after="0" w:line="480" w:lineRule="auto"/>
        <w:contextualSpacing/>
        <w:jc w:val="both"/>
        <w:rPr>
          <w:rFonts w:ascii="Times New Roman" w:hAnsi="Times New Roman"/>
          <w:sz w:val="24"/>
        </w:rPr>
      </w:pPr>
      <w:r w:rsidRPr="0001203E">
        <w:rPr>
          <w:rFonts w:ascii="Times New Roman" w:hAnsi="Times New Roman"/>
          <w:sz w:val="24"/>
          <w:lang w:val="en-GB"/>
        </w:rPr>
        <w:t xml:space="preserve">Kidneys were the main route of elimination of </w:t>
      </w:r>
      <w:r w:rsidR="00F6446F" w:rsidRPr="00F6446F">
        <w:rPr>
          <w:rFonts w:ascii="Times New Roman" w:hAnsi="Times New Roman"/>
          <w:sz w:val="24"/>
          <w:lang w:val="en-GB"/>
        </w:rPr>
        <w:t>[</w:t>
      </w:r>
      <w:r w:rsidR="00F6446F" w:rsidRPr="00F6446F">
        <w:rPr>
          <w:rFonts w:ascii="Times New Roman" w:hAnsi="Times New Roman"/>
          <w:sz w:val="24"/>
          <w:vertAlign w:val="superscript"/>
          <w:lang w:val="en-GB"/>
        </w:rPr>
        <w:t>177</w:t>
      </w:r>
      <w:proofErr w:type="gramStart"/>
      <w:r w:rsidR="00F6446F" w:rsidRPr="00F6446F">
        <w:rPr>
          <w:rFonts w:ascii="Times New Roman" w:hAnsi="Times New Roman"/>
          <w:sz w:val="24"/>
          <w:lang w:val="en-GB"/>
        </w:rPr>
        <w:t>Lu]Lu</w:t>
      </w:r>
      <w:proofErr w:type="gramEnd"/>
      <w:r w:rsidR="00F6446F" w:rsidRPr="00F6446F">
        <w:rPr>
          <w:rFonts w:ascii="Times New Roman" w:hAnsi="Times New Roman"/>
          <w:sz w:val="24"/>
          <w:lang w:val="en-GB"/>
        </w:rPr>
        <w:t>-</w:t>
      </w:r>
      <w:proofErr w:type="spellStart"/>
      <w:r w:rsidR="00F6446F" w:rsidRPr="00F6446F">
        <w:rPr>
          <w:rFonts w:ascii="Times New Roman" w:hAnsi="Times New Roman"/>
          <w:sz w:val="24"/>
          <w:lang w:val="en-GB"/>
        </w:rPr>
        <w:t>satoreotide</w:t>
      </w:r>
      <w:proofErr w:type="spellEnd"/>
      <w:r w:rsidR="00AC4E8F">
        <w:rPr>
          <w:rFonts w:ascii="Times New Roman" w:hAnsi="Times New Roman"/>
          <w:sz w:val="24"/>
          <w:lang w:val="en-GB"/>
        </w:rPr>
        <w:t xml:space="preserve"> </w:t>
      </w:r>
      <w:r>
        <w:rPr>
          <w:rFonts w:ascii="Times New Roman" w:hAnsi="Times New Roman"/>
          <w:sz w:val="24"/>
          <w:lang w:val="en-GB"/>
        </w:rPr>
        <w:t>tetraxetan</w:t>
      </w:r>
      <w:r w:rsidRPr="0001203E">
        <w:rPr>
          <w:rFonts w:ascii="Times New Roman" w:hAnsi="Times New Roman"/>
          <w:sz w:val="24"/>
          <w:lang w:val="en-GB"/>
        </w:rPr>
        <w:t xml:space="preserve">. The median radioactivity excreted via urine within 48 hours of administration of the first treatment cycle ranged between 2.6–3.0 </w:t>
      </w:r>
      <w:proofErr w:type="spellStart"/>
      <w:r w:rsidRPr="0001203E">
        <w:rPr>
          <w:rFonts w:ascii="Times New Roman" w:hAnsi="Times New Roman"/>
          <w:sz w:val="24"/>
          <w:lang w:val="en-GB"/>
        </w:rPr>
        <w:t>GBq</w:t>
      </w:r>
      <w:proofErr w:type="spellEnd"/>
      <w:r w:rsidRPr="0001203E">
        <w:rPr>
          <w:rFonts w:ascii="Times New Roman" w:hAnsi="Times New Roman"/>
          <w:sz w:val="24"/>
          <w:lang w:val="en-GB"/>
        </w:rPr>
        <w:t xml:space="preserve"> </w:t>
      </w:r>
      <w:r w:rsidR="00DC58A2">
        <w:rPr>
          <w:rFonts w:ascii="Times New Roman" w:hAnsi="Times New Roman"/>
          <w:sz w:val="24"/>
          <w:lang w:val="en-GB"/>
        </w:rPr>
        <w:t>across</w:t>
      </w:r>
      <w:r w:rsidR="002700A3">
        <w:rPr>
          <w:rFonts w:ascii="Times New Roman" w:hAnsi="Times New Roman"/>
          <w:sz w:val="24"/>
          <w:lang w:val="en-GB"/>
        </w:rPr>
        <w:t xml:space="preserve"> </w:t>
      </w:r>
      <w:r w:rsidR="00DD77AD">
        <w:rPr>
          <w:rFonts w:ascii="Times New Roman" w:hAnsi="Times New Roman"/>
          <w:sz w:val="24"/>
          <w:lang w:val="en-GB"/>
        </w:rPr>
        <w:t>groups</w:t>
      </w:r>
      <w:r w:rsidR="00DC58A2">
        <w:rPr>
          <w:rFonts w:ascii="Times New Roman" w:hAnsi="Times New Roman"/>
          <w:sz w:val="24"/>
          <w:lang w:val="en-GB"/>
        </w:rPr>
        <w:t xml:space="preserve"> </w:t>
      </w:r>
      <w:r w:rsidRPr="0001203E">
        <w:rPr>
          <w:rFonts w:ascii="Times New Roman" w:hAnsi="Times New Roman"/>
          <w:sz w:val="24"/>
          <w:lang w:val="en-GB"/>
        </w:rPr>
        <w:t xml:space="preserve">in patients treated with 4.5 </w:t>
      </w:r>
      <w:proofErr w:type="spellStart"/>
      <w:r w:rsidRPr="0001203E">
        <w:rPr>
          <w:rFonts w:ascii="Times New Roman" w:hAnsi="Times New Roman"/>
          <w:sz w:val="24"/>
          <w:lang w:val="en-GB"/>
        </w:rPr>
        <w:t>GBq</w:t>
      </w:r>
      <w:proofErr w:type="spellEnd"/>
      <w:r w:rsidRPr="0001203E">
        <w:rPr>
          <w:rFonts w:ascii="Times New Roman" w:hAnsi="Times New Roman"/>
          <w:sz w:val="24"/>
          <w:lang w:val="en-GB"/>
        </w:rPr>
        <w:t xml:space="preserve">, and was 3.4 </w:t>
      </w:r>
      <w:proofErr w:type="spellStart"/>
      <w:r w:rsidRPr="0001203E">
        <w:rPr>
          <w:rFonts w:ascii="Times New Roman" w:hAnsi="Times New Roman"/>
          <w:sz w:val="24"/>
          <w:lang w:val="en-GB"/>
        </w:rPr>
        <w:t>GBq</w:t>
      </w:r>
      <w:proofErr w:type="spellEnd"/>
      <w:r w:rsidRPr="0001203E">
        <w:rPr>
          <w:rFonts w:ascii="Times New Roman" w:hAnsi="Times New Roman"/>
          <w:sz w:val="24"/>
          <w:lang w:val="en-GB"/>
        </w:rPr>
        <w:t xml:space="preserve"> in those treated with 6 </w:t>
      </w:r>
      <w:proofErr w:type="spellStart"/>
      <w:r w:rsidRPr="0001203E">
        <w:rPr>
          <w:rFonts w:ascii="Times New Roman" w:hAnsi="Times New Roman"/>
          <w:sz w:val="24"/>
          <w:lang w:val="en-GB"/>
        </w:rPr>
        <w:t>GBq</w:t>
      </w:r>
      <w:proofErr w:type="spellEnd"/>
      <w:r w:rsidRPr="0001203E">
        <w:rPr>
          <w:rFonts w:ascii="Times New Roman" w:hAnsi="Times New Roman"/>
          <w:sz w:val="24"/>
          <w:lang w:val="en-GB"/>
        </w:rPr>
        <w:t xml:space="preserve"> (corresponding to approximately 5</w:t>
      </w:r>
      <w:r w:rsidR="0092102F">
        <w:rPr>
          <w:rFonts w:ascii="Times New Roman" w:hAnsi="Times New Roman"/>
          <w:sz w:val="24"/>
          <w:lang w:val="en-GB"/>
        </w:rPr>
        <w:t>7</w:t>
      </w:r>
      <w:r w:rsidRPr="0001203E">
        <w:rPr>
          <w:rFonts w:ascii="Times New Roman" w:hAnsi="Times New Roman"/>
          <w:sz w:val="24"/>
          <w:lang w:val="en-GB"/>
        </w:rPr>
        <w:t>–6</w:t>
      </w:r>
      <w:r w:rsidR="0092102F">
        <w:rPr>
          <w:rFonts w:ascii="Times New Roman" w:hAnsi="Times New Roman"/>
          <w:sz w:val="24"/>
          <w:lang w:val="en-GB"/>
        </w:rPr>
        <w:t>6</w:t>
      </w:r>
      <w:r w:rsidRPr="0001203E">
        <w:rPr>
          <w:rFonts w:ascii="Times New Roman" w:hAnsi="Times New Roman"/>
          <w:sz w:val="24"/>
          <w:lang w:val="en-GB"/>
        </w:rPr>
        <w:t xml:space="preserve">% and 57% of the </w:t>
      </w:r>
      <w:r w:rsidR="00DC58A2">
        <w:rPr>
          <w:rFonts w:ascii="Times New Roman" w:hAnsi="Times New Roman"/>
          <w:sz w:val="24"/>
          <w:lang w:val="en-GB"/>
        </w:rPr>
        <w:t>administered activity</w:t>
      </w:r>
      <w:r w:rsidR="00DC58A2" w:rsidRPr="0001203E">
        <w:rPr>
          <w:rFonts w:ascii="Times New Roman" w:hAnsi="Times New Roman"/>
          <w:sz w:val="24"/>
          <w:lang w:val="en-GB"/>
        </w:rPr>
        <w:t xml:space="preserve"> </w:t>
      </w:r>
      <w:r w:rsidRPr="0001203E">
        <w:rPr>
          <w:rFonts w:ascii="Times New Roman" w:hAnsi="Times New Roman"/>
          <w:sz w:val="24"/>
          <w:lang w:val="en-GB"/>
        </w:rPr>
        <w:t xml:space="preserve">of </w:t>
      </w:r>
      <w:r w:rsidR="00F6446F" w:rsidRPr="00F6446F">
        <w:rPr>
          <w:rFonts w:ascii="Times New Roman" w:hAnsi="Times New Roman"/>
          <w:sz w:val="24"/>
          <w:lang w:val="en-GB"/>
        </w:rPr>
        <w:t>[</w:t>
      </w:r>
      <w:r w:rsidR="00F6446F" w:rsidRPr="00F6446F">
        <w:rPr>
          <w:rFonts w:ascii="Times New Roman" w:hAnsi="Times New Roman"/>
          <w:sz w:val="24"/>
          <w:vertAlign w:val="superscript"/>
          <w:lang w:val="en-GB"/>
        </w:rPr>
        <w:t>177</w:t>
      </w:r>
      <w:proofErr w:type="gramStart"/>
      <w:r w:rsidR="00F6446F" w:rsidRPr="00F6446F">
        <w:rPr>
          <w:rFonts w:ascii="Times New Roman" w:hAnsi="Times New Roman"/>
          <w:sz w:val="24"/>
          <w:lang w:val="en-GB"/>
        </w:rPr>
        <w:t>Lu]Lu</w:t>
      </w:r>
      <w:proofErr w:type="gramEnd"/>
      <w:r w:rsidR="00F6446F" w:rsidRPr="00F6446F">
        <w:rPr>
          <w:rFonts w:ascii="Times New Roman" w:hAnsi="Times New Roman"/>
          <w:sz w:val="24"/>
          <w:lang w:val="en-GB"/>
        </w:rPr>
        <w:t>-</w:t>
      </w:r>
      <w:proofErr w:type="spellStart"/>
      <w:r w:rsidR="00F6446F" w:rsidRPr="00F6446F">
        <w:rPr>
          <w:rFonts w:ascii="Times New Roman" w:hAnsi="Times New Roman"/>
          <w:sz w:val="24"/>
          <w:lang w:val="en-GB"/>
        </w:rPr>
        <w:t>satoreotide</w:t>
      </w:r>
      <w:proofErr w:type="spellEnd"/>
      <w:r w:rsidR="00AC4E8F">
        <w:rPr>
          <w:rFonts w:ascii="Times New Roman" w:hAnsi="Times New Roman"/>
          <w:sz w:val="24"/>
          <w:lang w:val="en-GB"/>
        </w:rPr>
        <w:t xml:space="preserve"> </w:t>
      </w:r>
      <w:r>
        <w:rPr>
          <w:rFonts w:ascii="Times New Roman" w:hAnsi="Times New Roman"/>
          <w:sz w:val="24"/>
          <w:lang w:val="en-GB"/>
        </w:rPr>
        <w:t>tetraxetan</w:t>
      </w:r>
      <w:r w:rsidRPr="0001203E">
        <w:rPr>
          <w:rFonts w:ascii="Times New Roman" w:hAnsi="Times New Roman"/>
          <w:sz w:val="24"/>
          <w:lang w:val="en-GB"/>
        </w:rPr>
        <w:t xml:space="preserve">, respectively). Following the first treatment cycle, </w:t>
      </w:r>
      <w:r w:rsidR="00F6446F" w:rsidRPr="00F6446F">
        <w:rPr>
          <w:rFonts w:ascii="Times New Roman" w:hAnsi="Times New Roman"/>
          <w:sz w:val="24"/>
          <w:lang w:val="en-GB"/>
        </w:rPr>
        <w:t>[</w:t>
      </w:r>
      <w:r w:rsidR="00F6446F" w:rsidRPr="00F6446F">
        <w:rPr>
          <w:rFonts w:ascii="Times New Roman" w:hAnsi="Times New Roman"/>
          <w:sz w:val="24"/>
          <w:vertAlign w:val="superscript"/>
          <w:lang w:val="en-GB"/>
        </w:rPr>
        <w:t>177</w:t>
      </w:r>
      <w:r w:rsidR="00F6446F" w:rsidRPr="00F6446F">
        <w:rPr>
          <w:rFonts w:ascii="Times New Roman" w:hAnsi="Times New Roman"/>
          <w:sz w:val="24"/>
          <w:lang w:val="en-GB"/>
        </w:rPr>
        <w:t>Lu]Lu-</w:t>
      </w:r>
      <w:proofErr w:type="spellStart"/>
      <w:r w:rsidR="00F6446F" w:rsidRPr="00F6446F">
        <w:rPr>
          <w:rFonts w:ascii="Times New Roman" w:hAnsi="Times New Roman"/>
          <w:sz w:val="24"/>
          <w:lang w:val="en-GB"/>
        </w:rPr>
        <w:t>satoreotide</w:t>
      </w:r>
      <w:proofErr w:type="spellEnd"/>
      <w:r w:rsidR="00AC4E8F">
        <w:rPr>
          <w:rFonts w:ascii="Times New Roman" w:hAnsi="Times New Roman"/>
          <w:sz w:val="24"/>
          <w:lang w:val="en-GB"/>
        </w:rPr>
        <w:t xml:space="preserve"> </w:t>
      </w:r>
      <w:r>
        <w:rPr>
          <w:rFonts w:ascii="Times New Roman" w:hAnsi="Times New Roman"/>
          <w:sz w:val="24"/>
          <w:lang w:val="en-GB"/>
        </w:rPr>
        <w:t>tetraxetan rapidly reached its peak in the blood (</w:t>
      </w:r>
      <w:r w:rsidR="00C8718A">
        <w:rPr>
          <w:rFonts w:ascii="Times New Roman" w:hAnsi="Times New Roman"/>
          <w:sz w:val="24"/>
          <w:lang w:val="en-GB"/>
        </w:rPr>
        <w:t>median</w:t>
      </w:r>
      <w:r>
        <w:rPr>
          <w:rFonts w:ascii="Times New Roman" w:hAnsi="Times New Roman"/>
          <w:sz w:val="24"/>
          <w:lang w:val="en-GB"/>
        </w:rPr>
        <w:t xml:space="preserve"> blood uptake at 1–5 minutes of </w:t>
      </w:r>
      <w:r w:rsidR="00C8718A">
        <w:rPr>
          <w:rFonts w:ascii="Times New Roman" w:hAnsi="Times New Roman"/>
          <w:sz w:val="24"/>
          <w:lang w:val="en-GB"/>
        </w:rPr>
        <w:t>3.03</w:t>
      </w:r>
      <w:r>
        <w:rPr>
          <w:rFonts w:ascii="Times New Roman" w:hAnsi="Times New Roman"/>
          <w:sz w:val="24"/>
          <w:lang w:val="en-GB"/>
        </w:rPr>
        <w:t>%</w:t>
      </w:r>
      <w:r w:rsidR="00DC58A2">
        <w:rPr>
          <w:rFonts w:ascii="Times New Roman" w:hAnsi="Times New Roman"/>
          <w:sz w:val="24"/>
          <w:lang w:val="en-GB"/>
        </w:rPr>
        <w:t xml:space="preserve"> administered activity</w:t>
      </w:r>
      <w:r>
        <w:rPr>
          <w:rFonts w:ascii="Times New Roman" w:hAnsi="Times New Roman"/>
          <w:sz w:val="24"/>
          <w:lang w:val="en-GB"/>
        </w:rPr>
        <w:t>/L), before exponentially decreasing</w:t>
      </w:r>
      <w:r w:rsidRPr="0001203E">
        <w:rPr>
          <w:rFonts w:ascii="Times New Roman" w:hAnsi="Times New Roman"/>
          <w:sz w:val="24"/>
          <w:lang w:val="en-GB"/>
        </w:rPr>
        <w:t xml:space="preserve"> with a median terminal blood half-life of 127 hours (range: 38.6–160.0 hours; mean ± SD: 110.0 ± 50.1) and a mean extrapolated area under the concentration-time curve (AUC</w:t>
      </w:r>
      <w:r w:rsidRPr="0001203E">
        <w:rPr>
          <w:rFonts w:ascii="Times New Roman" w:hAnsi="Times New Roman"/>
          <w:sz w:val="24"/>
          <w:vertAlign w:val="subscript"/>
          <w:lang w:val="en-GB"/>
        </w:rPr>
        <w:t>0</w:t>
      </w:r>
      <w:r w:rsidR="00DF308A">
        <w:rPr>
          <w:rFonts w:ascii="Times New Roman" w:hAnsi="Times New Roman"/>
          <w:sz w:val="24"/>
          <w:vertAlign w:val="subscript"/>
          <w:lang w:val="en-GB"/>
        </w:rPr>
        <w:t>–</w:t>
      </w:r>
      <w:r w:rsidRPr="0001203E">
        <w:rPr>
          <w:rFonts w:ascii="Times New Roman" w:hAnsi="Times New Roman"/>
          <w:sz w:val="24"/>
          <w:vertAlign w:val="subscript"/>
          <w:lang w:val="en-GB"/>
        </w:rPr>
        <w:t>infinity</w:t>
      </w:r>
      <w:r w:rsidRPr="0001203E">
        <w:rPr>
          <w:rFonts w:ascii="Times New Roman" w:hAnsi="Times New Roman"/>
          <w:sz w:val="24"/>
          <w:lang w:val="en-GB"/>
        </w:rPr>
        <w:t xml:space="preserve">) of 742.0 ± 303.0 </w:t>
      </w:r>
      <w:proofErr w:type="spellStart"/>
      <w:r w:rsidRPr="0001203E">
        <w:rPr>
          <w:rFonts w:ascii="Times New Roman" w:hAnsi="Times New Roman"/>
          <w:sz w:val="24"/>
          <w:lang w:val="en-GB"/>
        </w:rPr>
        <w:t>MBq.h</w:t>
      </w:r>
      <w:proofErr w:type="spellEnd"/>
      <w:r w:rsidRPr="0001203E">
        <w:rPr>
          <w:rFonts w:ascii="Times New Roman" w:hAnsi="Times New Roman"/>
          <w:sz w:val="24"/>
          <w:lang w:val="en-GB"/>
        </w:rPr>
        <w:t xml:space="preserve">/L. </w:t>
      </w:r>
      <w:r>
        <w:rPr>
          <w:rFonts w:ascii="Times New Roman" w:hAnsi="Times New Roman"/>
          <w:sz w:val="24"/>
          <w:lang w:val="en-GB"/>
        </w:rPr>
        <w:t xml:space="preserve">Subsequent cycles exhibited similar characteristics. </w:t>
      </w:r>
    </w:p>
    <w:p w14:paraId="65B561E2" w14:textId="3B5EFC2D" w:rsidR="005A3F71" w:rsidRDefault="00302DB6">
      <w:pPr>
        <w:keepNext/>
        <w:keepLines/>
        <w:spacing w:before="80" w:line="480" w:lineRule="auto"/>
        <w:jc w:val="both"/>
        <w:rPr>
          <w:rFonts w:ascii="Times New Roman" w:hAnsi="Times New Roman"/>
          <w:sz w:val="24"/>
        </w:rPr>
      </w:pPr>
      <w:r w:rsidRPr="00DC4D1E">
        <w:rPr>
          <w:rFonts w:ascii="Times New Roman" w:hAnsi="Times New Roman"/>
          <w:b/>
          <w:sz w:val="24"/>
          <w:lang w:val="en-GB"/>
        </w:rPr>
        <w:lastRenderedPageBreak/>
        <w:t xml:space="preserve">Table S1. </w:t>
      </w:r>
      <w:r w:rsidRPr="00DC4D1E">
        <w:rPr>
          <w:rFonts w:ascii="Times New Roman" w:hAnsi="Times New Roman"/>
          <w:sz w:val="24"/>
          <w:lang w:val="en-GB"/>
        </w:rPr>
        <w:t xml:space="preserve">Overview of </w:t>
      </w:r>
      <w:r w:rsidR="00F6446F" w:rsidRPr="00F6446F">
        <w:rPr>
          <w:rFonts w:ascii="Times New Roman" w:hAnsi="Times New Roman"/>
          <w:sz w:val="24"/>
          <w:lang w:val="en-GB"/>
        </w:rPr>
        <w:t>[</w:t>
      </w:r>
      <w:r w:rsidR="00F6446F" w:rsidRPr="00F6446F">
        <w:rPr>
          <w:rFonts w:ascii="Times New Roman" w:hAnsi="Times New Roman"/>
          <w:sz w:val="24"/>
          <w:vertAlign w:val="superscript"/>
          <w:lang w:val="en-GB"/>
        </w:rPr>
        <w:t>177</w:t>
      </w:r>
      <w:proofErr w:type="gramStart"/>
      <w:r w:rsidR="00F6446F" w:rsidRPr="00F6446F">
        <w:rPr>
          <w:rFonts w:ascii="Times New Roman" w:hAnsi="Times New Roman"/>
          <w:sz w:val="24"/>
          <w:lang w:val="en-GB"/>
        </w:rPr>
        <w:t>Lu]Lu</w:t>
      </w:r>
      <w:proofErr w:type="gramEnd"/>
      <w:r w:rsidR="00F6446F" w:rsidRPr="00F6446F">
        <w:rPr>
          <w:rFonts w:ascii="Times New Roman" w:hAnsi="Times New Roman"/>
          <w:sz w:val="24"/>
          <w:lang w:val="en-GB"/>
        </w:rPr>
        <w:t>-</w:t>
      </w:r>
      <w:proofErr w:type="spellStart"/>
      <w:r w:rsidR="00F6446F" w:rsidRPr="00F6446F">
        <w:rPr>
          <w:rFonts w:ascii="Times New Roman" w:hAnsi="Times New Roman"/>
          <w:sz w:val="24"/>
          <w:lang w:val="en-GB"/>
        </w:rPr>
        <w:t>satoreotide</w:t>
      </w:r>
      <w:proofErr w:type="spellEnd"/>
      <w:r w:rsidR="00AC4E8F">
        <w:rPr>
          <w:rFonts w:ascii="Times New Roman" w:hAnsi="Times New Roman"/>
          <w:sz w:val="24"/>
          <w:lang w:val="en-GB"/>
        </w:rPr>
        <w:t xml:space="preserve"> </w:t>
      </w:r>
      <w:r w:rsidRPr="00DC4D1E">
        <w:rPr>
          <w:rFonts w:ascii="Times New Roman" w:hAnsi="Times New Roman"/>
          <w:sz w:val="24"/>
          <w:lang w:val="en-GB"/>
        </w:rPr>
        <w:t>tetraxetan treatment</w:t>
      </w:r>
      <w:r w:rsidR="006E34A3">
        <w:rPr>
          <w:rFonts w:ascii="Times New Roman" w:hAnsi="Times New Roman"/>
          <w:sz w:val="24"/>
          <w:lang w:val="en-GB"/>
        </w:rPr>
        <w:t>.</w:t>
      </w:r>
      <w:r w:rsidRPr="00DC4D1E">
        <w:rPr>
          <w:rFonts w:ascii="Times New Roman" w:hAnsi="Times New Roman"/>
          <w:sz w:val="24"/>
          <w:lang w:val="en-GB"/>
        </w:rPr>
        <w:t xml:space="preserve"> </w:t>
      </w:r>
    </w:p>
    <w:tbl>
      <w:tblPr>
        <w:tblStyle w:val="TableGrid1"/>
        <w:tblW w:w="5631" w:type="pct"/>
        <w:tblLayout w:type="fixed"/>
        <w:tblLook w:val="0000" w:firstRow="0" w:lastRow="0" w:firstColumn="0" w:lastColumn="0" w:noHBand="0" w:noVBand="0"/>
      </w:tblPr>
      <w:tblGrid>
        <w:gridCol w:w="2243"/>
        <w:gridCol w:w="1364"/>
        <w:gridCol w:w="1364"/>
        <w:gridCol w:w="1364"/>
        <w:gridCol w:w="1364"/>
        <w:gridCol w:w="1364"/>
        <w:gridCol w:w="1366"/>
      </w:tblGrid>
      <w:tr w:rsidR="00EB11EF" w14:paraId="2A5EBDCD" w14:textId="77777777" w:rsidTr="006C0C22">
        <w:trPr>
          <w:trHeight w:val="698"/>
        </w:trPr>
        <w:tc>
          <w:tcPr>
            <w:tcW w:w="1075" w:type="pct"/>
            <w:shd w:val="clear" w:color="auto" w:fill="BFBFBF"/>
            <w:vAlign w:val="center"/>
          </w:tcPr>
          <w:p w14:paraId="0F285E68" w14:textId="77777777" w:rsidR="005A3F71" w:rsidRDefault="005A3F71" w:rsidP="00A32B39">
            <w:pPr>
              <w:keepNext/>
              <w:keepLines/>
              <w:jc w:val="both"/>
              <w:rPr>
                <w:rFonts w:ascii="Times New Roman" w:hAnsi="Times New Roman"/>
                <w:b/>
                <w:sz w:val="24"/>
              </w:rPr>
            </w:pPr>
          </w:p>
        </w:tc>
        <w:tc>
          <w:tcPr>
            <w:tcW w:w="654" w:type="pct"/>
            <w:shd w:val="clear" w:color="auto" w:fill="BFBFBF"/>
            <w:vAlign w:val="center"/>
          </w:tcPr>
          <w:p w14:paraId="1ABA6392" w14:textId="77777777" w:rsidR="005A3F71" w:rsidRDefault="00302DB6" w:rsidP="00A32B39">
            <w:pPr>
              <w:keepNext/>
              <w:keepLines/>
              <w:jc w:val="center"/>
              <w:rPr>
                <w:rFonts w:ascii="Times New Roman" w:hAnsi="Times New Roman"/>
                <w:b/>
                <w:sz w:val="24"/>
              </w:rPr>
            </w:pPr>
            <w:r>
              <w:rPr>
                <w:rFonts w:ascii="Times New Roman" w:hAnsi="Times New Roman"/>
                <w:b/>
                <w:sz w:val="24"/>
              </w:rPr>
              <w:t>Part A (N=15)</w:t>
            </w:r>
          </w:p>
        </w:tc>
        <w:tc>
          <w:tcPr>
            <w:tcW w:w="654" w:type="pct"/>
            <w:shd w:val="clear" w:color="auto" w:fill="BFBFBF"/>
            <w:vAlign w:val="center"/>
          </w:tcPr>
          <w:p w14:paraId="7B8A9CD2" w14:textId="77777777" w:rsidR="005A3F71" w:rsidRDefault="00302DB6" w:rsidP="00A32B39">
            <w:pPr>
              <w:keepNext/>
              <w:keepLines/>
              <w:jc w:val="center"/>
              <w:rPr>
                <w:rFonts w:ascii="Times New Roman" w:hAnsi="Times New Roman"/>
                <w:b/>
                <w:sz w:val="24"/>
              </w:rPr>
            </w:pPr>
            <w:r>
              <w:rPr>
                <w:rFonts w:ascii="Times New Roman" w:hAnsi="Times New Roman"/>
                <w:b/>
                <w:sz w:val="24"/>
              </w:rPr>
              <w:t>Cohort 1 of part B (N=6)</w:t>
            </w:r>
          </w:p>
        </w:tc>
        <w:tc>
          <w:tcPr>
            <w:tcW w:w="654" w:type="pct"/>
            <w:shd w:val="clear" w:color="auto" w:fill="BFBFBF"/>
            <w:vAlign w:val="center"/>
          </w:tcPr>
          <w:p w14:paraId="0FAF1AC1" w14:textId="77777777" w:rsidR="005A3F71" w:rsidRDefault="00302DB6" w:rsidP="00A32B39">
            <w:pPr>
              <w:keepNext/>
              <w:keepLines/>
              <w:jc w:val="center"/>
              <w:rPr>
                <w:rFonts w:ascii="Times New Roman" w:hAnsi="Times New Roman"/>
                <w:b/>
                <w:sz w:val="24"/>
              </w:rPr>
            </w:pPr>
            <w:r>
              <w:rPr>
                <w:rFonts w:ascii="Times New Roman" w:hAnsi="Times New Roman"/>
                <w:b/>
                <w:sz w:val="24"/>
              </w:rPr>
              <w:t>Cohort 3 of part B (N=9)</w:t>
            </w:r>
          </w:p>
        </w:tc>
        <w:tc>
          <w:tcPr>
            <w:tcW w:w="654" w:type="pct"/>
            <w:shd w:val="clear" w:color="auto" w:fill="BFBFBF"/>
            <w:vAlign w:val="center"/>
          </w:tcPr>
          <w:p w14:paraId="4BA21855" w14:textId="77777777" w:rsidR="005A3F71" w:rsidRDefault="00302DB6" w:rsidP="00DC4D1E">
            <w:pPr>
              <w:keepNext/>
              <w:keepLines/>
              <w:jc w:val="center"/>
              <w:rPr>
                <w:rFonts w:ascii="Times New Roman" w:hAnsi="Times New Roman"/>
                <w:b/>
                <w:sz w:val="24"/>
              </w:rPr>
            </w:pPr>
            <w:r>
              <w:rPr>
                <w:rFonts w:ascii="Times New Roman" w:hAnsi="Times New Roman"/>
                <w:b/>
                <w:sz w:val="24"/>
              </w:rPr>
              <w:t>Cohort 6 of part B (N=10)</w:t>
            </w:r>
          </w:p>
        </w:tc>
        <w:tc>
          <w:tcPr>
            <w:tcW w:w="654" w:type="pct"/>
            <w:shd w:val="clear" w:color="auto" w:fill="BFBFBF"/>
            <w:vAlign w:val="center"/>
          </w:tcPr>
          <w:p w14:paraId="248C53E4" w14:textId="77777777" w:rsidR="005A3F71" w:rsidRDefault="00302DB6" w:rsidP="00DC4D1E">
            <w:pPr>
              <w:keepNext/>
              <w:keepLines/>
              <w:jc w:val="center"/>
              <w:rPr>
                <w:rFonts w:ascii="Times New Roman" w:hAnsi="Times New Roman"/>
                <w:b/>
                <w:sz w:val="24"/>
              </w:rPr>
            </w:pPr>
            <w:r>
              <w:rPr>
                <w:rFonts w:ascii="Times New Roman" w:hAnsi="Times New Roman"/>
                <w:b/>
                <w:sz w:val="24"/>
              </w:rPr>
              <w:t>Part B (N=25)</w:t>
            </w:r>
          </w:p>
        </w:tc>
        <w:tc>
          <w:tcPr>
            <w:tcW w:w="655" w:type="pct"/>
            <w:shd w:val="clear" w:color="auto" w:fill="BFBFBF"/>
            <w:vAlign w:val="center"/>
          </w:tcPr>
          <w:p w14:paraId="367B1198" w14:textId="77777777" w:rsidR="005A3F71" w:rsidRDefault="00302DB6" w:rsidP="00DC4D1E">
            <w:pPr>
              <w:keepNext/>
              <w:keepLines/>
              <w:jc w:val="center"/>
              <w:rPr>
                <w:rFonts w:ascii="Times New Roman" w:hAnsi="Times New Roman"/>
                <w:b/>
                <w:sz w:val="24"/>
              </w:rPr>
            </w:pPr>
            <w:r>
              <w:rPr>
                <w:rFonts w:ascii="Times New Roman" w:hAnsi="Times New Roman"/>
                <w:b/>
                <w:sz w:val="24"/>
              </w:rPr>
              <w:t>Total (N=40)</w:t>
            </w:r>
          </w:p>
        </w:tc>
      </w:tr>
      <w:tr w:rsidR="005A3F71" w14:paraId="6D211176" w14:textId="77777777" w:rsidTr="006C0C22">
        <w:trPr>
          <w:trHeight w:val="885"/>
        </w:trPr>
        <w:tc>
          <w:tcPr>
            <w:tcW w:w="1075" w:type="pct"/>
            <w:vAlign w:val="center"/>
          </w:tcPr>
          <w:p w14:paraId="0FA42330" w14:textId="77777777" w:rsidR="005A3F71" w:rsidRDefault="00302DB6" w:rsidP="00A32B39">
            <w:pPr>
              <w:keepNext/>
              <w:keepLines/>
              <w:spacing w:after="40"/>
              <w:ind w:right="-102"/>
              <w:rPr>
                <w:rFonts w:ascii="Times New Roman" w:hAnsi="Times New Roman"/>
                <w:sz w:val="24"/>
              </w:rPr>
            </w:pPr>
            <w:r>
              <w:rPr>
                <w:rFonts w:ascii="Times New Roman" w:hAnsi="Times New Roman"/>
                <w:sz w:val="24"/>
              </w:rPr>
              <w:t>Median cumulative administered activity (range) (</w:t>
            </w:r>
            <w:proofErr w:type="spellStart"/>
            <w:r>
              <w:rPr>
                <w:rFonts w:ascii="Times New Roman" w:hAnsi="Times New Roman"/>
                <w:sz w:val="24"/>
              </w:rPr>
              <w:t>GBq</w:t>
            </w:r>
            <w:proofErr w:type="spellEnd"/>
            <w:r>
              <w:rPr>
                <w:rFonts w:ascii="Times New Roman" w:hAnsi="Times New Roman"/>
                <w:sz w:val="24"/>
              </w:rPr>
              <w:t>)</w:t>
            </w:r>
          </w:p>
        </w:tc>
        <w:tc>
          <w:tcPr>
            <w:tcW w:w="654" w:type="pct"/>
            <w:vAlign w:val="center"/>
          </w:tcPr>
          <w:p w14:paraId="26E6A761" w14:textId="1E686A31" w:rsidR="005A3F71" w:rsidRPr="001E2428" w:rsidRDefault="00302DB6" w:rsidP="00A32B39">
            <w:pPr>
              <w:keepNext/>
              <w:keepLines/>
              <w:spacing w:after="40"/>
              <w:jc w:val="center"/>
              <w:rPr>
                <w:rFonts w:ascii="Times New Roman" w:hAnsi="Times New Roman"/>
                <w:sz w:val="24"/>
                <w:vertAlign w:val="superscript"/>
              </w:rPr>
            </w:pPr>
            <w:r>
              <w:rPr>
                <w:rFonts w:ascii="Times New Roman" w:hAnsi="Times New Roman"/>
                <w:sz w:val="24"/>
              </w:rPr>
              <w:t>13.1</w:t>
            </w:r>
            <w:r w:rsidR="006E2698">
              <w:rPr>
                <w:rFonts w:ascii="Times New Roman" w:hAnsi="Times New Roman"/>
                <w:sz w:val="24"/>
              </w:rPr>
              <w:t>*</w:t>
            </w:r>
          </w:p>
          <w:p w14:paraId="79AFFDE4" w14:textId="77777777" w:rsidR="005A3F71" w:rsidRPr="0001203E" w:rsidRDefault="00302DB6" w:rsidP="00A32B39">
            <w:pPr>
              <w:keepNext/>
              <w:keepLines/>
              <w:spacing w:after="40"/>
              <w:jc w:val="center"/>
              <w:rPr>
                <w:rFonts w:ascii="Times New Roman" w:hAnsi="Times New Roman"/>
                <w:sz w:val="24"/>
                <w:highlight w:val="cyan"/>
              </w:rPr>
            </w:pPr>
            <w:r>
              <w:rPr>
                <w:rFonts w:ascii="Times New Roman" w:hAnsi="Times New Roman"/>
                <w:sz w:val="24"/>
              </w:rPr>
              <w:t>(10.3–13.5)</w:t>
            </w:r>
          </w:p>
        </w:tc>
        <w:tc>
          <w:tcPr>
            <w:tcW w:w="654" w:type="pct"/>
            <w:vAlign w:val="center"/>
          </w:tcPr>
          <w:p w14:paraId="6FAC02DF" w14:textId="77777777" w:rsidR="005A3F71" w:rsidRDefault="00302DB6" w:rsidP="00A32B39">
            <w:pPr>
              <w:keepNext/>
              <w:keepLines/>
              <w:spacing w:after="40"/>
              <w:jc w:val="center"/>
              <w:rPr>
                <w:rFonts w:ascii="Times New Roman" w:hAnsi="Times New Roman"/>
                <w:sz w:val="24"/>
              </w:rPr>
            </w:pPr>
            <w:r>
              <w:rPr>
                <w:rFonts w:ascii="Times New Roman" w:hAnsi="Times New Roman"/>
                <w:sz w:val="24"/>
              </w:rPr>
              <w:t>9.1</w:t>
            </w:r>
          </w:p>
          <w:p w14:paraId="34F70658" w14:textId="77777777" w:rsidR="005A3F71" w:rsidRPr="0001203E" w:rsidRDefault="00302DB6" w:rsidP="00DC4D1E">
            <w:pPr>
              <w:keepNext/>
              <w:keepLines/>
              <w:spacing w:after="40"/>
              <w:jc w:val="center"/>
              <w:rPr>
                <w:rFonts w:ascii="Times New Roman" w:hAnsi="Times New Roman"/>
                <w:sz w:val="24"/>
                <w:highlight w:val="cyan"/>
              </w:rPr>
            </w:pPr>
            <w:r>
              <w:rPr>
                <w:rFonts w:ascii="Times New Roman" w:hAnsi="Times New Roman"/>
                <w:sz w:val="24"/>
              </w:rPr>
              <w:t>(4.3–15.4)</w:t>
            </w:r>
          </w:p>
        </w:tc>
        <w:tc>
          <w:tcPr>
            <w:tcW w:w="654" w:type="pct"/>
            <w:vAlign w:val="center"/>
          </w:tcPr>
          <w:p w14:paraId="03BB3603" w14:textId="77777777" w:rsidR="005A3F71" w:rsidRDefault="00302DB6" w:rsidP="00DC4D1E">
            <w:pPr>
              <w:keepNext/>
              <w:keepLines/>
              <w:spacing w:after="40"/>
              <w:jc w:val="center"/>
              <w:rPr>
                <w:rFonts w:ascii="Times New Roman" w:hAnsi="Times New Roman"/>
                <w:sz w:val="24"/>
              </w:rPr>
            </w:pPr>
            <w:r>
              <w:rPr>
                <w:rFonts w:ascii="Times New Roman" w:hAnsi="Times New Roman"/>
                <w:sz w:val="24"/>
              </w:rPr>
              <w:t>13.0</w:t>
            </w:r>
          </w:p>
          <w:p w14:paraId="4013D4FA" w14:textId="77777777" w:rsidR="005A3F71" w:rsidRPr="0001203E" w:rsidRDefault="00302DB6" w:rsidP="00DC4D1E">
            <w:pPr>
              <w:keepNext/>
              <w:keepLines/>
              <w:spacing w:after="40"/>
              <w:jc w:val="center"/>
              <w:rPr>
                <w:rFonts w:ascii="Times New Roman" w:hAnsi="Times New Roman"/>
                <w:sz w:val="24"/>
                <w:highlight w:val="cyan"/>
              </w:rPr>
            </w:pPr>
            <w:r>
              <w:rPr>
                <w:rFonts w:ascii="Times New Roman" w:hAnsi="Times New Roman"/>
                <w:sz w:val="24"/>
              </w:rPr>
              <w:t>(8.5–17.6)</w:t>
            </w:r>
          </w:p>
        </w:tc>
        <w:tc>
          <w:tcPr>
            <w:tcW w:w="654" w:type="pct"/>
            <w:vAlign w:val="center"/>
          </w:tcPr>
          <w:p w14:paraId="53DE4406" w14:textId="77777777" w:rsidR="005A3F71" w:rsidRDefault="00302DB6" w:rsidP="00DC4D1E">
            <w:pPr>
              <w:keepNext/>
              <w:keepLines/>
              <w:spacing w:after="40"/>
              <w:jc w:val="center"/>
              <w:rPr>
                <w:rFonts w:ascii="Times New Roman" w:hAnsi="Times New Roman"/>
                <w:sz w:val="24"/>
              </w:rPr>
            </w:pPr>
            <w:r>
              <w:rPr>
                <w:rFonts w:ascii="Times New Roman" w:hAnsi="Times New Roman"/>
                <w:sz w:val="24"/>
              </w:rPr>
              <w:t>13.1</w:t>
            </w:r>
          </w:p>
          <w:p w14:paraId="10E485C8" w14:textId="77777777" w:rsidR="005A3F71" w:rsidRPr="0001203E" w:rsidRDefault="00302DB6" w:rsidP="00DC4D1E">
            <w:pPr>
              <w:keepNext/>
              <w:keepLines/>
              <w:spacing w:after="40"/>
              <w:jc w:val="center"/>
              <w:rPr>
                <w:rFonts w:ascii="Times New Roman" w:hAnsi="Times New Roman"/>
                <w:sz w:val="24"/>
                <w:highlight w:val="cyan"/>
              </w:rPr>
            </w:pPr>
            <w:r>
              <w:rPr>
                <w:rFonts w:ascii="Times New Roman" w:hAnsi="Times New Roman"/>
                <w:sz w:val="24"/>
              </w:rPr>
              <w:t>(4.2–20.8)</w:t>
            </w:r>
          </w:p>
        </w:tc>
        <w:tc>
          <w:tcPr>
            <w:tcW w:w="654" w:type="pct"/>
            <w:vAlign w:val="center"/>
          </w:tcPr>
          <w:p w14:paraId="29ECF6D7" w14:textId="77777777" w:rsidR="005A3F71" w:rsidRDefault="00302DB6" w:rsidP="00DC4D1E">
            <w:pPr>
              <w:keepNext/>
              <w:keepLines/>
              <w:spacing w:after="40"/>
              <w:jc w:val="center"/>
              <w:rPr>
                <w:rFonts w:ascii="Times New Roman" w:hAnsi="Times New Roman"/>
                <w:sz w:val="24"/>
              </w:rPr>
            </w:pPr>
            <w:r>
              <w:rPr>
                <w:rFonts w:ascii="Times New Roman" w:hAnsi="Times New Roman"/>
                <w:sz w:val="24"/>
              </w:rPr>
              <w:t>12.9</w:t>
            </w:r>
          </w:p>
          <w:p w14:paraId="02C65DE4" w14:textId="77777777" w:rsidR="005A3F71" w:rsidRPr="0001203E" w:rsidRDefault="00302DB6" w:rsidP="00DC4D1E">
            <w:pPr>
              <w:keepNext/>
              <w:keepLines/>
              <w:spacing w:after="40"/>
              <w:jc w:val="center"/>
              <w:rPr>
                <w:rFonts w:ascii="Times New Roman" w:hAnsi="Times New Roman"/>
                <w:sz w:val="24"/>
                <w:highlight w:val="cyan"/>
              </w:rPr>
            </w:pPr>
            <w:r>
              <w:rPr>
                <w:rFonts w:ascii="Times New Roman" w:hAnsi="Times New Roman"/>
                <w:sz w:val="24"/>
              </w:rPr>
              <w:t>(4.2–20.8)</w:t>
            </w:r>
          </w:p>
        </w:tc>
        <w:tc>
          <w:tcPr>
            <w:tcW w:w="655" w:type="pct"/>
            <w:vAlign w:val="center"/>
          </w:tcPr>
          <w:p w14:paraId="0F0CA7C2" w14:textId="77777777" w:rsidR="005A3F71" w:rsidRDefault="00302DB6" w:rsidP="00DC4D1E">
            <w:pPr>
              <w:keepNext/>
              <w:keepLines/>
              <w:spacing w:after="40"/>
              <w:jc w:val="center"/>
              <w:rPr>
                <w:rFonts w:ascii="Times New Roman" w:hAnsi="Times New Roman"/>
                <w:sz w:val="24"/>
              </w:rPr>
            </w:pPr>
            <w:r>
              <w:rPr>
                <w:rFonts w:ascii="Times New Roman" w:hAnsi="Times New Roman"/>
                <w:sz w:val="24"/>
              </w:rPr>
              <w:t>13.0</w:t>
            </w:r>
          </w:p>
          <w:p w14:paraId="738C6C3B" w14:textId="77777777" w:rsidR="005A3F71" w:rsidRPr="0001203E" w:rsidRDefault="00302DB6" w:rsidP="00DC4D1E">
            <w:pPr>
              <w:keepNext/>
              <w:keepLines/>
              <w:spacing w:after="40"/>
              <w:jc w:val="center"/>
              <w:rPr>
                <w:rFonts w:ascii="Times New Roman" w:hAnsi="Times New Roman"/>
                <w:b/>
                <w:sz w:val="24"/>
                <w:highlight w:val="cyan"/>
              </w:rPr>
            </w:pPr>
            <w:r>
              <w:rPr>
                <w:rFonts w:ascii="Times New Roman" w:hAnsi="Times New Roman"/>
                <w:sz w:val="24"/>
              </w:rPr>
              <w:t>(4.2–20.8)</w:t>
            </w:r>
          </w:p>
        </w:tc>
      </w:tr>
      <w:tr w:rsidR="005A3F71" w14:paraId="47F50FD7" w14:textId="77777777" w:rsidTr="006C0C22">
        <w:trPr>
          <w:trHeight w:val="552"/>
        </w:trPr>
        <w:tc>
          <w:tcPr>
            <w:tcW w:w="5000" w:type="pct"/>
            <w:gridSpan w:val="7"/>
            <w:shd w:val="clear" w:color="auto" w:fill="D9D9D9"/>
            <w:vAlign w:val="center"/>
          </w:tcPr>
          <w:p w14:paraId="28A7C9CA" w14:textId="77777777" w:rsidR="005A3F71" w:rsidRDefault="00302DB6" w:rsidP="00A32B39">
            <w:pPr>
              <w:keepNext/>
              <w:keepLines/>
              <w:spacing w:after="40"/>
              <w:rPr>
                <w:rFonts w:ascii="Times New Roman" w:hAnsi="Times New Roman"/>
                <w:b/>
                <w:sz w:val="24"/>
              </w:rPr>
            </w:pPr>
            <w:r>
              <w:rPr>
                <w:rFonts w:ascii="Times New Roman" w:hAnsi="Times New Roman"/>
                <w:b/>
                <w:sz w:val="24"/>
              </w:rPr>
              <w:t>Number (%) of patients with a total number of cycles</w:t>
            </w:r>
          </w:p>
        </w:tc>
      </w:tr>
      <w:tr w:rsidR="005A3F71" w14:paraId="7E704F0A" w14:textId="77777777" w:rsidTr="006C0C22">
        <w:trPr>
          <w:trHeight w:val="589"/>
        </w:trPr>
        <w:tc>
          <w:tcPr>
            <w:tcW w:w="1075" w:type="pct"/>
            <w:vAlign w:val="center"/>
          </w:tcPr>
          <w:p w14:paraId="1F6D938F" w14:textId="77777777" w:rsidR="005A3F71" w:rsidRDefault="00302DB6" w:rsidP="00A32B39">
            <w:pPr>
              <w:keepNext/>
              <w:keepLines/>
              <w:spacing w:after="40"/>
              <w:ind w:left="306"/>
              <w:rPr>
                <w:rFonts w:ascii="Times New Roman" w:hAnsi="Times New Roman"/>
                <w:sz w:val="24"/>
              </w:rPr>
            </w:pPr>
            <w:r>
              <w:rPr>
                <w:rFonts w:ascii="Times New Roman" w:hAnsi="Times New Roman"/>
                <w:sz w:val="24"/>
              </w:rPr>
              <w:t>1 cycle</w:t>
            </w:r>
          </w:p>
        </w:tc>
        <w:tc>
          <w:tcPr>
            <w:tcW w:w="654" w:type="pct"/>
            <w:vAlign w:val="center"/>
          </w:tcPr>
          <w:p w14:paraId="49C2905E"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48294190"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2 (33.3)</w:t>
            </w:r>
          </w:p>
        </w:tc>
        <w:tc>
          <w:tcPr>
            <w:tcW w:w="654" w:type="pct"/>
            <w:vAlign w:val="center"/>
          </w:tcPr>
          <w:p w14:paraId="71C4FBDD"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2CFF4339"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2 (20.0)</w:t>
            </w:r>
          </w:p>
        </w:tc>
        <w:tc>
          <w:tcPr>
            <w:tcW w:w="654" w:type="pct"/>
            <w:vAlign w:val="center"/>
          </w:tcPr>
          <w:p w14:paraId="57C2B7F3"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4 (16.0)</w:t>
            </w:r>
          </w:p>
        </w:tc>
        <w:tc>
          <w:tcPr>
            <w:tcW w:w="655" w:type="pct"/>
            <w:vAlign w:val="center"/>
          </w:tcPr>
          <w:p w14:paraId="6417C1BD"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4 (10.0)</w:t>
            </w:r>
          </w:p>
        </w:tc>
      </w:tr>
      <w:tr w:rsidR="005A3F71" w14:paraId="49076AF7" w14:textId="77777777" w:rsidTr="006C0C22">
        <w:trPr>
          <w:trHeight w:val="589"/>
        </w:trPr>
        <w:tc>
          <w:tcPr>
            <w:tcW w:w="1075" w:type="pct"/>
            <w:vAlign w:val="center"/>
          </w:tcPr>
          <w:p w14:paraId="35953B9A" w14:textId="77777777" w:rsidR="005A3F71" w:rsidRDefault="00302DB6" w:rsidP="00A32B39">
            <w:pPr>
              <w:keepNext/>
              <w:keepLines/>
              <w:spacing w:after="40"/>
              <w:ind w:left="306"/>
              <w:rPr>
                <w:rFonts w:ascii="Times New Roman" w:hAnsi="Times New Roman"/>
                <w:sz w:val="24"/>
              </w:rPr>
            </w:pPr>
            <w:r>
              <w:rPr>
                <w:rFonts w:ascii="Times New Roman" w:hAnsi="Times New Roman"/>
                <w:sz w:val="24"/>
              </w:rPr>
              <w:t>2 cycles</w:t>
            </w:r>
          </w:p>
        </w:tc>
        <w:tc>
          <w:tcPr>
            <w:tcW w:w="654" w:type="pct"/>
            <w:vAlign w:val="center"/>
          </w:tcPr>
          <w:p w14:paraId="391C5E49"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1059DA1C"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3 (50.0)</w:t>
            </w:r>
          </w:p>
        </w:tc>
        <w:tc>
          <w:tcPr>
            <w:tcW w:w="654" w:type="pct"/>
            <w:vAlign w:val="center"/>
          </w:tcPr>
          <w:p w14:paraId="62111180"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43D95795"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2 (20.0)</w:t>
            </w:r>
          </w:p>
        </w:tc>
        <w:tc>
          <w:tcPr>
            <w:tcW w:w="654" w:type="pct"/>
            <w:vAlign w:val="center"/>
          </w:tcPr>
          <w:p w14:paraId="0401C12E"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5 (20.0)</w:t>
            </w:r>
          </w:p>
        </w:tc>
        <w:tc>
          <w:tcPr>
            <w:tcW w:w="655" w:type="pct"/>
            <w:vAlign w:val="center"/>
          </w:tcPr>
          <w:p w14:paraId="525CB137"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5 (12.5)</w:t>
            </w:r>
          </w:p>
        </w:tc>
      </w:tr>
      <w:tr w:rsidR="005A3F71" w14:paraId="6188D7DC" w14:textId="77777777" w:rsidTr="006C0C22">
        <w:trPr>
          <w:trHeight w:val="589"/>
        </w:trPr>
        <w:tc>
          <w:tcPr>
            <w:tcW w:w="1075" w:type="pct"/>
            <w:vAlign w:val="center"/>
          </w:tcPr>
          <w:p w14:paraId="3C9F535B" w14:textId="77777777" w:rsidR="005A3F71" w:rsidRDefault="00302DB6" w:rsidP="00A32B39">
            <w:pPr>
              <w:keepNext/>
              <w:keepLines/>
              <w:spacing w:after="40"/>
              <w:ind w:left="306"/>
              <w:rPr>
                <w:rFonts w:ascii="Times New Roman" w:hAnsi="Times New Roman"/>
                <w:sz w:val="24"/>
              </w:rPr>
            </w:pPr>
            <w:r>
              <w:rPr>
                <w:rFonts w:ascii="Times New Roman" w:hAnsi="Times New Roman"/>
                <w:sz w:val="24"/>
              </w:rPr>
              <w:t>3 cycles</w:t>
            </w:r>
          </w:p>
        </w:tc>
        <w:tc>
          <w:tcPr>
            <w:tcW w:w="654" w:type="pct"/>
            <w:vAlign w:val="center"/>
          </w:tcPr>
          <w:p w14:paraId="474DAACA"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15 (100)</w:t>
            </w:r>
          </w:p>
        </w:tc>
        <w:tc>
          <w:tcPr>
            <w:tcW w:w="654" w:type="pct"/>
            <w:vAlign w:val="center"/>
          </w:tcPr>
          <w:p w14:paraId="099DF455"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1 (16.7)</w:t>
            </w:r>
          </w:p>
        </w:tc>
        <w:tc>
          <w:tcPr>
            <w:tcW w:w="654" w:type="pct"/>
            <w:vAlign w:val="center"/>
          </w:tcPr>
          <w:p w14:paraId="0BB31867"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5 (55.6)</w:t>
            </w:r>
          </w:p>
        </w:tc>
        <w:tc>
          <w:tcPr>
            <w:tcW w:w="654" w:type="pct"/>
            <w:vAlign w:val="center"/>
          </w:tcPr>
          <w:p w14:paraId="70BBF1BF"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4 (40.0)</w:t>
            </w:r>
          </w:p>
        </w:tc>
        <w:tc>
          <w:tcPr>
            <w:tcW w:w="654" w:type="pct"/>
            <w:vAlign w:val="center"/>
          </w:tcPr>
          <w:p w14:paraId="75360D6A"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10 (40.0)</w:t>
            </w:r>
          </w:p>
        </w:tc>
        <w:tc>
          <w:tcPr>
            <w:tcW w:w="655" w:type="pct"/>
            <w:vAlign w:val="center"/>
          </w:tcPr>
          <w:p w14:paraId="35ADA467"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25 (62.5)</w:t>
            </w:r>
          </w:p>
        </w:tc>
      </w:tr>
      <w:tr w:rsidR="005A3F71" w14:paraId="2C2EAD24" w14:textId="77777777" w:rsidTr="006C0C22">
        <w:trPr>
          <w:trHeight w:val="589"/>
        </w:trPr>
        <w:tc>
          <w:tcPr>
            <w:tcW w:w="1075" w:type="pct"/>
            <w:vAlign w:val="center"/>
          </w:tcPr>
          <w:p w14:paraId="59CE07F5" w14:textId="77777777" w:rsidR="005A3F71" w:rsidRDefault="00302DB6" w:rsidP="00A32B39">
            <w:pPr>
              <w:keepNext/>
              <w:keepLines/>
              <w:spacing w:after="40"/>
              <w:ind w:left="306"/>
              <w:rPr>
                <w:rFonts w:ascii="Times New Roman" w:hAnsi="Times New Roman"/>
                <w:sz w:val="24"/>
              </w:rPr>
            </w:pPr>
            <w:r>
              <w:rPr>
                <w:rFonts w:ascii="Times New Roman" w:hAnsi="Times New Roman"/>
                <w:sz w:val="24"/>
              </w:rPr>
              <w:t>4 cycles</w:t>
            </w:r>
          </w:p>
        </w:tc>
        <w:tc>
          <w:tcPr>
            <w:tcW w:w="654" w:type="pct"/>
            <w:vAlign w:val="center"/>
          </w:tcPr>
          <w:p w14:paraId="50143791"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w:t>
            </w:r>
          </w:p>
        </w:tc>
        <w:tc>
          <w:tcPr>
            <w:tcW w:w="654" w:type="pct"/>
            <w:vAlign w:val="center"/>
          </w:tcPr>
          <w:p w14:paraId="32A48F4B"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6E19ED03"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4 (44.4)</w:t>
            </w:r>
          </w:p>
        </w:tc>
        <w:tc>
          <w:tcPr>
            <w:tcW w:w="654" w:type="pct"/>
            <w:vAlign w:val="center"/>
          </w:tcPr>
          <w:p w14:paraId="73A671D7"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1 (10.0)</w:t>
            </w:r>
          </w:p>
        </w:tc>
        <w:tc>
          <w:tcPr>
            <w:tcW w:w="654" w:type="pct"/>
            <w:vAlign w:val="center"/>
          </w:tcPr>
          <w:p w14:paraId="536A38B8"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5 (20.0)</w:t>
            </w:r>
          </w:p>
        </w:tc>
        <w:tc>
          <w:tcPr>
            <w:tcW w:w="655" w:type="pct"/>
            <w:vAlign w:val="center"/>
          </w:tcPr>
          <w:p w14:paraId="2D0ECF2D"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5 (12.5)</w:t>
            </w:r>
          </w:p>
        </w:tc>
      </w:tr>
      <w:tr w:rsidR="005A3F71" w14:paraId="7D1518AE" w14:textId="77777777" w:rsidTr="006C0C22">
        <w:trPr>
          <w:trHeight w:val="589"/>
        </w:trPr>
        <w:tc>
          <w:tcPr>
            <w:tcW w:w="1075" w:type="pct"/>
            <w:vAlign w:val="center"/>
          </w:tcPr>
          <w:p w14:paraId="15B515F9" w14:textId="77777777" w:rsidR="005A3F71" w:rsidRDefault="00302DB6" w:rsidP="00A32B39">
            <w:pPr>
              <w:keepNext/>
              <w:keepLines/>
              <w:spacing w:after="40"/>
              <w:ind w:left="306"/>
              <w:rPr>
                <w:rFonts w:ascii="Times New Roman" w:hAnsi="Times New Roman"/>
                <w:sz w:val="24"/>
              </w:rPr>
            </w:pPr>
            <w:r>
              <w:rPr>
                <w:rFonts w:ascii="Times New Roman" w:hAnsi="Times New Roman"/>
                <w:sz w:val="24"/>
              </w:rPr>
              <w:t>5 cycles</w:t>
            </w:r>
          </w:p>
        </w:tc>
        <w:tc>
          <w:tcPr>
            <w:tcW w:w="654" w:type="pct"/>
            <w:vAlign w:val="center"/>
          </w:tcPr>
          <w:p w14:paraId="5F18A767"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w:t>
            </w:r>
          </w:p>
        </w:tc>
        <w:tc>
          <w:tcPr>
            <w:tcW w:w="654" w:type="pct"/>
            <w:vAlign w:val="center"/>
          </w:tcPr>
          <w:p w14:paraId="4FDB123A"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225725EC" w14:textId="77777777" w:rsidR="005A3F71" w:rsidRDefault="00302DB6" w:rsidP="00A32B39">
            <w:pPr>
              <w:keepNext/>
              <w:keepLines/>
              <w:spacing w:after="40"/>
              <w:contextualSpacing/>
              <w:jc w:val="center"/>
              <w:rPr>
                <w:rFonts w:ascii="Times New Roman" w:hAnsi="Times New Roman"/>
                <w:sz w:val="24"/>
              </w:rPr>
            </w:pPr>
            <w:r>
              <w:rPr>
                <w:rFonts w:ascii="Times New Roman" w:hAnsi="Times New Roman"/>
                <w:sz w:val="24"/>
              </w:rPr>
              <w:t>0</w:t>
            </w:r>
          </w:p>
        </w:tc>
        <w:tc>
          <w:tcPr>
            <w:tcW w:w="654" w:type="pct"/>
            <w:vAlign w:val="center"/>
          </w:tcPr>
          <w:p w14:paraId="045682F7"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1 (10.0)</w:t>
            </w:r>
          </w:p>
        </w:tc>
        <w:tc>
          <w:tcPr>
            <w:tcW w:w="654" w:type="pct"/>
            <w:vAlign w:val="center"/>
          </w:tcPr>
          <w:p w14:paraId="05EAE200"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1 (4.0)</w:t>
            </w:r>
          </w:p>
        </w:tc>
        <w:tc>
          <w:tcPr>
            <w:tcW w:w="655" w:type="pct"/>
            <w:vAlign w:val="center"/>
          </w:tcPr>
          <w:p w14:paraId="1EECCA2E" w14:textId="77777777" w:rsidR="005A3F71" w:rsidRDefault="00302DB6" w:rsidP="00DC4D1E">
            <w:pPr>
              <w:keepNext/>
              <w:keepLines/>
              <w:spacing w:after="40"/>
              <w:contextualSpacing/>
              <w:jc w:val="center"/>
              <w:rPr>
                <w:rFonts w:ascii="Times New Roman" w:hAnsi="Times New Roman"/>
                <w:sz w:val="24"/>
              </w:rPr>
            </w:pPr>
            <w:r>
              <w:rPr>
                <w:rFonts w:ascii="Times New Roman" w:hAnsi="Times New Roman"/>
                <w:sz w:val="24"/>
              </w:rPr>
              <w:t>1 (2.5)</w:t>
            </w:r>
          </w:p>
        </w:tc>
      </w:tr>
    </w:tbl>
    <w:p w14:paraId="2D60C07A" w14:textId="3E66723B" w:rsidR="005A3F71" w:rsidRDefault="007854C3">
      <w:pPr>
        <w:keepNext/>
        <w:keepLines/>
        <w:rPr>
          <w:rFonts w:ascii="Times New Roman" w:hAnsi="Times New Roman"/>
          <w:sz w:val="20"/>
        </w:rPr>
      </w:pPr>
      <w:r>
        <w:rPr>
          <w:rFonts w:ascii="Times New Roman" w:hAnsi="Times New Roman"/>
          <w:sz w:val="20"/>
        </w:rPr>
        <w:t>Overall study population</w:t>
      </w:r>
      <w:r w:rsidR="00302DB6" w:rsidRPr="00A32B39">
        <w:rPr>
          <w:rFonts w:ascii="Times New Roman" w:hAnsi="Times New Roman"/>
          <w:sz w:val="20"/>
        </w:rPr>
        <w:t xml:space="preserve"> (N=40). Data are presented as n (%), unless otherwise specified.</w:t>
      </w:r>
      <w:r w:rsidR="006E2698">
        <w:rPr>
          <w:rFonts w:ascii="Times New Roman" w:hAnsi="Times New Roman"/>
          <w:sz w:val="20"/>
        </w:rPr>
        <w:t xml:space="preserve"> *n=14.</w:t>
      </w:r>
    </w:p>
    <w:p w14:paraId="73C4C622" w14:textId="77777777" w:rsidR="005A3F71" w:rsidRDefault="00302DB6">
      <w:pPr>
        <w:tabs>
          <w:tab w:val="left" w:pos="0"/>
          <w:tab w:val="left" w:pos="180"/>
          <w:tab w:val="left" w:pos="360"/>
          <w:tab w:val="left" w:pos="720"/>
          <w:tab w:val="left" w:pos="990"/>
          <w:tab w:val="left" w:pos="1080"/>
          <w:tab w:val="left" w:pos="1620"/>
        </w:tabs>
        <w:spacing w:after="0" w:line="480" w:lineRule="auto"/>
        <w:ind w:right="56"/>
        <w:contextualSpacing/>
        <w:jc w:val="both"/>
        <w:rPr>
          <w:rFonts w:ascii="Times New Roman" w:hAnsi="Times New Roman"/>
          <w:b/>
          <w:sz w:val="24"/>
        </w:rPr>
      </w:pPr>
      <w:r w:rsidRPr="00A32B39">
        <w:rPr>
          <w:rFonts w:ascii="Times New Roman" w:hAnsi="Times New Roman"/>
          <w:b/>
          <w:sz w:val="24"/>
        </w:rPr>
        <w:t xml:space="preserve"> </w:t>
      </w:r>
    </w:p>
    <w:p w14:paraId="5EF200EF" w14:textId="1DFF382A" w:rsidR="005A3F71" w:rsidRDefault="00302DB6">
      <w:pPr>
        <w:tabs>
          <w:tab w:val="left" w:pos="0"/>
          <w:tab w:val="left" w:pos="180"/>
          <w:tab w:val="left" w:pos="360"/>
          <w:tab w:val="left" w:pos="720"/>
          <w:tab w:val="left" w:pos="990"/>
          <w:tab w:val="left" w:pos="1080"/>
          <w:tab w:val="left" w:pos="1620"/>
        </w:tabs>
        <w:spacing w:after="0" w:line="480" w:lineRule="auto"/>
        <w:ind w:right="56"/>
        <w:contextualSpacing/>
        <w:jc w:val="both"/>
        <w:rPr>
          <w:rFonts w:ascii="Times New Roman" w:hAnsi="Times New Roman"/>
          <w:sz w:val="20"/>
        </w:rPr>
      </w:pPr>
      <w:r w:rsidRPr="006C0C22">
        <w:rPr>
          <w:rFonts w:ascii="Times New Roman" w:hAnsi="Times New Roman"/>
          <w:b/>
          <w:sz w:val="24"/>
        </w:rPr>
        <w:t>Table S2</w:t>
      </w:r>
      <w:r w:rsidRPr="006C0C22">
        <w:rPr>
          <w:rFonts w:ascii="Times New Roman" w:hAnsi="Times New Roman"/>
          <w:sz w:val="24"/>
        </w:rPr>
        <w:t xml:space="preserve">. </w:t>
      </w:r>
      <w:r w:rsidR="00CC4B7A">
        <w:rPr>
          <w:rFonts w:ascii="Times New Roman" w:hAnsi="Times New Roman"/>
          <w:sz w:val="24"/>
          <w:lang w:val="en-GB"/>
        </w:rPr>
        <w:t>A</w:t>
      </w:r>
      <w:r w:rsidRPr="00DC4D1E">
        <w:rPr>
          <w:rFonts w:ascii="Times New Roman" w:hAnsi="Times New Roman"/>
          <w:sz w:val="24"/>
          <w:lang w:val="en-GB"/>
        </w:rPr>
        <w:t xml:space="preserve">bsorbed dose coefficients of </w:t>
      </w:r>
      <w:r w:rsidR="00F6446F" w:rsidRPr="00F6446F">
        <w:rPr>
          <w:rFonts w:ascii="Times New Roman" w:hAnsi="Times New Roman"/>
          <w:sz w:val="24"/>
        </w:rPr>
        <w:t>[</w:t>
      </w:r>
      <w:r w:rsidR="00F6446F" w:rsidRPr="00F6446F">
        <w:rPr>
          <w:rFonts w:ascii="Times New Roman" w:hAnsi="Times New Roman"/>
          <w:sz w:val="24"/>
          <w:vertAlign w:val="superscript"/>
        </w:rPr>
        <w:t>177</w:t>
      </w:r>
      <w:proofErr w:type="gramStart"/>
      <w:r w:rsidR="00F6446F" w:rsidRPr="00F6446F">
        <w:rPr>
          <w:rFonts w:ascii="Times New Roman" w:hAnsi="Times New Roman"/>
          <w:sz w:val="24"/>
        </w:rPr>
        <w:t>Lu]Lu</w:t>
      </w:r>
      <w:proofErr w:type="gramEnd"/>
      <w:r w:rsidR="00F6446F" w:rsidRPr="00F6446F">
        <w:rPr>
          <w:rFonts w:ascii="Times New Roman" w:hAnsi="Times New Roman"/>
          <w:sz w:val="24"/>
        </w:rPr>
        <w:t>-</w:t>
      </w:r>
      <w:proofErr w:type="spellStart"/>
      <w:r w:rsidR="00F6446F" w:rsidRPr="00F6446F">
        <w:rPr>
          <w:rFonts w:ascii="Times New Roman" w:hAnsi="Times New Roman"/>
          <w:sz w:val="24"/>
        </w:rPr>
        <w:t>satoreotide</w:t>
      </w:r>
      <w:proofErr w:type="spellEnd"/>
      <w:r w:rsidR="00AC4E8F">
        <w:rPr>
          <w:rFonts w:ascii="Times New Roman" w:hAnsi="Times New Roman"/>
          <w:sz w:val="24"/>
        </w:rPr>
        <w:t xml:space="preserve"> </w:t>
      </w:r>
      <w:r w:rsidRPr="006C0C22">
        <w:rPr>
          <w:rFonts w:ascii="Times New Roman" w:hAnsi="Times New Roman"/>
          <w:sz w:val="24"/>
        </w:rPr>
        <w:t>tetraxetan</w:t>
      </w:r>
      <w:r w:rsidRPr="00DC4D1E">
        <w:rPr>
          <w:rFonts w:ascii="Times New Roman" w:hAnsi="Times New Roman"/>
          <w:sz w:val="24"/>
          <w:lang w:val="en-GB"/>
        </w:rPr>
        <w:t xml:space="preserve"> </w:t>
      </w:r>
      <w:r w:rsidR="009B20AD">
        <w:rPr>
          <w:rFonts w:ascii="Times New Roman" w:hAnsi="Times New Roman"/>
          <w:sz w:val="24"/>
          <w:lang w:val="en-GB"/>
        </w:rPr>
        <w:t xml:space="preserve">at the first treatment cycle </w:t>
      </w:r>
      <w:r w:rsidRPr="00DC4D1E">
        <w:rPr>
          <w:rFonts w:ascii="Times New Roman" w:hAnsi="Times New Roman"/>
          <w:sz w:val="24"/>
          <w:lang w:val="en-GB"/>
        </w:rPr>
        <w:t>in all lesions by initial diagnosis</w:t>
      </w:r>
      <w:r w:rsidR="006E34A3">
        <w:rPr>
          <w:rFonts w:ascii="Times New Roman" w:hAnsi="Times New Roman"/>
          <w:sz w:val="24"/>
          <w:lang w:val="en-GB"/>
        </w:rPr>
        <w:t>.</w:t>
      </w:r>
    </w:p>
    <w:tbl>
      <w:tblPr>
        <w:tblStyle w:val="TableGrid"/>
        <w:tblW w:w="9209" w:type="dxa"/>
        <w:tblLayout w:type="fixed"/>
        <w:tblLook w:val="04A0" w:firstRow="1" w:lastRow="0" w:firstColumn="1" w:lastColumn="0" w:noHBand="0" w:noVBand="1"/>
      </w:tblPr>
      <w:tblGrid>
        <w:gridCol w:w="2287"/>
        <w:gridCol w:w="1849"/>
        <w:gridCol w:w="2170"/>
        <w:gridCol w:w="2903"/>
      </w:tblGrid>
      <w:tr w:rsidR="005A3F71" w14:paraId="5DB4CD2A" w14:textId="77777777" w:rsidTr="006C0C22">
        <w:trPr>
          <w:trHeight w:val="446"/>
        </w:trPr>
        <w:tc>
          <w:tcPr>
            <w:tcW w:w="1242" w:type="pct"/>
          </w:tcPr>
          <w:p w14:paraId="051AB0F6" w14:textId="77777777" w:rsidR="005A3F71" w:rsidRDefault="005A3F71" w:rsidP="00A32B39">
            <w:pPr>
              <w:tabs>
                <w:tab w:val="left" w:pos="-90"/>
                <w:tab w:val="left" w:pos="180"/>
                <w:tab w:val="left" w:pos="720"/>
                <w:tab w:val="left" w:pos="810"/>
                <w:tab w:val="left" w:pos="1620"/>
              </w:tabs>
              <w:spacing w:line="480" w:lineRule="auto"/>
              <w:ind w:right="540"/>
              <w:contextualSpacing/>
              <w:jc w:val="both"/>
              <w:rPr>
                <w:rFonts w:ascii="Times New Roman" w:hAnsi="Times New Roman"/>
                <w:sz w:val="24"/>
              </w:rPr>
            </w:pPr>
          </w:p>
        </w:tc>
        <w:tc>
          <w:tcPr>
            <w:tcW w:w="3758" w:type="pct"/>
            <w:gridSpan w:val="3"/>
            <w:vAlign w:val="center"/>
          </w:tcPr>
          <w:p w14:paraId="6C038290" w14:textId="77777777" w:rsidR="005A3F71" w:rsidRDefault="00302DB6" w:rsidP="00A32B39">
            <w:pPr>
              <w:tabs>
                <w:tab w:val="left" w:pos="180"/>
                <w:tab w:val="left" w:pos="324"/>
                <w:tab w:val="left" w:pos="720"/>
                <w:tab w:val="left" w:pos="810"/>
                <w:tab w:val="left" w:pos="1620"/>
              </w:tabs>
              <w:spacing w:line="360" w:lineRule="auto"/>
              <w:ind w:left="72" w:right="132"/>
              <w:contextualSpacing/>
              <w:jc w:val="center"/>
              <w:rPr>
                <w:rFonts w:ascii="Times New Roman" w:hAnsi="Times New Roman"/>
                <w:b/>
                <w:sz w:val="24"/>
              </w:rPr>
            </w:pPr>
            <w:r>
              <w:rPr>
                <w:rFonts w:ascii="Times New Roman" w:hAnsi="Times New Roman"/>
                <w:b/>
                <w:sz w:val="24"/>
              </w:rPr>
              <w:t>Initial diagnosis</w:t>
            </w:r>
          </w:p>
        </w:tc>
      </w:tr>
      <w:tr w:rsidR="005A3F71" w14:paraId="36903843" w14:textId="77777777" w:rsidTr="006C0C22">
        <w:trPr>
          <w:trHeight w:val="1165"/>
        </w:trPr>
        <w:tc>
          <w:tcPr>
            <w:tcW w:w="1242" w:type="pct"/>
            <w:vAlign w:val="center"/>
          </w:tcPr>
          <w:p w14:paraId="7C2FB206" w14:textId="25884633" w:rsidR="005A3F71" w:rsidRDefault="00302DB6" w:rsidP="00A32B39">
            <w:pPr>
              <w:tabs>
                <w:tab w:val="left" w:pos="-90"/>
                <w:tab w:val="left" w:pos="180"/>
                <w:tab w:val="left" w:pos="720"/>
                <w:tab w:val="left" w:pos="810"/>
                <w:tab w:val="left" w:pos="1620"/>
              </w:tabs>
              <w:ind w:right="540"/>
              <w:contextualSpacing/>
              <w:rPr>
                <w:rFonts w:ascii="Times New Roman" w:hAnsi="Times New Roman"/>
                <w:b/>
                <w:sz w:val="24"/>
              </w:rPr>
            </w:pPr>
            <w:r>
              <w:rPr>
                <w:rFonts w:ascii="Times New Roman" w:hAnsi="Times New Roman"/>
                <w:b/>
                <w:sz w:val="24"/>
              </w:rPr>
              <w:t>Overall specific absorbed dose coefficient</w:t>
            </w:r>
            <w:r w:rsidR="00154BED">
              <w:rPr>
                <w:rFonts w:ascii="Times New Roman" w:hAnsi="Times New Roman"/>
                <w:b/>
                <w:sz w:val="24"/>
              </w:rPr>
              <w:t xml:space="preserve">, </w:t>
            </w:r>
            <w:proofErr w:type="spellStart"/>
            <w:r w:rsidR="00154BED">
              <w:rPr>
                <w:rFonts w:ascii="Times New Roman" w:hAnsi="Times New Roman"/>
                <w:b/>
                <w:sz w:val="24"/>
              </w:rPr>
              <w:t>Gy</w:t>
            </w:r>
            <w:proofErr w:type="spellEnd"/>
            <w:r w:rsidR="00154BED">
              <w:rPr>
                <w:rFonts w:ascii="Times New Roman" w:hAnsi="Times New Roman"/>
                <w:b/>
                <w:sz w:val="24"/>
              </w:rPr>
              <w:t>/</w:t>
            </w:r>
            <w:proofErr w:type="spellStart"/>
            <w:r w:rsidR="00154BED">
              <w:rPr>
                <w:rFonts w:ascii="Times New Roman" w:hAnsi="Times New Roman"/>
                <w:b/>
                <w:sz w:val="24"/>
              </w:rPr>
              <w:t>GBq</w:t>
            </w:r>
            <w:proofErr w:type="spellEnd"/>
          </w:p>
        </w:tc>
        <w:tc>
          <w:tcPr>
            <w:tcW w:w="1004" w:type="pct"/>
            <w:vAlign w:val="center"/>
          </w:tcPr>
          <w:p w14:paraId="4CCD945A" w14:textId="77777777" w:rsidR="005A3F71" w:rsidRDefault="00302DB6" w:rsidP="00A32B39">
            <w:pPr>
              <w:tabs>
                <w:tab w:val="left" w:pos="0"/>
                <w:tab w:val="left" w:pos="180"/>
                <w:tab w:val="left" w:pos="720"/>
                <w:tab w:val="left" w:pos="810"/>
                <w:tab w:val="left" w:pos="1620"/>
              </w:tabs>
              <w:ind w:right="-108" w:hanging="114"/>
              <w:contextualSpacing/>
              <w:jc w:val="center"/>
              <w:rPr>
                <w:rFonts w:ascii="Times New Roman" w:hAnsi="Times New Roman"/>
                <w:b/>
                <w:sz w:val="24"/>
              </w:rPr>
            </w:pPr>
            <w:r>
              <w:rPr>
                <w:rFonts w:ascii="Times New Roman" w:hAnsi="Times New Roman"/>
                <w:b/>
                <w:sz w:val="24"/>
              </w:rPr>
              <w:t>GEP-NET</w:t>
            </w:r>
          </w:p>
        </w:tc>
        <w:tc>
          <w:tcPr>
            <w:tcW w:w="1178" w:type="pct"/>
            <w:vAlign w:val="center"/>
          </w:tcPr>
          <w:p w14:paraId="05C12A6C" w14:textId="77777777" w:rsidR="005A3F71" w:rsidRDefault="00302DB6" w:rsidP="00A32B39">
            <w:pPr>
              <w:tabs>
                <w:tab w:val="left" w:pos="336"/>
                <w:tab w:val="left" w:pos="516"/>
                <w:tab w:val="left" w:pos="720"/>
                <w:tab w:val="left" w:pos="810"/>
                <w:tab w:val="left" w:pos="1620"/>
              </w:tabs>
              <w:ind w:left="-114" w:right="-108"/>
              <w:contextualSpacing/>
              <w:jc w:val="center"/>
              <w:rPr>
                <w:rFonts w:ascii="Times New Roman" w:hAnsi="Times New Roman"/>
                <w:b/>
                <w:sz w:val="24"/>
              </w:rPr>
            </w:pPr>
            <w:r>
              <w:rPr>
                <w:rFonts w:ascii="Times New Roman" w:hAnsi="Times New Roman"/>
                <w:b/>
                <w:sz w:val="24"/>
              </w:rPr>
              <w:t>Lung NET</w:t>
            </w:r>
          </w:p>
        </w:tc>
        <w:tc>
          <w:tcPr>
            <w:tcW w:w="1576" w:type="pct"/>
            <w:vAlign w:val="center"/>
          </w:tcPr>
          <w:p w14:paraId="5E853006" w14:textId="77777777" w:rsidR="005A3F71" w:rsidRDefault="00302DB6" w:rsidP="00A32B39">
            <w:pPr>
              <w:tabs>
                <w:tab w:val="left" w:pos="180"/>
                <w:tab w:val="left" w:pos="324"/>
                <w:tab w:val="left" w:pos="720"/>
                <w:tab w:val="left" w:pos="810"/>
                <w:tab w:val="left" w:pos="1620"/>
              </w:tabs>
              <w:ind w:left="72" w:right="132"/>
              <w:contextualSpacing/>
              <w:jc w:val="center"/>
              <w:rPr>
                <w:rFonts w:ascii="Times New Roman" w:hAnsi="Times New Roman"/>
                <w:b/>
                <w:sz w:val="24"/>
              </w:rPr>
            </w:pPr>
            <w:r>
              <w:rPr>
                <w:rFonts w:ascii="Times New Roman" w:hAnsi="Times New Roman"/>
                <w:b/>
                <w:sz w:val="24"/>
              </w:rPr>
              <w:t>Pheochromocytoma + paraganglioma</w:t>
            </w:r>
          </w:p>
        </w:tc>
      </w:tr>
      <w:tr w:rsidR="005A3F71" w14:paraId="48789515" w14:textId="77777777" w:rsidTr="006C0C22">
        <w:trPr>
          <w:trHeight w:val="532"/>
        </w:trPr>
        <w:tc>
          <w:tcPr>
            <w:tcW w:w="1242" w:type="pct"/>
            <w:vAlign w:val="center"/>
          </w:tcPr>
          <w:p w14:paraId="55CB3343" w14:textId="77777777" w:rsidR="005A3F71" w:rsidRDefault="00302DB6" w:rsidP="00A32B39">
            <w:pPr>
              <w:tabs>
                <w:tab w:val="left" w:pos="-90"/>
                <w:tab w:val="left" w:pos="180"/>
                <w:tab w:val="left" w:pos="720"/>
                <w:tab w:val="left" w:pos="810"/>
                <w:tab w:val="left" w:pos="1620"/>
              </w:tabs>
              <w:spacing w:line="360" w:lineRule="auto"/>
              <w:ind w:right="72"/>
              <w:contextualSpacing/>
              <w:rPr>
                <w:rFonts w:ascii="Times New Roman" w:hAnsi="Times New Roman"/>
                <w:sz w:val="24"/>
              </w:rPr>
            </w:pPr>
            <w:r>
              <w:rPr>
                <w:rFonts w:ascii="Times New Roman" w:hAnsi="Times New Roman"/>
                <w:sz w:val="24"/>
              </w:rPr>
              <w:t>N</w:t>
            </w:r>
          </w:p>
        </w:tc>
        <w:tc>
          <w:tcPr>
            <w:tcW w:w="1004" w:type="pct"/>
            <w:vAlign w:val="center"/>
          </w:tcPr>
          <w:p w14:paraId="6F7A71C5" w14:textId="06558C3B" w:rsidR="005A3F71" w:rsidRDefault="00302DB6" w:rsidP="00A32B39">
            <w:pPr>
              <w:tabs>
                <w:tab w:val="left" w:pos="-90"/>
                <w:tab w:val="left" w:pos="426"/>
                <w:tab w:val="left" w:pos="606"/>
                <w:tab w:val="left" w:pos="1620"/>
              </w:tabs>
              <w:spacing w:line="360" w:lineRule="auto"/>
              <w:ind w:left="44" w:right="168"/>
              <w:contextualSpacing/>
              <w:jc w:val="center"/>
              <w:rPr>
                <w:rFonts w:ascii="Times New Roman" w:hAnsi="Times New Roman"/>
                <w:sz w:val="24"/>
              </w:rPr>
            </w:pPr>
            <w:r>
              <w:rPr>
                <w:rFonts w:ascii="Times New Roman" w:hAnsi="Times New Roman"/>
                <w:sz w:val="24"/>
              </w:rPr>
              <w:t>2</w:t>
            </w:r>
            <w:r w:rsidR="009B20AD">
              <w:rPr>
                <w:rFonts w:ascii="Times New Roman" w:hAnsi="Times New Roman"/>
                <w:sz w:val="24"/>
              </w:rPr>
              <w:t>3</w:t>
            </w:r>
          </w:p>
        </w:tc>
        <w:tc>
          <w:tcPr>
            <w:tcW w:w="1178" w:type="pct"/>
            <w:vAlign w:val="center"/>
          </w:tcPr>
          <w:p w14:paraId="476B8A01" w14:textId="77777777" w:rsidR="005A3F71" w:rsidRDefault="00302DB6" w:rsidP="00A32B39">
            <w:pPr>
              <w:tabs>
                <w:tab w:val="left" w:pos="-90"/>
                <w:tab w:val="left" w:pos="426"/>
                <w:tab w:val="left" w:pos="606"/>
                <w:tab w:val="left" w:pos="720"/>
                <w:tab w:val="left" w:pos="1620"/>
              </w:tabs>
              <w:spacing w:line="360" w:lineRule="auto"/>
              <w:ind w:left="44" w:right="78"/>
              <w:contextualSpacing/>
              <w:jc w:val="center"/>
              <w:rPr>
                <w:rFonts w:ascii="Times New Roman" w:hAnsi="Times New Roman"/>
                <w:sz w:val="24"/>
              </w:rPr>
            </w:pPr>
            <w:r>
              <w:rPr>
                <w:rFonts w:ascii="Times New Roman" w:hAnsi="Times New Roman"/>
                <w:sz w:val="24"/>
              </w:rPr>
              <w:t>6</w:t>
            </w:r>
          </w:p>
        </w:tc>
        <w:tc>
          <w:tcPr>
            <w:tcW w:w="1576" w:type="pct"/>
            <w:vAlign w:val="center"/>
          </w:tcPr>
          <w:p w14:paraId="039A1086" w14:textId="77777777" w:rsidR="005A3F71" w:rsidRDefault="00302DB6" w:rsidP="00A32B39">
            <w:pPr>
              <w:tabs>
                <w:tab w:val="left" w:pos="-90"/>
                <w:tab w:val="left" w:pos="426"/>
                <w:tab w:val="left" w:pos="606"/>
                <w:tab w:val="left" w:pos="720"/>
                <w:tab w:val="left" w:pos="1620"/>
              </w:tabs>
              <w:spacing w:line="360" w:lineRule="auto"/>
              <w:ind w:left="44" w:right="78"/>
              <w:contextualSpacing/>
              <w:jc w:val="center"/>
              <w:rPr>
                <w:rFonts w:ascii="Times New Roman" w:hAnsi="Times New Roman"/>
                <w:sz w:val="24"/>
              </w:rPr>
            </w:pPr>
            <w:r>
              <w:rPr>
                <w:rFonts w:ascii="Times New Roman" w:hAnsi="Times New Roman"/>
                <w:sz w:val="24"/>
              </w:rPr>
              <w:t>4</w:t>
            </w:r>
          </w:p>
        </w:tc>
      </w:tr>
      <w:tr w:rsidR="005A3F71" w14:paraId="7F8D7ADE" w14:textId="77777777" w:rsidTr="006C0C22">
        <w:trPr>
          <w:trHeight w:val="532"/>
        </w:trPr>
        <w:tc>
          <w:tcPr>
            <w:tcW w:w="1242" w:type="pct"/>
            <w:vAlign w:val="center"/>
          </w:tcPr>
          <w:p w14:paraId="54FC2D81" w14:textId="21515E1C" w:rsidR="005A3F71" w:rsidRDefault="00302DB6" w:rsidP="00A32B39">
            <w:pPr>
              <w:tabs>
                <w:tab w:val="left" w:pos="-90"/>
                <w:tab w:val="left" w:pos="180"/>
                <w:tab w:val="left" w:pos="720"/>
                <w:tab w:val="left" w:pos="810"/>
                <w:tab w:val="left" w:pos="1620"/>
              </w:tabs>
              <w:spacing w:line="360" w:lineRule="auto"/>
              <w:ind w:right="72"/>
              <w:contextualSpacing/>
              <w:rPr>
                <w:rFonts w:ascii="Times New Roman" w:hAnsi="Times New Roman"/>
                <w:sz w:val="24"/>
              </w:rPr>
            </w:pPr>
            <w:r>
              <w:rPr>
                <w:rFonts w:ascii="Times New Roman" w:hAnsi="Times New Roman"/>
                <w:sz w:val="24"/>
              </w:rPr>
              <w:t>Median</w:t>
            </w:r>
          </w:p>
        </w:tc>
        <w:tc>
          <w:tcPr>
            <w:tcW w:w="1004" w:type="pct"/>
            <w:vAlign w:val="center"/>
          </w:tcPr>
          <w:p w14:paraId="696A96C3" w14:textId="44B74F60" w:rsidR="005A3F71" w:rsidRDefault="009B20AD" w:rsidP="00A32B39">
            <w:pPr>
              <w:tabs>
                <w:tab w:val="left" w:pos="-90"/>
                <w:tab w:val="left" w:pos="426"/>
                <w:tab w:val="left" w:pos="606"/>
                <w:tab w:val="left" w:pos="1620"/>
              </w:tabs>
              <w:spacing w:line="360" w:lineRule="auto"/>
              <w:ind w:left="44" w:right="168"/>
              <w:contextualSpacing/>
              <w:jc w:val="center"/>
              <w:rPr>
                <w:rFonts w:ascii="Times New Roman" w:hAnsi="Times New Roman"/>
                <w:sz w:val="24"/>
              </w:rPr>
            </w:pPr>
            <w:r>
              <w:rPr>
                <w:rFonts w:ascii="Times New Roman" w:hAnsi="Times New Roman"/>
                <w:sz w:val="24"/>
              </w:rPr>
              <w:t>5.8</w:t>
            </w:r>
          </w:p>
        </w:tc>
        <w:tc>
          <w:tcPr>
            <w:tcW w:w="1178" w:type="pct"/>
            <w:vAlign w:val="center"/>
          </w:tcPr>
          <w:p w14:paraId="39269C12" w14:textId="5A3FEA8A" w:rsidR="005A3F71" w:rsidRDefault="009B20AD" w:rsidP="00A32B39">
            <w:pPr>
              <w:tabs>
                <w:tab w:val="left" w:pos="-90"/>
                <w:tab w:val="left" w:pos="426"/>
                <w:tab w:val="left" w:pos="606"/>
                <w:tab w:val="left" w:pos="720"/>
                <w:tab w:val="left" w:pos="1620"/>
              </w:tabs>
              <w:spacing w:line="360" w:lineRule="auto"/>
              <w:ind w:left="44" w:right="78"/>
              <w:contextualSpacing/>
              <w:jc w:val="center"/>
              <w:rPr>
                <w:rFonts w:ascii="Times New Roman" w:hAnsi="Times New Roman"/>
                <w:sz w:val="24"/>
              </w:rPr>
            </w:pPr>
            <w:r>
              <w:rPr>
                <w:rFonts w:ascii="Times New Roman" w:hAnsi="Times New Roman"/>
                <w:sz w:val="24"/>
              </w:rPr>
              <w:t>5.1</w:t>
            </w:r>
          </w:p>
        </w:tc>
        <w:tc>
          <w:tcPr>
            <w:tcW w:w="1576" w:type="pct"/>
            <w:vAlign w:val="center"/>
          </w:tcPr>
          <w:p w14:paraId="193E213A" w14:textId="77777777" w:rsidR="005A3F71" w:rsidRDefault="00302DB6" w:rsidP="00A32B39">
            <w:pPr>
              <w:tabs>
                <w:tab w:val="left" w:pos="-90"/>
                <w:tab w:val="left" w:pos="426"/>
                <w:tab w:val="left" w:pos="606"/>
                <w:tab w:val="left" w:pos="720"/>
                <w:tab w:val="left" w:pos="1620"/>
              </w:tabs>
              <w:spacing w:line="360" w:lineRule="auto"/>
              <w:ind w:left="44" w:right="78"/>
              <w:contextualSpacing/>
              <w:jc w:val="center"/>
              <w:rPr>
                <w:rFonts w:ascii="Times New Roman" w:hAnsi="Times New Roman"/>
                <w:sz w:val="24"/>
              </w:rPr>
            </w:pPr>
            <w:r>
              <w:rPr>
                <w:rFonts w:ascii="Times New Roman" w:hAnsi="Times New Roman"/>
                <w:sz w:val="24"/>
              </w:rPr>
              <w:t>2.1</w:t>
            </w:r>
          </w:p>
        </w:tc>
      </w:tr>
      <w:tr w:rsidR="005A3F71" w14:paraId="2557B3C1" w14:textId="77777777" w:rsidTr="006C0C22">
        <w:trPr>
          <w:trHeight w:val="512"/>
        </w:trPr>
        <w:tc>
          <w:tcPr>
            <w:tcW w:w="1242" w:type="pct"/>
            <w:vAlign w:val="center"/>
          </w:tcPr>
          <w:p w14:paraId="71AF9DD1" w14:textId="77777777" w:rsidR="005A3F71" w:rsidRDefault="00302DB6" w:rsidP="00A32B39">
            <w:pPr>
              <w:tabs>
                <w:tab w:val="left" w:pos="-90"/>
                <w:tab w:val="left" w:pos="180"/>
                <w:tab w:val="left" w:pos="810"/>
                <w:tab w:val="left" w:pos="1620"/>
              </w:tabs>
              <w:spacing w:line="360" w:lineRule="auto"/>
              <w:ind w:right="168"/>
              <w:contextualSpacing/>
              <w:rPr>
                <w:rFonts w:ascii="Times New Roman" w:hAnsi="Times New Roman"/>
                <w:sz w:val="24"/>
              </w:rPr>
            </w:pPr>
            <w:r>
              <w:rPr>
                <w:rFonts w:ascii="Times New Roman" w:hAnsi="Times New Roman"/>
                <w:sz w:val="24"/>
              </w:rPr>
              <w:t>Range</w:t>
            </w:r>
          </w:p>
        </w:tc>
        <w:tc>
          <w:tcPr>
            <w:tcW w:w="1004" w:type="pct"/>
            <w:vAlign w:val="center"/>
          </w:tcPr>
          <w:p w14:paraId="79464ED6" w14:textId="19B846C1" w:rsidR="005A3F71" w:rsidRDefault="00302DB6" w:rsidP="00A32B39">
            <w:pPr>
              <w:tabs>
                <w:tab w:val="left" w:pos="-90"/>
                <w:tab w:val="left" w:pos="426"/>
                <w:tab w:val="left" w:pos="606"/>
                <w:tab w:val="left" w:pos="1620"/>
              </w:tabs>
              <w:spacing w:line="360" w:lineRule="auto"/>
              <w:ind w:left="44" w:right="168"/>
              <w:contextualSpacing/>
              <w:jc w:val="center"/>
              <w:rPr>
                <w:rFonts w:ascii="Times New Roman" w:hAnsi="Times New Roman"/>
                <w:sz w:val="24"/>
              </w:rPr>
            </w:pPr>
            <w:r>
              <w:rPr>
                <w:rFonts w:ascii="Times New Roman" w:hAnsi="Times New Roman"/>
                <w:sz w:val="24"/>
              </w:rPr>
              <w:t>0.</w:t>
            </w:r>
            <w:r w:rsidR="009B20AD">
              <w:rPr>
                <w:rFonts w:ascii="Times New Roman" w:hAnsi="Times New Roman"/>
                <w:sz w:val="24"/>
              </w:rPr>
              <w:t>6</w:t>
            </w:r>
            <w:r>
              <w:rPr>
                <w:rFonts w:ascii="Times New Roman" w:hAnsi="Times New Roman"/>
                <w:sz w:val="24"/>
              </w:rPr>
              <w:t>–83.3</w:t>
            </w:r>
          </w:p>
        </w:tc>
        <w:tc>
          <w:tcPr>
            <w:tcW w:w="1178" w:type="pct"/>
            <w:vAlign w:val="center"/>
          </w:tcPr>
          <w:p w14:paraId="194B67F2" w14:textId="6297B51C" w:rsidR="005A3F71" w:rsidRDefault="009B20AD" w:rsidP="00A32B39">
            <w:pPr>
              <w:tabs>
                <w:tab w:val="left" w:pos="-90"/>
                <w:tab w:val="left" w:pos="426"/>
                <w:tab w:val="left" w:pos="606"/>
                <w:tab w:val="left" w:pos="720"/>
                <w:tab w:val="left" w:pos="1620"/>
              </w:tabs>
              <w:spacing w:line="360" w:lineRule="auto"/>
              <w:ind w:left="44" w:right="78"/>
              <w:contextualSpacing/>
              <w:jc w:val="center"/>
              <w:rPr>
                <w:rFonts w:ascii="Times New Roman" w:hAnsi="Times New Roman"/>
                <w:sz w:val="24"/>
              </w:rPr>
            </w:pPr>
            <w:r>
              <w:rPr>
                <w:rFonts w:ascii="Times New Roman" w:hAnsi="Times New Roman"/>
                <w:sz w:val="24"/>
              </w:rPr>
              <w:t>2.1</w:t>
            </w:r>
            <w:r w:rsidR="00302DB6">
              <w:rPr>
                <w:rFonts w:ascii="Times New Roman" w:hAnsi="Times New Roman"/>
                <w:sz w:val="24"/>
              </w:rPr>
              <w:t>–28.2</w:t>
            </w:r>
          </w:p>
        </w:tc>
        <w:tc>
          <w:tcPr>
            <w:tcW w:w="1576" w:type="pct"/>
            <w:vAlign w:val="center"/>
          </w:tcPr>
          <w:p w14:paraId="7CDF80A8" w14:textId="710BD361" w:rsidR="005A3F71" w:rsidRDefault="00302DB6" w:rsidP="00A32B39">
            <w:pPr>
              <w:tabs>
                <w:tab w:val="left" w:pos="252"/>
                <w:tab w:val="left" w:pos="426"/>
                <w:tab w:val="left" w:pos="606"/>
                <w:tab w:val="left" w:pos="720"/>
                <w:tab w:val="left" w:pos="1620"/>
              </w:tabs>
              <w:spacing w:line="360" w:lineRule="auto"/>
              <w:ind w:left="72" w:right="78"/>
              <w:contextualSpacing/>
              <w:jc w:val="center"/>
              <w:rPr>
                <w:rFonts w:ascii="Times New Roman" w:hAnsi="Times New Roman"/>
                <w:sz w:val="24"/>
              </w:rPr>
            </w:pPr>
            <w:r>
              <w:rPr>
                <w:rFonts w:ascii="Times New Roman" w:hAnsi="Times New Roman"/>
                <w:sz w:val="24"/>
              </w:rPr>
              <w:t>0.4–</w:t>
            </w:r>
            <w:r w:rsidR="009B20AD">
              <w:rPr>
                <w:rFonts w:ascii="Times New Roman" w:hAnsi="Times New Roman"/>
                <w:sz w:val="24"/>
              </w:rPr>
              <w:t>4.9</w:t>
            </w:r>
          </w:p>
        </w:tc>
      </w:tr>
    </w:tbl>
    <w:p w14:paraId="3097BD5E" w14:textId="317D27B9" w:rsidR="005A3F71" w:rsidRPr="0001203E" w:rsidRDefault="00302DB6">
      <w:pPr>
        <w:pStyle w:val="ListParagraph"/>
        <w:spacing w:before="120" w:after="0" w:line="480" w:lineRule="auto"/>
        <w:ind w:left="-115" w:right="-43"/>
        <w:jc w:val="both"/>
        <w:rPr>
          <w:rFonts w:ascii="Times New Roman" w:hAnsi="Times New Roman"/>
          <w:color w:val="000000" w:themeColor="text1"/>
          <w:sz w:val="20"/>
        </w:rPr>
      </w:pPr>
      <w:r w:rsidRPr="0001203E">
        <w:rPr>
          <w:rFonts w:ascii="Times New Roman" w:hAnsi="Times New Roman"/>
          <w:color w:val="000000" w:themeColor="text1"/>
          <w:sz w:val="20"/>
        </w:rPr>
        <w:t xml:space="preserve">Per protocol dosimetry analysis set (N=36). </w:t>
      </w:r>
      <w:r w:rsidR="00154BED">
        <w:rPr>
          <w:rFonts w:ascii="Times New Roman" w:hAnsi="Times New Roman"/>
          <w:color w:val="000000" w:themeColor="text1"/>
          <w:sz w:val="20"/>
        </w:rPr>
        <w:t>(</w:t>
      </w:r>
      <w:r w:rsidRPr="0001203E">
        <w:rPr>
          <w:rFonts w:ascii="Times New Roman" w:hAnsi="Times New Roman"/>
          <w:color w:val="000000" w:themeColor="text1"/>
          <w:sz w:val="20"/>
        </w:rPr>
        <w:t>GEP</w:t>
      </w:r>
      <w:r w:rsidR="00154BED">
        <w:rPr>
          <w:rFonts w:ascii="Times New Roman" w:hAnsi="Times New Roman"/>
          <w:color w:val="000000" w:themeColor="text1"/>
          <w:sz w:val="20"/>
        </w:rPr>
        <w:t>)</w:t>
      </w:r>
      <w:r w:rsidRPr="0001203E">
        <w:rPr>
          <w:rFonts w:ascii="Times New Roman" w:hAnsi="Times New Roman"/>
          <w:color w:val="000000" w:themeColor="text1"/>
          <w:sz w:val="20"/>
        </w:rPr>
        <w:t xml:space="preserve">-NET: </w:t>
      </w:r>
      <w:r w:rsidR="00154BED">
        <w:rPr>
          <w:rFonts w:ascii="Times New Roman" w:hAnsi="Times New Roman"/>
          <w:color w:val="000000" w:themeColor="text1"/>
          <w:sz w:val="20"/>
        </w:rPr>
        <w:t>(</w:t>
      </w:r>
      <w:proofErr w:type="spellStart"/>
      <w:r w:rsidRPr="0001203E">
        <w:rPr>
          <w:rFonts w:ascii="Times New Roman" w:hAnsi="Times New Roman"/>
          <w:color w:val="000000" w:themeColor="text1"/>
          <w:sz w:val="20"/>
        </w:rPr>
        <w:t>gastroenteropancreatic</w:t>
      </w:r>
      <w:proofErr w:type="spellEnd"/>
      <w:r w:rsidR="00154BED">
        <w:rPr>
          <w:rFonts w:ascii="Times New Roman" w:hAnsi="Times New Roman"/>
          <w:color w:val="000000" w:themeColor="text1"/>
          <w:sz w:val="20"/>
        </w:rPr>
        <w:t>)</w:t>
      </w:r>
      <w:r w:rsidRPr="0001203E">
        <w:rPr>
          <w:rFonts w:ascii="Times New Roman" w:hAnsi="Times New Roman"/>
          <w:color w:val="000000" w:themeColor="text1"/>
          <w:sz w:val="20"/>
        </w:rPr>
        <w:t xml:space="preserve">-neuroendocrine </w:t>
      </w:r>
      <w:proofErr w:type="spellStart"/>
      <w:r w:rsidRPr="0001203E">
        <w:rPr>
          <w:rFonts w:ascii="Times New Roman" w:hAnsi="Times New Roman"/>
          <w:color w:val="000000" w:themeColor="text1"/>
          <w:sz w:val="20"/>
        </w:rPr>
        <w:t>tumour</w:t>
      </w:r>
      <w:proofErr w:type="spellEnd"/>
      <w:r w:rsidRPr="0001203E">
        <w:rPr>
          <w:rFonts w:ascii="Times New Roman" w:hAnsi="Times New Roman"/>
          <w:color w:val="000000" w:themeColor="text1"/>
          <w:sz w:val="20"/>
        </w:rPr>
        <w:t>.</w:t>
      </w:r>
    </w:p>
    <w:p w14:paraId="48489936" w14:textId="77777777" w:rsidR="005A3F71" w:rsidRPr="0001203E" w:rsidRDefault="00302DB6">
      <w:pPr>
        <w:rPr>
          <w:rFonts w:ascii="Times New Roman" w:hAnsi="Times New Roman"/>
          <w:b/>
          <w:sz w:val="24"/>
          <w:lang w:val="en-GB"/>
        </w:rPr>
      </w:pPr>
      <w:r w:rsidRPr="00DC4D1E">
        <w:rPr>
          <w:rFonts w:ascii="Times New Roman" w:hAnsi="Times New Roman"/>
          <w:b/>
          <w:sz w:val="24"/>
          <w:lang w:val="en-GB"/>
        </w:rPr>
        <w:br w:type="page"/>
      </w:r>
    </w:p>
    <w:p w14:paraId="28385B7A" w14:textId="0BEFDEE5" w:rsidR="005A3F71" w:rsidRPr="0001203E" w:rsidRDefault="001C1BE4" w:rsidP="001E2428">
      <w:pPr>
        <w:rPr>
          <w:rFonts w:ascii="Times New Roman" w:hAnsi="Times New Roman"/>
          <w:b/>
          <w:sz w:val="24"/>
          <w:lang w:val="en-GB"/>
        </w:rPr>
      </w:pPr>
      <w:r>
        <w:rPr>
          <w:rFonts w:ascii="Times New Roman" w:hAnsi="Times New Roman"/>
          <w:b/>
          <w:sz w:val="24"/>
          <w:lang w:val="en-GB"/>
        </w:rPr>
        <w:lastRenderedPageBreak/>
        <w:t>Fig.</w:t>
      </w:r>
      <w:r w:rsidR="00302DB6" w:rsidRPr="00DC4D1E">
        <w:rPr>
          <w:rFonts w:ascii="Times New Roman" w:hAnsi="Times New Roman"/>
          <w:b/>
          <w:sz w:val="24"/>
          <w:lang w:val="en-GB"/>
        </w:rPr>
        <w:t xml:space="preserve"> S1. </w:t>
      </w:r>
      <w:r w:rsidR="00302DB6" w:rsidRPr="00DC4D1E">
        <w:rPr>
          <w:rFonts w:ascii="Times New Roman" w:hAnsi="Times New Roman"/>
          <w:sz w:val="24"/>
          <w:lang w:val="en-GB"/>
        </w:rPr>
        <w:t xml:space="preserve">Absorbed dose coefficients of </w:t>
      </w:r>
      <w:r w:rsidR="00F6446F" w:rsidRPr="00F6446F">
        <w:rPr>
          <w:rFonts w:ascii="Times New Roman" w:hAnsi="Times New Roman"/>
          <w:sz w:val="24"/>
        </w:rPr>
        <w:t>[</w:t>
      </w:r>
      <w:r w:rsidR="00F6446F" w:rsidRPr="00F6446F">
        <w:rPr>
          <w:rFonts w:ascii="Times New Roman" w:hAnsi="Times New Roman"/>
          <w:sz w:val="24"/>
          <w:vertAlign w:val="superscript"/>
        </w:rPr>
        <w:t>177</w:t>
      </w:r>
      <w:proofErr w:type="gramStart"/>
      <w:r w:rsidR="00F6446F" w:rsidRPr="00F6446F">
        <w:rPr>
          <w:rFonts w:ascii="Times New Roman" w:hAnsi="Times New Roman"/>
          <w:sz w:val="24"/>
        </w:rPr>
        <w:t>Lu]Lu</w:t>
      </w:r>
      <w:proofErr w:type="gramEnd"/>
      <w:r w:rsidR="00F6446F" w:rsidRPr="00F6446F">
        <w:rPr>
          <w:rFonts w:ascii="Times New Roman" w:hAnsi="Times New Roman"/>
          <w:sz w:val="24"/>
        </w:rPr>
        <w:t>-</w:t>
      </w:r>
      <w:proofErr w:type="spellStart"/>
      <w:r w:rsidR="00F6446F" w:rsidRPr="00F6446F">
        <w:rPr>
          <w:rFonts w:ascii="Times New Roman" w:hAnsi="Times New Roman"/>
          <w:sz w:val="24"/>
        </w:rPr>
        <w:t>satoreotide</w:t>
      </w:r>
      <w:proofErr w:type="spellEnd"/>
      <w:r w:rsidR="00AC4E8F">
        <w:rPr>
          <w:rFonts w:ascii="Times New Roman" w:hAnsi="Times New Roman"/>
          <w:sz w:val="24"/>
        </w:rPr>
        <w:t xml:space="preserve"> </w:t>
      </w:r>
      <w:r w:rsidR="00302DB6" w:rsidRPr="00712892">
        <w:rPr>
          <w:rFonts w:ascii="Times New Roman" w:hAnsi="Times New Roman"/>
          <w:sz w:val="24"/>
        </w:rPr>
        <w:t>tetraxetan</w:t>
      </w:r>
      <w:r w:rsidR="00302DB6" w:rsidRPr="00DC4D1E">
        <w:rPr>
          <w:rFonts w:ascii="Times New Roman" w:hAnsi="Times New Roman"/>
          <w:sz w:val="24"/>
          <w:lang w:val="en-GB"/>
        </w:rPr>
        <w:t xml:space="preserve"> </w:t>
      </w:r>
      <w:r w:rsidR="001F191F">
        <w:rPr>
          <w:rFonts w:ascii="Times New Roman" w:hAnsi="Times New Roman"/>
          <w:sz w:val="24"/>
          <w:lang w:val="en-GB"/>
        </w:rPr>
        <w:t>for</w:t>
      </w:r>
      <w:r w:rsidR="00302DB6" w:rsidRPr="00DC4D1E">
        <w:rPr>
          <w:rFonts w:ascii="Times New Roman" w:hAnsi="Times New Roman"/>
          <w:sz w:val="24"/>
          <w:lang w:val="en-GB"/>
        </w:rPr>
        <w:t xml:space="preserve"> evaluated organs after administration of the first treatment cycle</w:t>
      </w:r>
      <w:r w:rsidR="00010CBD">
        <w:rPr>
          <w:rFonts w:ascii="Times New Roman" w:hAnsi="Times New Roman"/>
          <w:sz w:val="24"/>
          <w:lang w:val="en-GB"/>
        </w:rPr>
        <w:t xml:space="preserve"> in parts A and B.</w:t>
      </w:r>
    </w:p>
    <w:p w14:paraId="43010274" w14:textId="0044D768" w:rsidR="005A3F71" w:rsidRPr="000324BE" w:rsidRDefault="009131F8" w:rsidP="000324BE">
      <w:pPr>
        <w:spacing w:before="80" w:line="480" w:lineRule="auto"/>
        <w:jc w:val="both"/>
        <w:rPr>
          <w:rFonts w:ascii="Times New Roman" w:hAnsi="Times New Roman"/>
          <w:b/>
          <w:sz w:val="28"/>
          <w:lang w:val="en-GB"/>
        </w:rPr>
      </w:pPr>
      <w:r w:rsidRPr="009131F8">
        <w:rPr>
          <w:noProof/>
        </w:rPr>
        <w:t xml:space="preserve"> </w:t>
      </w:r>
      <w:r>
        <w:rPr>
          <w:noProof/>
        </w:rPr>
        <w:drawing>
          <wp:inline distT="0" distB="0" distL="0" distR="0" wp14:anchorId="7BDFBECC" wp14:editId="1021EB19">
            <wp:extent cx="6495127" cy="4991100"/>
            <wp:effectExtent l="0" t="0" r="1270" b="0"/>
            <wp:docPr id="1098415706" name="Picture 1098415706" descr="A graph of different colored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15706" name="Picture 1" descr="A graph of different colored boxes&#10;&#10;Description automatically generated with medium confidence"/>
                    <pic:cNvPicPr/>
                  </pic:nvPicPr>
                  <pic:blipFill rotWithShape="1">
                    <a:blip r:embed="rId10"/>
                    <a:srcRect b="6135"/>
                    <a:stretch/>
                  </pic:blipFill>
                  <pic:spPr bwMode="auto">
                    <a:xfrm>
                      <a:off x="0" y="0"/>
                      <a:ext cx="6501132" cy="4995715"/>
                    </a:xfrm>
                    <a:prstGeom prst="rect">
                      <a:avLst/>
                    </a:prstGeom>
                    <a:ln>
                      <a:noFill/>
                    </a:ln>
                    <a:extLst>
                      <a:ext uri="{53640926-AAD7-44D8-BBD7-CCE9431645EC}">
                        <a14:shadowObscured xmlns:a14="http://schemas.microsoft.com/office/drawing/2010/main"/>
                      </a:ext>
                    </a:extLst>
                  </pic:spPr>
                </pic:pic>
              </a:graphicData>
            </a:graphic>
          </wp:inline>
        </w:drawing>
      </w:r>
      <w:r w:rsidR="00302DB6" w:rsidRPr="00DC4D1E">
        <w:rPr>
          <w:rFonts w:ascii="Times New Roman" w:hAnsi="Times New Roman"/>
          <w:sz w:val="20"/>
          <w:lang w:val="en-GB"/>
        </w:rPr>
        <w:t>Data are presented as</w:t>
      </w:r>
      <w:r w:rsidR="00DF3C8B">
        <w:rPr>
          <w:rFonts w:ascii="Times New Roman" w:hAnsi="Times New Roman"/>
          <w:sz w:val="20"/>
          <w:lang w:val="en-GB"/>
        </w:rPr>
        <w:t xml:space="preserve"> mean,</w:t>
      </w:r>
      <w:r w:rsidR="00302DB6" w:rsidRPr="00DC4D1E">
        <w:rPr>
          <w:rFonts w:ascii="Times New Roman" w:hAnsi="Times New Roman"/>
          <w:sz w:val="20"/>
          <w:lang w:val="en-GB"/>
        </w:rPr>
        <w:t xml:space="preserve"> median (minimum, Q1, Q2</w:t>
      </w:r>
      <w:r w:rsidR="00302DB6" w:rsidRPr="00DF3C8B">
        <w:rPr>
          <w:rFonts w:ascii="Times New Roman" w:hAnsi="Times New Roman"/>
          <w:sz w:val="20"/>
          <w:lang w:val="en-GB"/>
        </w:rPr>
        <w:t>, Q3, maximum)</w:t>
      </w:r>
      <w:r w:rsidR="00DF3C8B" w:rsidRPr="00DF3C8B">
        <w:rPr>
          <w:rFonts w:ascii="Times New Roman" w:hAnsi="Times New Roman"/>
          <w:sz w:val="20"/>
          <w:lang w:val="en-GB"/>
        </w:rPr>
        <w:t xml:space="preserve"> </w:t>
      </w:r>
      <w:r w:rsidR="00DF3C8B" w:rsidRPr="003B7C87">
        <w:rPr>
          <w:rFonts w:ascii="Times New Roman" w:hAnsi="Times New Roman"/>
          <w:sz w:val="20"/>
          <w:lang w:val="en-GB"/>
        </w:rPr>
        <w:t>for parts A and B in box plot; scatter plots represent individual patient data for parts A and B</w:t>
      </w:r>
      <w:r w:rsidR="00302DB6" w:rsidRPr="00DF3C8B">
        <w:rPr>
          <w:rFonts w:ascii="Times New Roman" w:hAnsi="Times New Roman"/>
          <w:sz w:val="20"/>
          <w:lang w:val="en-GB"/>
        </w:rPr>
        <w:t>.</w:t>
      </w:r>
      <w:r w:rsidR="00010CBD" w:rsidRPr="00DF3C8B">
        <w:rPr>
          <w:rFonts w:ascii="Times New Roman" w:hAnsi="Times New Roman"/>
          <w:sz w:val="20"/>
          <w:lang w:val="en-GB"/>
        </w:rPr>
        <w:t xml:space="preserve"> </w:t>
      </w:r>
      <w:r w:rsidR="00010CBD">
        <w:rPr>
          <w:rFonts w:ascii="Times New Roman" w:hAnsi="Times New Roman"/>
          <w:sz w:val="20"/>
          <w:lang w:val="en-GB"/>
        </w:rPr>
        <w:t>The first treatment cycle</w:t>
      </w:r>
      <w:r w:rsidR="00010CBD" w:rsidRPr="00010CBD">
        <w:t xml:space="preserve"> </w:t>
      </w:r>
      <w:r w:rsidR="00010CBD" w:rsidRPr="00010CBD">
        <w:rPr>
          <w:rFonts w:ascii="Times New Roman" w:hAnsi="Times New Roman"/>
          <w:sz w:val="20"/>
          <w:lang w:val="en-GB"/>
        </w:rPr>
        <w:t>correspond</w:t>
      </w:r>
      <w:r w:rsidR="006E34A3">
        <w:rPr>
          <w:rFonts w:ascii="Times New Roman" w:hAnsi="Times New Roman"/>
          <w:sz w:val="20"/>
          <w:lang w:val="en-GB"/>
        </w:rPr>
        <w:t>s</w:t>
      </w:r>
      <w:r w:rsidR="00010CBD" w:rsidRPr="00010CBD">
        <w:rPr>
          <w:rFonts w:ascii="Times New Roman" w:hAnsi="Times New Roman"/>
          <w:sz w:val="20"/>
          <w:lang w:val="en-GB"/>
        </w:rPr>
        <w:t xml:space="preserve"> to 4.5 </w:t>
      </w:r>
      <w:proofErr w:type="spellStart"/>
      <w:r w:rsidR="00010CBD" w:rsidRPr="00010CBD">
        <w:rPr>
          <w:rFonts w:ascii="Times New Roman" w:hAnsi="Times New Roman"/>
          <w:sz w:val="20"/>
          <w:lang w:val="en-GB"/>
        </w:rPr>
        <w:t>GBq</w:t>
      </w:r>
      <w:proofErr w:type="spellEnd"/>
      <w:r w:rsidR="00010CBD" w:rsidRPr="00010CBD">
        <w:rPr>
          <w:rFonts w:ascii="Times New Roman" w:hAnsi="Times New Roman"/>
          <w:sz w:val="20"/>
          <w:lang w:val="en-GB"/>
        </w:rPr>
        <w:t>/300 µg of [</w:t>
      </w:r>
      <w:r w:rsidR="00010CBD" w:rsidRPr="003B7C87">
        <w:rPr>
          <w:rFonts w:ascii="Times New Roman" w:hAnsi="Times New Roman"/>
          <w:sz w:val="20"/>
          <w:vertAlign w:val="superscript"/>
          <w:lang w:val="en-GB"/>
        </w:rPr>
        <w:t>177</w:t>
      </w:r>
      <w:proofErr w:type="gramStart"/>
      <w:r w:rsidR="00010CBD" w:rsidRPr="00010CBD">
        <w:rPr>
          <w:rFonts w:ascii="Times New Roman" w:hAnsi="Times New Roman"/>
          <w:sz w:val="20"/>
          <w:lang w:val="en-GB"/>
        </w:rPr>
        <w:t>Lu]Lu</w:t>
      </w:r>
      <w:proofErr w:type="gramEnd"/>
      <w:r w:rsidR="00010CBD" w:rsidRPr="00010CBD">
        <w:rPr>
          <w:rFonts w:ascii="Times New Roman" w:hAnsi="Times New Roman"/>
          <w:sz w:val="20"/>
          <w:lang w:val="en-GB"/>
        </w:rPr>
        <w:t>-</w:t>
      </w:r>
      <w:proofErr w:type="spellStart"/>
      <w:r w:rsidR="00010CBD" w:rsidRPr="00010CBD">
        <w:rPr>
          <w:rFonts w:ascii="Times New Roman" w:hAnsi="Times New Roman"/>
          <w:sz w:val="20"/>
          <w:lang w:val="en-GB"/>
        </w:rPr>
        <w:t>satoreotide</w:t>
      </w:r>
      <w:proofErr w:type="spellEnd"/>
      <w:r w:rsidR="00010CBD" w:rsidRPr="00010CBD">
        <w:rPr>
          <w:rFonts w:ascii="Times New Roman" w:hAnsi="Times New Roman"/>
          <w:sz w:val="20"/>
          <w:lang w:val="en-GB"/>
        </w:rPr>
        <w:t xml:space="preserve"> tetraxetan in part A and cohorts 3 and 6 of part B and 6.0 </w:t>
      </w:r>
      <w:proofErr w:type="spellStart"/>
      <w:r w:rsidR="00010CBD" w:rsidRPr="00010CBD">
        <w:rPr>
          <w:rFonts w:ascii="Times New Roman" w:hAnsi="Times New Roman"/>
          <w:sz w:val="20"/>
          <w:lang w:val="en-GB"/>
        </w:rPr>
        <w:t>GBq</w:t>
      </w:r>
      <w:proofErr w:type="spellEnd"/>
      <w:r w:rsidR="00010CBD" w:rsidRPr="00010CBD">
        <w:rPr>
          <w:rFonts w:ascii="Times New Roman" w:hAnsi="Times New Roman"/>
          <w:sz w:val="20"/>
          <w:lang w:val="en-GB"/>
        </w:rPr>
        <w:t>/300 µg in cohort 1 of part B</w:t>
      </w:r>
      <w:r w:rsidR="00010CBD">
        <w:rPr>
          <w:rFonts w:ascii="Times New Roman" w:hAnsi="Times New Roman"/>
          <w:sz w:val="20"/>
          <w:lang w:val="en-GB"/>
        </w:rPr>
        <w:t>; i</w:t>
      </w:r>
      <w:r w:rsidR="00712892">
        <w:rPr>
          <w:rFonts w:ascii="Times New Roman" w:hAnsi="Times New Roman"/>
          <w:sz w:val="20"/>
          <w:lang w:val="en-GB"/>
        </w:rPr>
        <w:t>n cohort 1</w:t>
      </w:r>
      <w:r w:rsidR="009C48E0">
        <w:rPr>
          <w:rFonts w:ascii="Times New Roman" w:hAnsi="Times New Roman"/>
          <w:sz w:val="20"/>
          <w:lang w:val="en-GB"/>
        </w:rPr>
        <w:t xml:space="preserve"> of part B</w:t>
      </w:r>
      <w:r w:rsidR="00712892">
        <w:rPr>
          <w:rFonts w:ascii="Times New Roman" w:hAnsi="Times New Roman"/>
          <w:sz w:val="20"/>
          <w:lang w:val="en-GB"/>
        </w:rPr>
        <w:t xml:space="preserve">, administered activity was reduced to </w:t>
      </w:r>
      <w:r w:rsidR="00712892" w:rsidRPr="00712892">
        <w:rPr>
          <w:rFonts w:ascii="Times New Roman" w:hAnsi="Times New Roman"/>
          <w:sz w:val="20"/>
          <w:lang w:val="en-GB"/>
        </w:rPr>
        <w:t xml:space="preserve">4.5 </w:t>
      </w:r>
      <w:proofErr w:type="spellStart"/>
      <w:r w:rsidR="00712892" w:rsidRPr="00712892">
        <w:rPr>
          <w:rFonts w:ascii="Times New Roman" w:hAnsi="Times New Roman"/>
          <w:sz w:val="20"/>
          <w:lang w:val="en-GB"/>
        </w:rPr>
        <w:t>GBq</w:t>
      </w:r>
      <w:proofErr w:type="spellEnd"/>
      <w:r w:rsidR="00712892" w:rsidRPr="00712892">
        <w:rPr>
          <w:rFonts w:ascii="Times New Roman" w:hAnsi="Times New Roman"/>
          <w:sz w:val="20"/>
          <w:lang w:val="en-GB"/>
        </w:rPr>
        <w:t xml:space="preserve"> </w:t>
      </w:r>
      <w:r w:rsidR="00712892">
        <w:rPr>
          <w:rFonts w:ascii="Times New Roman" w:hAnsi="Times New Roman"/>
          <w:sz w:val="20"/>
          <w:lang w:val="en-GB"/>
        </w:rPr>
        <w:t>after the first three patients</w:t>
      </w:r>
      <w:r w:rsidR="00BB582E">
        <w:rPr>
          <w:rFonts w:ascii="Times New Roman" w:hAnsi="Times New Roman"/>
          <w:sz w:val="20"/>
          <w:lang w:val="en-GB"/>
        </w:rPr>
        <w:t xml:space="preserve"> </w:t>
      </w:r>
      <w:r w:rsidR="009C48E0">
        <w:rPr>
          <w:rFonts w:ascii="Times New Roman" w:hAnsi="Times New Roman"/>
          <w:sz w:val="20"/>
          <w:lang w:val="en-GB"/>
        </w:rPr>
        <w:t>following</w:t>
      </w:r>
      <w:r w:rsidR="00BB582E">
        <w:rPr>
          <w:rFonts w:ascii="Times New Roman" w:hAnsi="Times New Roman"/>
          <w:sz w:val="20"/>
          <w:lang w:val="en-GB"/>
        </w:rPr>
        <w:t xml:space="preserve"> the recommendation of the Data Review Board</w:t>
      </w:r>
      <w:r w:rsidR="00712892">
        <w:rPr>
          <w:rFonts w:ascii="Times New Roman" w:hAnsi="Times New Roman"/>
          <w:sz w:val="20"/>
          <w:lang w:val="en-GB"/>
        </w:rPr>
        <w:t xml:space="preserve">. </w:t>
      </w:r>
      <w:r w:rsidR="00302DB6" w:rsidRPr="00DC4D1E">
        <w:rPr>
          <w:rFonts w:ascii="Times New Roman" w:hAnsi="Times New Roman"/>
          <w:sz w:val="20"/>
          <w:lang w:val="en-GB"/>
        </w:rPr>
        <w:t>Q1: quartile 1; Q2: quartile 2; Q3: quartile 3.</w:t>
      </w:r>
    </w:p>
    <w:p w14:paraId="55ED4495" w14:textId="77777777" w:rsidR="009C66D1" w:rsidRDefault="009C66D1">
      <w:pPr>
        <w:rPr>
          <w:rFonts w:ascii="Times New Roman" w:hAnsi="Times New Roman"/>
          <w:sz w:val="24"/>
          <w:lang w:val="en-GB"/>
        </w:rPr>
      </w:pPr>
    </w:p>
    <w:p w14:paraId="11E2EDB4" w14:textId="77777777" w:rsidR="009C66D1" w:rsidRDefault="009C66D1">
      <w:pPr>
        <w:rPr>
          <w:rFonts w:ascii="Times New Roman" w:hAnsi="Times New Roman"/>
          <w:sz w:val="24"/>
          <w:lang w:val="en-GB"/>
        </w:rPr>
      </w:pPr>
    </w:p>
    <w:p w14:paraId="50F15C1C" w14:textId="77777777" w:rsidR="009C66D1" w:rsidRPr="009C66D1" w:rsidRDefault="009C66D1" w:rsidP="009C66D1">
      <w:pPr>
        <w:pStyle w:val="EndNoteBibliography"/>
        <w:spacing w:after="0"/>
        <w:ind w:left="720" w:hanging="720"/>
      </w:pPr>
      <w:r>
        <w:rPr>
          <w:lang w:val="en-GB"/>
        </w:rPr>
        <w:lastRenderedPageBreak/>
        <w:fldChar w:fldCharType="begin"/>
      </w:r>
      <w:r>
        <w:rPr>
          <w:lang w:val="en-GB"/>
        </w:rPr>
        <w:instrText xml:space="preserve"> ADDIN EN.REFLIST </w:instrText>
      </w:r>
      <w:r>
        <w:rPr>
          <w:lang w:val="en-GB"/>
        </w:rPr>
        <w:fldChar w:fldCharType="separate"/>
      </w:r>
      <w:r w:rsidRPr="009C66D1">
        <w:t>1.</w:t>
      </w:r>
      <w:r w:rsidRPr="009C66D1">
        <w:tab/>
        <w:t xml:space="preserve">Ljungberg, M., et al., </w:t>
      </w:r>
      <w:r w:rsidRPr="009C66D1">
        <w:rPr>
          <w:i/>
        </w:rPr>
        <w:t>MIRD Pamphlet No. 26: Joint EANM/MIRD Guidelines for Quantitative 177Lu SPECT Applied for Dosimetry of Radiopharmaceutical Therapy.</w:t>
      </w:r>
      <w:r w:rsidRPr="009C66D1">
        <w:t xml:space="preserve"> Journal of Nuclear Medicine, 2016. </w:t>
      </w:r>
      <w:r w:rsidRPr="009C66D1">
        <w:rPr>
          <w:b/>
        </w:rPr>
        <w:t>57</w:t>
      </w:r>
      <w:r w:rsidRPr="009C66D1">
        <w:t>(1): p. 151–162 DOI: 10.2967/jnumed.115.159012.</w:t>
      </w:r>
    </w:p>
    <w:p w14:paraId="10559DA7" w14:textId="792AC6D6" w:rsidR="009C66D1" w:rsidRPr="009C66D1" w:rsidRDefault="009C66D1" w:rsidP="009C66D1">
      <w:pPr>
        <w:pStyle w:val="EndNoteBibliography"/>
        <w:spacing w:after="0"/>
        <w:ind w:left="720" w:hanging="720"/>
      </w:pPr>
      <w:r w:rsidRPr="009C66D1">
        <w:t>2.</w:t>
      </w:r>
      <w:r w:rsidRPr="009C66D1">
        <w:tab/>
        <w:t xml:space="preserve">Kletting, P., et al., </w:t>
      </w:r>
      <w:r w:rsidRPr="009C66D1">
        <w:rPr>
          <w:i/>
        </w:rPr>
        <w:t>The NUKDOS software for treatment planning in molecular radiotherapy.</w:t>
      </w:r>
      <w:r w:rsidRPr="009C66D1">
        <w:t xml:space="preserve"> Zeitschrift für Medizinische Physik, 2015. </w:t>
      </w:r>
      <w:r w:rsidRPr="009C66D1">
        <w:rPr>
          <w:b/>
        </w:rPr>
        <w:t>25</w:t>
      </w:r>
      <w:r w:rsidRPr="009C66D1">
        <w:t xml:space="preserve">(3): p. 264-274 DOI: </w:t>
      </w:r>
      <w:hyperlink r:id="rId11" w:history="1">
        <w:r w:rsidRPr="009C66D1">
          <w:rPr>
            <w:rStyle w:val="Hyperlink"/>
          </w:rPr>
          <w:t>https://doi.org/10.1016/j.zemedi.2015.01.001</w:t>
        </w:r>
      </w:hyperlink>
      <w:r w:rsidRPr="009C66D1">
        <w:t>.</w:t>
      </w:r>
    </w:p>
    <w:p w14:paraId="7F20DDFF" w14:textId="77777777" w:rsidR="009C66D1" w:rsidRPr="009C66D1" w:rsidRDefault="009C66D1" w:rsidP="009C66D1">
      <w:pPr>
        <w:pStyle w:val="EndNoteBibliography"/>
        <w:spacing w:after="0"/>
        <w:ind w:left="720" w:hanging="720"/>
      </w:pPr>
      <w:r w:rsidRPr="009C66D1">
        <w:t>3.</w:t>
      </w:r>
      <w:r w:rsidRPr="009C66D1">
        <w:tab/>
        <w:t xml:space="preserve">Blakkisrud, J., et al., </w:t>
      </w:r>
      <w:r w:rsidRPr="009C66D1">
        <w:rPr>
          <w:i/>
        </w:rPr>
        <w:t>Red Marrow–Absorbed Dose for Non-Hodgkin Lymphoma Patients Treated with &amp;lt;sup&amp;gt;177&amp;lt;/sup&amp;gt;Lu-Lilotomab Satetraxetan, a Novel Anti-CD37 Antibody–Radionuclide Conjugate.</w:t>
      </w:r>
      <w:r w:rsidRPr="009C66D1">
        <w:t xml:space="preserve"> Journal of Nuclear Medicine, 2017. </w:t>
      </w:r>
      <w:r w:rsidRPr="009C66D1">
        <w:rPr>
          <w:b/>
        </w:rPr>
        <w:t>58</w:t>
      </w:r>
      <w:r w:rsidRPr="009C66D1">
        <w:t>(1): p. 55 DOI: 10.2967/jnumed.116.180471.</w:t>
      </w:r>
    </w:p>
    <w:p w14:paraId="6BB31AF0" w14:textId="27290412" w:rsidR="009C66D1" w:rsidRPr="009C66D1" w:rsidRDefault="009C66D1" w:rsidP="009C66D1">
      <w:pPr>
        <w:pStyle w:val="EndNoteBibliography"/>
        <w:spacing w:after="0"/>
        <w:ind w:left="720" w:hanging="720"/>
      </w:pPr>
      <w:r w:rsidRPr="009C66D1">
        <w:t>4.</w:t>
      </w:r>
      <w:r w:rsidRPr="009C66D1">
        <w:tab/>
        <w:t xml:space="preserve">Ferrer, L., et al., </w:t>
      </w:r>
      <w:r w:rsidRPr="009C66D1">
        <w:rPr>
          <w:i/>
        </w:rPr>
        <w:t>Three methods assessing red marrow dosimetry in lymphoma patients treated with radioimmunotherapy.</w:t>
      </w:r>
      <w:r w:rsidRPr="009C66D1">
        <w:t xml:space="preserve"> Cancer, 2010. </w:t>
      </w:r>
      <w:r w:rsidRPr="009C66D1">
        <w:rPr>
          <w:b/>
        </w:rPr>
        <w:t>116</w:t>
      </w:r>
      <w:r w:rsidRPr="009C66D1">
        <w:t xml:space="preserve">(S4): p. 1093-1100 DOI: </w:t>
      </w:r>
      <w:hyperlink r:id="rId12" w:history="1">
        <w:r w:rsidRPr="009C66D1">
          <w:rPr>
            <w:rStyle w:val="Hyperlink"/>
          </w:rPr>
          <w:t>https://doi.org/10.1002/cncr.24797</w:t>
        </w:r>
      </w:hyperlink>
      <w:r w:rsidRPr="009C66D1">
        <w:t>.</w:t>
      </w:r>
    </w:p>
    <w:p w14:paraId="1FAFB388" w14:textId="77777777" w:rsidR="009C66D1" w:rsidRPr="009C66D1" w:rsidRDefault="009C66D1" w:rsidP="009C66D1">
      <w:pPr>
        <w:pStyle w:val="EndNoteBibliography"/>
        <w:ind w:left="720" w:hanging="720"/>
      </w:pPr>
      <w:r w:rsidRPr="009C66D1">
        <w:t>5.</w:t>
      </w:r>
      <w:r w:rsidRPr="009C66D1">
        <w:tab/>
        <w:t xml:space="preserve">Lassmann, M., et al., </w:t>
      </w:r>
      <w:r w:rsidRPr="009C66D1">
        <w:rPr>
          <w:i/>
        </w:rPr>
        <w:t>EANM Dosimetry Committee guidance document: good practice of clinical dosimetry reporting.</w:t>
      </w:r>
      <w:r w:rsidRPr="009C66D1">
        <w:t xml:space="preserve"> European Journal of Nuclear Medicine and Molecular Imaging, 2011. </w:t>
      </w:r>
      <w:r w:rsidRPr="009C66D1">
        <w:rPr>
          <w:b/>
        </w:rPr>
        <w:t>38</w:t>
      </w:r>
      <w:r w:rsidRPr="009C66D1">
        <w:t>(1): p. 192-200 DOI: 10.1007/s00259-010-1549-3.</w:t>
      </w:r>
    </w:p>
    <w:p w14:paraId="18C7FA1A" w14:textId="6D2AD80F" w:rsidR="005A3F71" w:rsidRPr="0001203E" w:rsidRDefault="009C66D1">
      <w:pPr>
        <w:rPr>
          <w:rFonts w:ascii="Times New Roman" w:hAnsi="Times New Roman"/>
          <w:sz w:val="24"/>
          <w:lang w:val="en-GB"/>
        </w:rPr>
      </w:pPr>
      <w:r>
        <w:rPr>
          <w:rFonts w:ascii="Times New Roman" w:hAnsi="Times New Roman"/>
          <w:sz w:val="24"/>
          <w:lang w:val="en-GB"/>
        </w:rPr>
        <w:fldChar w:fldCharType="end"/>
      </w:r>
    </w:p>
    <w:sectPr w:rsidR="005A3F71" w:rsidRPr="0001203E" w:rsidSect="00A84D9A">
      <w:pgSz w:w="12240" w:h="15840"/>
      <w:pgMar w:top="1440" w:right="1440" w:bottom="1440" w:left="153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D5BC" w14:textId="77777777" w:rsidR="00AE0CA6" w:rsidRDefault="00AE0CA6">
      <w:pPr>
        <w:spacing w:after="0" w:line="240" w:lineRule="auto"/>
      </w:pPr>
      <w:r>
        <w:separator/>
      </w:r>
    </w:p>
  </w:endnote>
  <w:endnote w:type="continuationSeparator" w:id="0">
    <w:p w14:paraId="24E3D7A3" w14:textId="77777777" w:rsidR="00AE0CA6" w:rsidRDefault="00AE0CA6">
      <w:pPr>
        <w:spacing w:after="0" w:line="240" w:lineRule="auto"/>
      </w:pPr>
      <w:r>
        <w:continuationSeparator/>
      </w:r>
    </w:p>
  </w:endnote>
  <w:endnote w:type="continuationNotice" w:id="1">
    <w:p w14:paraId="1507AD2B" w14:textId="77777777" w:rsidR="00AE0CA6" w:rsidRDefault="00AE0C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8C59" w14:textId="48C66FE7" w:rsidR="005A3F71" w:rsidRDefault="00B85B34">
    <w:pPr>
      <w:pStyle w:val="Footer"/>
      <w:jc w:val="right"/>
    </w:pPr>
    <w:r>
      <w:fldChar w:fldCharType="begin"/>
    </w:r>
    <w:r>
      <w:instrText xml:space="preserve"> PAGE   \* MERGEFORMAT </w:instrText>
    </w:r>
    <w:r>
      <w:fldChar w:fldCharType="separate"/>
    </w:r>
    <w:r>
      <w:rPr>
        <w:noProof/>
      </w:rPr>
      <w:t>28</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6E864" w14:textId="77777777" w:rsidR="00AE0CA6" w:rsidRDefault="00AE0CA6">
      <w:pPr>
        <w:spacing w:after="0" w:line="240" w:lineRule="auto"/>
      </w:pPr>
      <w:r>
        <w:separator/>
      </w:r>
    </w:p>
  </w:footnote>
  <w:footnote w:type="continuationSeparator" w:id="0">
    <w:p w14:paraId="1FCA14A9" w14:textId="77777777" w:rsidR="00AE0CA6" w:rsidRDefault="00AE0CA6">
      <w:pPr>
        <w:spacing w:after="0" w:line="240" w:lineRule="auto"/>
      </w:pPr>
      <w:r>
        <w:continuationSeparator/>
      </w:r>
    </w:p>
  </w:footnote>
  <w:footnote w:type="continuationNotice" w:id="1">
    <w:p w14:paraId="30D9ECF8" w14:textId="77777777" w:rsidR="00AE0CA6" w:rsidRDefault="00AE0CA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D11C90"/>
    <w:multiLevelType w:val="hybridMultilevel"/>
    <w:tmpl w:val="12DA65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5"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356CC6"/>
    <w:multiLevelType w:val="multilevel"/>
    <w:tmpl w:val="723AAD4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180"/>
      </w:pPr>
    </w:lvl>
  </w:abstractNum>
  <w:abstractNum w:abstractNumId="11" w15:restartNumberingAfterBreak="0">
    <w:nsid w:val="030F1339"/>
    <w:multiLevelType w:val="hybridMultilevel"/>
    <w:tmpl w:val="22BE163E"/>
    <w:lvl w:ilvl="0" w:tplc="DCECE880">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start w:val="1"/>
      <w:numFmt w:val="bullet"/>
      <w:lvlText w:val=""/>
      <w:lvlJc w:val="left"/>
      <w:pPr>
        <w:ind w:left="2880" w:hanging="360"/>
      </w:pPr>
      <w:rPr>
        <w:rFonts w:ascii="Symbol" w:hAnsi="Symbol" w:hint="default"/>
      </w:rPr>
    </w:lvl>
    <w:lvl w:ilvl="4" w:tplc="08070003">
      <w:start w:val="1"/>
      <w:numFmt w:val="bullet"/>
      <w:lvlText w:val="o"/>
      <w:lvlJc w:val="left"/>
      <w:pPr>
        <w:ind w:left="3600" w:hanging="360"/>
      </w:pPr>
      <w:rPr>
        <w:rFonts w:ascii="Courier New" w:hAnsi="Courier New" w:cs="Courier New" w:hint="default"/>
      </w:rPr>
    </w:lvl>
    <w:lvl w:ilvl="5" w:tplc="08070005">
      <w:start w:val="1"/>
      <w:numFmt w:val="bullet"/>
      <w:lvlText w:val=""/>
      <w:lvlJc w:val="left"/>
      <w:pPr>
        <w:ind w:left="4320" w:hanging="360"/>
      </w:pPr>
      <w:rPr>
        <w:rFonts w:ascii="Wingdings" w:hAnsi="Wingdings" w:hint="default"/>
      </w:rPr>
    </w:lvl>
    <w:lvl w:ilvl="6" w:tplc="08070001">
      <w:start w:val="1"/>
      <w:numFmt w:val="bullet"/>
      <w:lvlText w:val=""/>
      <w:lvlJc w:val="left"/>
      <w:pPr>
        <w:ind w:left="5040" w:hanging="360"/>
      </w:pPr>
      <w:rPr>
        <w:rFonts w:ascii="Symbol" w:hAnsi="Symbol" w:hint="default"/>
      </w:rPr>
    </w:lvl>
    <w:lvl w:ilvl="7" w:tplc="08070003">
      <w:start w:val="1"/>
      <w:numFmt w:val="bullet"/>
      <w:lvlText w:val="o"/>
      <w:lvlJc w:val="left"/>
      <w:pPr>
        <w:ind w:left="5760" w:hanging="360"/>
      </w:pPr>
      <w:rPr>
        <w:rFonts w:ascii="Courier New" w:hAnsi="Courier New" w:cs="Courier New" w:hint="default"/>
      </w:rPr>
    </w:lvl>
    <w:lvl w:ilvl="8" w:tplc="08070005">
      <w:start w:val="1"/>
      <w:numFmt w:val="bullet"/>
      <w:lvlText w:val=""/>
      <w:lvlJc w:val="left"/>
      <w:pPr>
        <w:ind w:left="6480" w:hanging="360"/>
      </w:pPr>
      <w:rPr>
        <w:rFonts w:ascii="Wingdings" w:hAnsi="Wingdings" w:hint="default"/>
      </w:rPr>
    </w:lvl>
  </w:abstractNum>
  <w:abstractNum w:abstractNumId="12" w15:restartNumberingAfterBreak="0">
    <w:nsid w:val="05750188"/>
    <w:multiLevelType w:val="multilevel"/>
    <w:tmpl w:val="176CDC36"/>
    <w:lvl w:ilvl="0">
      <w:start w:val="1"/>
      <w:numFmt w:val="decimal"/>
      <w:pStyle w:val="Heading1"/>
      <w:lvlText w:val="%1."/>
      <w:lvlJc w:val="left"/>
      <w:pPr>
        <w:ind w:left="360" w:hanging="360"/>
      </w:pPr>
      <w:rPr>
        <w:rFonts w:hint="default"/>
        <w:spacing w:val="-1"/>
        <w:w w:val="100"/>
        <w:sz w:val="22"/>
        <w:szCs w:val="17"/>
      </w:rPr>
    </w:lvl>
    <w:lvl w:ilvl="1">
      <w:start w:val="1"/>
      <w:numFmt w:val="decimal"/>
      <w:lvlText w:val="%1.%2."/>
      <w:lvlJc w:val="left"/>
      <w:pPr>
        <w:ind w:left="432" w:hanging="432"/>
      </w:pPr>
      <w:rPr>
        <w:rFonts w:hint="default"/>
      </w:rPr>
    </w:lvl>
    <w:lvl w:ilvl="2">
      <w:start w:val="1"/>
      <w:numFmt w:val="decimal"/>
      <w:pStyle w:val="Heading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30303E"/>
    <w:multiLevelType w:val="hybridMultilevel"/>
    <w:tmpl w:val="D5526236"/>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2555650C"/>
    <w:multiLevelType w:val="hybridMultilevel"/>
    <w:tmpl w:val="A732A0B4"/>
    <w:lvl w:ilvl="0" w:tplc="A63CFC9E">
      <w:start w:val="1"/>
      <w:numFmt w:val="decimal"/>
      <w:lvlText w:val="%1)"/>
      <w:lvlJc w:val="left"/>
      <w:pPr>
        <w:ind w:left="720" w:hanging="360"/>
      </w:pPr>
      <w:rPr>
        <w:rFonts w:ascii="Tahoma" w:eastAsia="Calibri" w:hAnsi="Tahoma"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DC22949"/>
    <w:multiLevelType w:val="hybridMultilevel"/>
    <w:tmpl w:val="FCE2FE72"/>
    <w:lvl w:ilvl="0" w:tplc="5040F9BA">
      <w:numFmt w:val="bullet"/>
      <w:lvlText w:val="-"/>
      <w:lvlJc w:val="left"/>
      <w:pPr>
        <w:ind w:left="720" w:hanging="360"/>
      </w:pPr>
      <w:rPr>
        <w:rFonts w:ascii="Tahoma" w:eastAsia="Times New Roman" w:hAnsi="Tahoma" w:cs="Tahoma" w:hint="default"/>
        <w:sz w:val="2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E8D1F89"/>
    <w:multiLevelType w:val="hybridMultilevel"/>
    <w:tmpl w:val="17929882"/>
    <w:lvl w:ilvl="0" w:tplc="0409000F">
      <w:start w:val="1"/>
      <w:numFmt w:val="decimal"/>
      <w:lvlText w:val="%1."/>
      <w:lvlJc w:val="left"/>
      <w:pPr>
        <w:ind w:left="720" w:hanging="360"/>
      </w:pPr>
      <w:rPr>
        <w:rFonts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5DB1F96"/>
    <w:multiLevelType w:val="hybridMultilevel"/>
    <w:tmpl w:val="C97C250C"/>
    <w:lvl w:ilvl="0" w:tplc="B06A7036">
      <w:start w:val="1"/>
      <w:numFmt w:val="bullet"/>
      <w:lvlText w:val="•"/>
      <w:lvlJc w:val="left"/>
      <w:pPr>
        <w:tabs>
          <w:tab w:val="num" w:pos="720"/>
        </w:tabs>
        <w:ind w:left="720" w:hanging="360"/>
      </w:pPr>
      <w:rPr>
        <w:rFonts w:ascii="Arial" w:hAnsi="Arial" w:hint="default"/>
      </w:rPr>
    </w:lvl>
    <w:lvl w:ilvl="1" w:tplc="59265A3A" w:tentative="1">
      <w:start w:val="1"/>
      <w:numFmt w:val="bullet"/>
      <w:lvlText w:val="•"/>
      <w:lvlJc w:val="left"/>
      <w:pPr>
        <w:tabs>
          <w:tab w:val="num" w:pos="1440"/>
        </w:tabs>
        <w:ind w:left="1440" w:hanging="360"/>
      </w:pPr>
      <w:rPr>
        <w:rFonts w:ascii="Arial" w:hAnsi="Arial" w:hint="default"/>
      </w:rPr>
    </w:lvl>
    <w:lvl w:ilvl="2" w:tplc="BFEAFD06" w:tentative="1">
      <w:start w:val="1"/>
      <w:numFmt w:val="bullet"/>
      <w:lvlText w:val="•"/>
      <w:lvlJc w:val="left"/>
      <w:pPr>
        <w:tabs>
          <w:tab w:val="num" w:pos="2160"/>
        </w:tabs>
        <w:ind w:left="2160" w:hanging="360"/>
      </w:pPr>
      <w:rPr>
        <w:rFonts w:ascii="Arial" w:hAnsi="Arial" w:hint="default"/>
      </w:rPr>
    </w:lvl>
    <w:lvl w:ilvl="3" w:tplc="5E6A5AF4" w:tentative="1">
      <w:start w:val="1"/>
      <w:numFmt w:val="bullet"/>
      <w:lvlText w:val="•"/>
      <w:lvlJc w:val="left"/>
      <w:pPr>
        <w:tabs>
          <w:tab w:val="num" w:pos="2880"/>
        </w:tabs>
        <w:ind w:left="2880" w:hanging="360"/>
      </w:pPr>
      <w:rPr>
        <w:rFonts w:ascii="Arial" w:hAnsi="Arial" w:hint="default"/>
      </w:rPr>
    </w:lvl>
    <w:lvl w:ilvl="4" w:tplc="9CC4AC0C" w:tentative="1">
      <w:start w:val="1"/>
      <w:numFmt w:val="bullet"/>
      <w:lvlText w:val="•"/>
      <w:lvlJc w:val="left"/>
      <w:pPr>
        <w:tabs>
          <w:tab w:val="num" w:pos="3600"/>
        </w:tabs>
        <w:ind w:left="3600" w:hanging="360"/>
      </w:pPr>
      <w:rPr>
        <w:rFonts w:ascii="Arial" w:hAnsi="Arial" w:hint="default"/>
      </w:rPr>
    </w:lvl>
    <w:lvl w:ilvl="5" w:tplc="B9B27824" w:tentative="1">
      <w:start w:val="1"/>
      <w:numFmt w:val="bullet"/>
      <w:lvlText w:val="•"/>
      <w:lvlJc w:val="left"/>
      <w:pPr>
        <w:tabs>
          <w:tab w:val="num" w:pos="4320"/>
        </w:tabs>
        <w:ind w:left="4320" w:hanging="360"/>
      </w:pPr>
      <w:rPr>
        <w:rFonts w:ascii="Arial" w:hAnsi="Arial" w:hint="default"/>
      </w:rPr>
    </w:lvl>
    <w:lvl w:ilvl="6" w:tplc="7256E822" w:tentative="1">
      <w:start w:val="1"/>
      <w:numFmt w:val="bullet"/>
      <w:lvlText w:val="•"/>
      <w:lvlJc w:val="left"/>
      <w:pPr>
        <w:tabs>
          <w:tab w:val="num" w:pos="5040"/>
        </w:tabs>
        <w:ind w:left="5040" w:hanging="360"/>
      </w:pPr>
      <w:rPr>
        <w:rFonts w:ascii="Arial" w:hAnsi="Arial" w:hint="default"/>
      </w:rPr>
    </w:lvl>
    <w:lvl w:ilvl="7" w:tplc="E5080F5A" w:tentative="1">
      <w:start w:val="1"/>
      <w:numFmt w:val="bullet"/>
      <w:lvlText w:val="•"/>
      <w:lvlJc w:val="left"/>
      <w:pPr>
        <w:tabs>
          <w:tab w:val="num" w:pos="5760"/>
        </w:tabs>
        <w:ind w:left="5760" w:hanging="360"/>
      </w:pPr>
      <w:rPr>
        <w:rFonts w:ascii="Arial" w:hAnsi="Arial" w:hint="default"/>
      </w:rPr>
    </w:lvl>
    <w:lvl w:ilvl="8" w:tplc="3BD4C3B4"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5251191"/>
    <w:multiLevelType w:val="hybridMultilevel"/>
    <w:tmpl w:val="1F381002"/>
    <w:lvl w:ilvl="0" w:tplc="71D8D1CC">
      <w:start w:val="9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E71B8D"/>
    <w:multiLevelType w:val="multilevel"/>
    <w:tmpl w:val="349A4B0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FB0D98"/>
    <w:multiLevelType w:val="hybridMultilevel"/>
    <w:tmpl w:val="9BBC1208"/>
    <w:lvl w:ilvl="0" w:tplc="1C8A269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9C7AC7"/>
    <w:multiLevelType w:val="hybridMultilevel"/>
    <w:tmpl w:val="04F0E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182503"/>
    <w:multiLevelType w:val="hybridMultilevel"/>
    <w:tmpl w:val="C3FC1F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E997A98"/>
    <w:multiLevelType w:val="hybridMultilevel"/>
    <w:tmpl w:val="C218B9C2"/>
    <w:lvl w:ilvl="0" w:tplc="AB6E2474">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82125696">
    <w:abstractNumId w:val="9"/>
  </w:num>
  <w:num w:numId="2" w16cid:durableId="1909530757">
    <w:abstractNumId w:val="7"/>
  </w:num>
  <w:num w:numId="3" w16cid:durableId="493302566">
    <w:abstractNumId w:val="6"/>
  </w:num>
  <w:num w:numId="4" w16cid:durableId="1028065057">
    <w:abstractNumId w:val="5"/>
  </w:num>
  <w:num w:numId="5" w16cid:durableId="1548955329">
    <w:abstractNumId w:val="8"/>
  </w:num>
  <w:num w:numId="6" w16cid:durableId="593326338">
    <w:abstractNumId w:val="4"/>
  </w:num>
  <w:num w:numId="7" w16cid:durableId="956716301">
    <w:abstractNumId w:val="3"/>
  </w:num>
  <w:num w:numId="8" w16cid:durableId="850416899">
    <w:abstractNumId w:val="2"/>
  </w:num>
  <w:num w:numId="9" w16cid:durableId="93289342">
    <w:abstractNumId w:val="1"/>
  </w:num>
  <w:num w:numId="10" w16cid:durableId="578365364">
    <w:abstractNumId w:val="19"/>
  </w:num>
  <w:num w:numId="11" w16cid:durableId="431317888">
    <w:abstractNumId w:val="10"/>
  </w:num>
  <w:num w:numId="12" w16cid:durableId="1602057857">
    <w:abstractNumId w:val="21"/>
  </w:num>
  <w:num w:numId="13" w16cid:durableId="2015643056">
    <w:abstractNumId w:val="20"/>
  </w:num>
  <w:num w:numId="14" w16cid:durableId="1120566164">
    <w:abstractNumId w:val="23"/>
  </w:num>
  <w:num w:numId="15" w16cid:durableId="913780440">
    <w:abstractNumId w:val="0"/>
  </w:num>
  <w:num w:numId="16" w16cid:durableId="1366904319">
    <w:abstractNumId w:val="12"/>
  </w:num>
  <w:num w:numId="17" w16cid:durableId="1907690344">
    <w:abstractNumId w:val="16"/>
  </w:num>
  <w:num w:numId="18" w16cid:durableId="1271670489">
    <w:abstractNumId w:val="13"/>
  </w:num>
  <w:num w:numId="19" w16cid:durableId="2050715099">
    <w:abstractNumId w:val="22"/>
  </w:num>
  <w:num w:numId="20" w16cid:durableId="982319533">
    <w:abstractNumId w:val="17"/>
  </w:num>
  <w:num w:numId="21" w16cid:durableId="115486531">
    <w:abstractNumId w:val="18"/>
  </w:num>
  <w:num w:numId="22" w16cid:durableId="2045476463">
    <w:abstractNumId w:val="14"/>
    <w:lvlOverride w:ilvl="0">
      <w:startOverride w:val="1"/>
    </w:lvlOverride>
    <w:lvlOverride w:ilvl="1"/>
    <w:lvlOverride w:ilvl="2"/>
    <w:lvlOverride w:ilvl="3"/>
    <w:lvlOverride w:ilvl="4"/>
    <w:lvlOverride w:ilvl="5"/>
    <w:lvlOverride w:ilvl="6"/>
    <w:lvlOverride w:ilvl="7"/>
    <w:lvlOverride w:ilvl="8"/>
  </w:num>
  <w:num w:numId="23" w16cid:durableId="1856729669">
    <w:abstractNumId w:val="11"/>
  </w:num>
  <w:num w:numId="24" w16cid:durableId="57228260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Numbered (DO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zze9rzn5wfrueapezvwfd3dfxw5pzfa99f&quot;&gt;Satoreotide in NETs Dosimetry Manuscript&lt;record-ids&gt;&lt;item&gt;19&lt;/item&gt;&lt;item&gt;20&lt;/item&gt;&lt;item&gt;21&lt;/item&gt;&lt;item&gt;22&lt;/item&gt;&lt;item&gt;62&lt;/item&gt;&lt;/record-ids&gt;&lt;/item&gt;&lt;/Libraries&gt;"/>
  </w:docVars>
  <w:rsids>
    <w:rsidRoot w:val="00B47730"/>
    <w:rsid w:val="00000150"/>
    <w:rsid w:val="000002DF"/>
    <w:rsid w:val="00000CF6"/>
    <w:rsid w:val="00000E91"/>
    <w:rsid w:val="00001811"/>
    <w:rsid w:val="00001C90"/>
    <w:rsid w:val="00002BCC"/>
    <w:rsid w:val="000038FB"/>
    <w:rsid w:val="00003A48"/>
    <w:rsid w:val="00003F9F"/>
    <w:rsid w:val="0000497C"/>
    <w:rsid w:val="000049A7"/>
    <w:rsid w:val="00004B27"/>
    <w:rsid w:val="00004D66"/>
    <w:rsid w:val="000053F4"/>
    <w:rsid w:val="0000563F"/>
    <w:rsid w:val="00006052"/>
    <w:rsid w:val="0000607C"/>
    <w:rsid w:val="00006523"/>
    <w:rsid w:val="000071A9"/>
    <w:rsid w:val="00007D06"/>
    <w:rsid w:val="0001020C"/>
    <w:rsid w:val="00010996"/>
    <w:rsid w:val="00010CBD"/>
    <w:rsid w:val="00010E74"/>
    <w:rsid w:val="0001126A"/>
    <w:rsid w:val="0001147B"/>
    <w:rsid w:val="000114FA"/>
    <w:rsid w:val="0001203E"/>
    <w:rsid w:val="000125FB"/>
    <w:rsid w:val="00013304"/>
    <w:rsid w:val="000155E4"/>
    <w:rsid w:val="000157C4"/>
    <w:rsid w:val="00015939"/>
    <w:rsid w:val="000163C6"/>
    <w:rsid w:val="0001647C"/>
    <w:rsid w:val="00016661"/>
    <w:rsid w:val="00016CBC"/>
    <w:rsid w:val="00016EC8"/>
    <w:rsid w:val="000200C3"/>
    <w:rsid w:val="00020642"/>
    <w:rsid w:val="000208A9"/>
    <w:rsid w:val="00020946"/>
    <w:rsid w:val="00020CA1"/>
    <w:rsid w:val="000214ED"/>
    <w:rsid w:val="00021543"/>
    <w:rsid w:val="000226FA"/>
    <w:rsid w:val="00022893"/>
    <w:rsid w:val="00023108"/>
    <w:rsid w:val="00023376"/>
    <w:rsid w:val="00023FFA"/>
    <w:rsid w:val="000241C2"/>
    <w:rsid w:val="00024330"/>
    <w:rsid w:val="00024A59"/>
    <w:rsid w:val="00025072"/>
    <w:rsid w:val="00025AA7"/>
    <w:rsid w:val="000261B1"/>
    <w:rsid w:val="00026A2F"/>
    <w:rsid w:val="00026BF1"/>
    <w:rsid w:val="0002703D"/>
    <w:rsid w:val="00027AF9"/>
    <w:rsid w:val="0003008D"/>
    <w:rsid w:val="00030748"/>
    <w:rsid w:val="00030856"/>
    <w:rsid w:val="00030C7A"/>
    <w:rsid w:val="00030C7E"/>
    <w:rsid w:val="00030D9D"/>
    <w:rsid w:val="00030F4B"/>
    <w:rsid w:val="000324BE"/>
    <w:rsid w:val="000334BA"/>
    <w:rsid w:val="0003380D"/>
    <w:rsid w:val="00033DDE"/>
    <w:rsid w:val="000343E2"/>
    <w:rsid w:val="00034616"/>
    <w:rsid w:val="0003467F"/>
    <w:rsid w:val="00035533"/>
    <w:rsid w:val="00036ED9"/>
    <w:rsid w:val="00037042"/>
    <w:rsid w:val="000372B1"/>
    <w:rsid w:val="00037E17"/>
    <w:rsid w:val="0004014A"/>
    <w:rsid w:val="0004065D"/>
    <w:rsid w:val="000408C7"/>
    <w:rsid w:val="00040B2B"/>
    <w:rsid w:val="000411FD"/>
    <w:rsid w:val="00041267"/>
    <w:rsid w:val="0004223F"/>
    <w:rsid w:val="00044D7D"/>
    <w:rsid w:val="00045380"/>
    <w:rsid w:val="000453DD"/>
    <w:rsid w:val="00046139"/>
    <w:rsid w:val="000467B2"/>
    <w:rsid w:val="00046856"/>
    <w:rsid w:val="00046C29"/>
    <w:rsid w:val="00046E47"/>
    <w:rsid w:val="00047904"/>
    <w:rsid w:val="00047EC1"/>
    <w:rsid w:val="00050691"/>
    <w:rsid w:val="00050D7F"/>
    <w:rsid w:val="000514C9"/>
    <w:rsid w:val="000525B3"/>
    <w:rsid w:val="0005295E"/>
    <w:rsid w:val="00052A93"/>
    <w:rsid w:val="00053540"/>
    <w:rsid w:val="000549C8"/>
    <w:rsid w:val="00054B72"/>
    <w:rsid w:val="0005564C"/>
    <w:rsid w:val="00055713"/>
    <w:rsid w:val="00056062"/>
    <w:rsid w:val="000564B1"/>
    <w:rsid w:val="00056700"/>
    <w:rsid w:val="0005695E"/>
    <w:rsid w:val="0006063C"/>
    <w:rsid w:val="000606C6"/>
    <w:rsid w:val="0006112E"/>
    <w:rsid w:val="00061800"/>
    <w:rsid w:val="00061F03"/>
    <w:rsid w:val="000621F8"/>
    <w:rsid w:val="00062E26"/>
    <w:rsid w:val="0006347C"/>
    <w:rsid w:val="000636E1"/>
    <w:rsid w:val="000650CB"/>
    <w:rsid w:val="00065BC4"/>
    <w:rsid w:val="000662E6"/>
    <w:rsid w:val="000672CA"/>
    <w:rsid w:val="00070024"/>
    <w:rsid w:val="000716E7"/>
    <w:rsid w:val="00071C04"/>
    <w:rsid w:val="00071E30"/>
    <w:rsid w:val="0007283B"/>
    <w:rsid w:val="00073113"/>
    <w:rsid w:val="00073594"/>
    <w:rsid w:val="000743EF"/>
    <w:rsid w:val="0007468B"/>
    <w:rsid w:val="000746DE"/>
    <w:rsid w:val="00075CBC"/>
    <w:rsid w:val="000760C9"/>
    <w:rsid w:val="000778CD"/>
    <w:rsid w:val="0008093B"/>
    <w:rsid w:val="0008150F"/>
    <w:rsid w:val="00081B85"/>
    <w:rsid w:val="0008212F"/>
    <w:rsid w:val="00083B0E"/>
    <w:rsid w:val="00084035"/>
    <w:rsid w:val="000856B4"/>
    <w:rsid w:val="000865D9"/>
    <w:rsid w:val="0008672F"/>
    <w:rsid w:val="000869E0"/>
    <w:rsid w:val="00087869"/>
    <w:rsid w:val="00090021"/>
    <w:rsid w:val="000904B0"/>
    <w:rsid w:val="0009057A"/>
    <w:rsid w:val="0009090F"/>
    <w:rsid w:val="00090C15"/>
    <w:rsid w:val="00090F6E"/>
    <w:rsid w:val="0009198F"/>
    <w:rsid w:val="0009229A"/>
    <w:rsid w:val="00093FDF"/>
    <w:rsid w:val="000949EC"/>
    <w:rsid w:val="00094E79"/>
    <w:rsid w:val="00095306"/>
    <w:rsid w:val="00095325"/>
    <w:rsid w:val="00095864"/>
    <w:rsid w:val="0009586C"/>
    <w:rsid w:val="0009646C"/>
    <w:rsid w:val="00096C45"/>
    <w:rsid w:val="00096ED5"/>
    <w:rsid w:val="0009718F"/>
    <w:rsid w:val="000A06E8"/>
    <w:rsid w:val="000A1758"/>
    <w:rsid w:val="000A1F2B"/>
    <w:rsid w:val="000A2C22"/>
    <w:rsid w:val="000A2D43"/>
    <w:rsid w:val="000A32B7"/>
    <w:rsid w:val="000A33AF"/>
    <w:rsid w:val="000A3554"/>
    <w:rsid w:val="000A3C9F"/>
    <w:rsid w:val="000A3E74"/>
    <w:rsid w:val="000A4697"/>
    <w:rsid w:val="000A4EDB"/>
    <w:rsid w:val="000A576D"/>
    <w:rsid w:val="000A5A1F"/>
    <w:rsid w:val="000A6043"/>
    <w:rsid w:val="000A68BD"/>
    <w:rsid w:val="000A7229"/>
    <w:rsid w:val="000A762D"/>
    <w:rsid w:val="000A7FFB"/>
    <w:rsid w:val="000B0325"/>
    <w:rsid w:val="000B1CCA"/>
    <w:rsid w:val="000B2EAB"/>
    <w:rsid w:val="000B4B96"/>
    <w:rsid w:val="000B7700"/>
    <w:rsid w:val="000B7D0C"/>
    <w:rsid w:val="000B7D91"/>
    <w:rsid w:val="000C0AD0"/>
    <w:rsid w:val="000C0F42"/>
    <w:rsid w:val="000C10DB"/>
    <w:rsid w:val="000C138D"/>
    <w:rsid w:val="000C1A94"/>
    <w:rsid w:val="000C36E9"/>
    <w:rsid w:val="000C3BA8"/>
    <w:rsid w:val="000C468D"/>
    <w:rsid w:val="000C4B30"/>
    <w:rsid w:val="000C4EF9"/>
    <w:rsid w:val="000C6E3B"/>
    <w:rsid w:val="000C6FC6"/>
    <w:rsid w:val="000D0260"/>
    <w:rsid w:val="000D09CD"/>
    <w:rsid w:val="000D0BAE"/>
    <w:rsid w:val="000D16A0"/>
    <w:rsid w:val="000D1922"/>
    <w:rsid w:val="000D2942"/>
    <w:rsid w:val="000D29C2"/>
    <w:rsid w:val="000D2D2E"/>
    <w:rsid w:val="000D33D7"/>
    <w:rsid w:val="000D35A5"/>
    <w:rsid w:val="000D4695"/>
    <w:rsid w:val="000D5B15"/>
    <w:rsid w:val="000D7874"/>
    <w:rsid w:val="000E07A8"/>
    <w:rsid w:val="000E135F"/>
    <w:rsid w:val="000E1689"/>
    <w:rsid w:val="000E22FD"/>
    <w:rsid w:val="000E27BC"/>
    <w:rsid w:val="000E4801"/>
    <w:rsid w:val="000E4D58"/>
    <w:rsid w:val="000E5981"/>
    <w:rsid w:val="000E645D"/>
    <w:rsid w:val="000E646D"/>
    <w:rsid w:val="000E6A95"/>
    <w:rsid w:val="000E72E9"/>
    <w:rsid w:val="000E75B8"/>
    <w:rsid w:val="000F1B41"/>
    <w:rsid w:val="000F1B98"/>
    <w:rsid w:val="000F2931"/>
    <w:rsid w:val="000F39A3"/>
    <w:rsid w:val="000F417F"/>
    <w:rsid w:val="000F41DA"/>
    <w:rsid w:val="000F438B"/>
    <w:rsid w:val="000F6907"/>
    <w:rsid w:val="000F7237"/>
    <w:rsid w:val="000F7A7A"/>
    <w:rsid w:val="00100DEB"/>
    <w:rsid w:val="00100E8D"/>
    <w:rsid w:val="00101ABB"/>
    <w:rsid w:val="00101BC7"/>
    <w:rsid w:val="00102271"/>
    <w:rsid w:val="001025D5"/>
    <w:rsid w:val="00103138"/>
    <w:rsid w:val="00103185"/>
    <w:rsid w:val="00104AF0"/>
    <w:rsid w:val="00104D9F"/>
    <w:rsid w:val="00106349"/>
    <w:rsid w:val="00106461"/>
    <w:rsid w:val="001068D0"/>
    <w:rsid w:val="0010736B"/>
    <w:rsid w:val="0010759A"/>
    <w:rsid w:val="00107D11"/>
    <w:rsid w:val="00107D33"/>
    <w:rsid w:val="001107BE"/>
    <w:rsid w:val="001114C9"/>
    <w:rsid w:val="0011283E"/>
    <w:rsid w:val="00112F07"/>
    <w:rsid w:val="00113268"/>
    <w:rsid w:val="001137ED"/>
    <w:rsid w:val="001141A7"/>
    <w:rsid w:val="00114A36"/>
    <w:rsid w:val="00114BC9"/>
    <w:rsid w:val="0011559A"/>
    <w:rsid w:val="00116759"/>
    <w:rsid w:val="00116890"/>
    <w:rsid w:val="00116EE9"/>
    <w:rsid w:val="001200D5"/>
    <w:rsid w:val="00120B35"/>
    <w:rsid w:val="00120C31"/>
    <w:rsid w:val="00120CD1"/>
    <w:rsid w:val="00121DA5"/>
    <w:rsid w:val="00123A58"/>
    <w:rsid w:val="0012426B"/>
    <w:rsid w:val="00124845"/>
    <w:rsid w:val="00124A50"/>
    <w:rsid w:val="00127444"/>
    <w:rsid w:val="00130353"/>
    <w:rsid w:val="001315EB"/>
    <w:rsid w:val="00131946"/>
    <w:rsid w:val="001319CE"/>
    <w:rsid w:val="00131A71"/>
    <w:rsid w:val="00131B03"/>
    <w:rsid w:val="0013239D"/>
    <w:rsid w:val="00132CD7"/>
    <w:rsid w:val="0013369A"/>
    <w:rsid w:val="00133CE0"/>
    <w:rsid w:val="00135698"/>
    <w:rsid w:val="00135AEA"/>
    <w:rsid w:val="00135D94"/>
    <w:rsid w:val="00137B7B"/>
    <w:rsid w:val="00137DC4"/>
    <w:rsid w:val="0014064B"/>
    <w:rsid w:val="00141B9C"/>
    <w:rsid w:val="00142084"/>
    <w:rsid w:val="0014225D"/>
    <w:rsid w:val="00142287"/>
    <w:rsid w:val="00142F8C"/>
    <w:rsid w:val="00143881"/>
    <w:rsid w:val="001453E9"/>
    <w:rsid w:val="001500C4"/>
    <w:rsid w:val="00150259"/>
    <w:rsid w:val="0015074B"/>
    <w:rsid w:val="001508D1"/>
    <w:rsid w:val="00150B03"/>
    <w:rsid w:val="00150D17"/>
    <w:rsid w:val="001523A7"/>
    <w:rsid w:val="00154BED"/>
    <w:rsid w:val="001555A6"/>
    <w:rsid w:val="00155DD8"/>
    <w:rsid w:val="00155F5F"/>
    <w:rsid w:val="00160446"/>
    <w:rsid w:val="00161069"/>
    <w:rsid w:val="00161E3E"/>
    <w:rsid w:val="00161E91"/>
    <w:rsid w:val="00162871"/>
    <w:rsid w:val="00165216"/>
    <w:rsid w:val="001671EE"/>
    <w:rsid w:val="001706D6"/>
    <w:rsid w:val="001712CD"/>
    <w:rsid w:val="00171B99"/>
    <w:rsid w:val="00171E16"/>
    <w:rsid w:val="00172BC9"/>
    <w:rsid w:val="001733F5"/>
    <w:rsid w:val="00173785"/>
    <w:rsid w:val="00174AA1"/>
    <w:rsid w:val="00174C8E"/>
    <w:rsid w:val="00175145"/>
    <w:rsid w:val="00175612"/>
    <w:rsid w:val="00175616"/>
    <w:rsid w:val="00175AF9"/>
    <w:rsid w:val="00175F86"/>
    <w:rsid w:val="001767B2"/>
    <w:rsid w:val="00176FB8"/>
    <w:rsid w:val="00177C98"/>
    <w:rsid w:val="00180AA7"/>
    <w:rsid w:val="001814CA"/>
    <w:rsid w:val="00182642"/>
    <w:rsid w:val="00182C1A"/>
    <w:rsid w:val="0018364E"/>
    <w:rsid w:val="001844E7"/>
    <w:rsid w:val="0018467C"/>
    <w:rsid w:val="00185C1D"/>
    <w:rsid w:val="001873A3"/>
    <w:rsid w:val="00187A3F"/>
    <w:rsid w:val="00187CF0"/>
    <w:rsid w:val="00187F7B"/>
    <w:rsid w:val="00190FA9"/>
    <w:rsid w:val="00191862"/>
    <w:rsid w:val="00192401"/>
    <w:rsid w:val="00193B9D"/>
    <w:rsid w:val="00193C06"/>
    <w:rsid w:val="0019405C"/>
    <w:rsid w:val="001947FF"/>
    <w:rsid w:val="00194CC0"/>
    <w:rsid w:val="001955DB"/>
    <w:rsid w:val="00195AE5"/>
    <w:rsid w:val="00196729"/>
    <w:rsid w:val="00196A6E"/>
    <w:rsid w:val="00196BF4"/>
    <w:rsid w:val="001A0905"/>
    <w:rsid w:val="001A16C2"/>
    <w:rsid w:val="001A1FFD"/>
    <w:rsid w:val="001A21D5"/>
    <w:rsid w:val="001A3174"/>
    <w:rsid w:val="001A3512"/>
    <w:rsid w:val="001A38A4"/>
    <w:rsid w:val="001A398C"/>
    <w:rsid w:val="001A3B67"/>
    <w:rsid w:val="001A3F3D"/>
    <w:rsid w:val="001A44B2"/>
    <w:rsid w:val="001A48D8"/>
    <w:rsid w:val="001A58F0"/>
    <w:rsid w:val="001A5A1C"/>
    <w:rsid w:val="001A5C98"/>
    <w:rsid w:val="001A6AC1"/>
    <w:rsid w:val="001A6B44"/>
    <w:rsid w:val="001A6EBA"/>
    <w:rsid w:val="001A76DE"/>
    <w:rsid w:val="001A7792"/>
    <w:rsid w:val="001B049C"/>
    <w:rsid w:val="001B2A44"/>
    <w:rsid w:val="001B3273"/>
    <w:rsid w:val="001B32C4"/>
    <w:rsid w:val="001B39D9"/>
    <w:rsid w:val="001B3CE0"/>
    <w:rsid w:val="001B456E"/>
    <w:rsid w:val="001B5BFE"/>
    <w:rsid w:val="001B607D"/>
    <w:rsid w:val="001B648A"/>
    <w:rsid w:val="001B73F3"/>
    <w:rsid w:val="001B7955"/>
    <w:rsid w:val="001B7A23"/>
    <w:rsid w:val="001B7C15"/>
    <w:rsid w:val="001B7D22"/>
    <w:rsid w:val="001C09B8"/>
    <w:rsid w:val="001C1804"/>
    <w:rsid w:val="001C1BC0"/>
    <w:rsid w:val="001C1BD5"/>
    <w:rsid w:val="001C1BE4"/>
    <w:rsid w:val="001C2C0E"/>
    <w:rsid w:val="001C2C52"/>
    <w:rsid w:val="001C2DFD"/>
    <w:rsid w:val="001C2E93"/>
    <w:rsid w:val="001C36A0"/>
    <w:rsid w:val="001C3DA5"/>
    <w:rsid w:val="001C46B8"/>
    <w:rsid w:val="001C4CB1"/>
    <w:rsid w:val="001C4D63"/>
    <w:rsid w:val="001C6009"/>
    <w:rsid w:val="001C73E4"/>
    <w:rsid w:val="001C7506"/>
    <w:rsid w:val="001C7FF7"/>
    <w:rsid w:val="001D03C7"/>
    <w:rsid w:val="001D08E3"/>
    <w:rsid w:val="001D0DE1"/>
    <w:rsid w:val="001D268D"/>
    <w:rsid w:val="001D2764"/>
    <w:rsid w:val="001D3950"/>
    <w:rsid w:val="001D3B82"/>
    <w:rsid w:val="001D43FB"/>
    <w:rsid w:val="001D445A"/>
    <w:rsid w:val="001D447C"/>
    <w:rsid w:val="001D567A"/>
    <w:rsid w:val="001D5A71"/>
    <w:rsid w:val="001D5ABE"/>
    <w:rsid w:val="001D5DE2"/>
    <w:rsid w:val="001D6A25"/>
    <w:rsid w:val="001D6C66"/>
    <w:rsid w:val="001D705A"/>
    <w:rsid w:val="001D7BED"/>
    <w:rsid w:val="001E07FD"/>
    <w:rsid w:val="001E0AEF"/>
    <w:rsid w:val="001E0BF5"/>
    <w:rsid w:val="001E0C93"/>
    <w:rsid w:val="001E13BA"/>
    <w:rsid w:val="001E2428"/>
    <w:rsid w:val="001E37D4"/>
    <w:rsid w:val="001E3B0D"/>
    <w:rsid w:val="001E748E"/>
    <w:rsid w:val="001F0553"/>
    <w:rsid w:val="001F0A59"/>
    <w:rsid w:val="001F10B6"/>
    <w:rsid w:val="001F191F"/>
    <w:rsid w:val="001F1A85"/>
    <w:rsid w:val="001F1F83"/>
    <w:rsid w:val="001F2C97"/>
    <w:rsid w:val="001F32CD"/>
    <w:rsid w:val="001F4010"/>
    <w:rsid w:val="001F4223"/>
    <w:rsid w:val="001F46CF"/>
    <w:rsid w:val="001F5413"/>
    <w:rsid w:val="001F5B4D"/>
    <w:rsid w:val="001F5B63"/>
    <w:rsid w:val="001F66CA"/>
    <w:rsid w:val="001F6AE8"/>
    <w:rsid w:val="001F6CB1"/>
    <w:rsid w:val="001F7DD9"/>
    <w:rsid w:val="002013E3"/>
    <w:rsid w:val="00201488"/>
    <w:rsid w:val="002014F3"/>
    <w:rsid w:val="00201641"/>
    <w:rsid w:val="0020183E"/>
    <w:rsid w:val="0020205F"/>
    <w:rsid w:val="0020240E"/>
    <w:rsid w:val="00202707"/>
    <w:rsid w:val="0020332B"/>
    <w:rsid w:val="0020336B"/>
    <w:rsid w:val="00203F97"/>
    <w:rsid w:val="002047BE"/>
    <w:rsid w:val="00204F4C"/>
    <w:rsid w:val="00204F6B"/>
    <w:rsid w:val="00205026"/>
    <w:rsid w:val="002069F6"/>
    <w:rsid w:val="00206E52"/>
    <w:rsid w:val="00206F2D"/>
    <w:rsid w:val="002071A8"/>
    <w:rsid w:val="0020780B"/>
    <w:rsid w:val="00210FA3"/>
    <w:rsid w:val="0021188C"/>
    <w:rsid w:val="00212E02"/>
    <w:rsid w:val="00212F5C"/>
    <w:rsid w:val="002134E9"/>
    <w:rsid w:val="00213530"/>
    <w:rsid w:val="002147D2"/>
    <w:rsid w:val="00214A02"/>
    <w:rsid w:val="00215702"/>
    <w:rsid w:val="00216235"/>
    <w:rsid w:val="00216CA8"/>
    <w:rsid w:val="002207AD"/>
    <w:rsid w:val="002214F5"/>
    <w:rsid w:val="00221B53"/>
    <w:rsid w:val="00224420"/>
    <w:rsid w:val="00224C9A"/>
    <w:rsid w:val="00224CBB"/>
    <w:rsid w:val="00225A9D"/>
    <w:rsid w:val="00225E21"/>
    <w:rsid w:val="0022640B"/>
    <w:rsid w:val="00226749"/>
    <w:rsid w:val="00226B08"/>
    <w:rsid w:val="00227BC0"/>
    <w:rsid w:val="002301D1"/>
    <w:rsid w:val="00230816"/>
    <w:rsid w:val="00231381"/>
    <w:rsid w:val="002314FA"/>
    <w:rsid w:val="002322C2"/>
    <w:rsid w:val="002324DA"/>
    <w:rsid w:val="00232990"/>
    <w:rsid w:val="00232F35"/>
    <w:rsid w:val="0023340D"/>
    <w:rsid w:val="002334BE"/>
    <w:rsid w:val="0023378D"/>
    <w:rsid w:val="002338E9"/>
    <w:rsid w:val="002339E1"/>
    <w:rsid w:val="00233A42"/>
    <w:rsid w:val="00233F87"/>
    <w:rsid w:val="0023417B"/>
    <w:rsid w:val="0023500F"/>
    <w:rsid w:val="0023540C"/>
    <w:rsid w:val="00235A15"/>
    <w:rsid w:val="00235EED"/>
    <w:rsid w:val="00236331"/>
    <w:rsid w:val="00236935"/>
    <w:rsid w:val="00237080"/>
    <w:rsid w:val="0023709E"/>
    <w:rsid w:val="00237FB6"/>
    <w:rsid w:val="00237FF5"/>
    <w:rsid w:val="00240C9A"/>
    <w:rsid w:val="00240D92"/>
    <w:rsid w:val="00241D3F"/>
    <w:rsid w:val="00242121"/>
    <w:rsid w:val="00242D07"/>
    <w:rsid w:val="0024349B"/>
    <w:rsid w:val="00243584"/>
    <w:rsid w:val="002435A3"/>
    <w:rsid w:val="00243A0E"/>
    <w:rsid w:val="00244A85"/>
    <w:rsid w:val="00245870"/>
    <w:rsid w:val="00247104"/>
    <w:rsid w:val="00247899"/>
    <w:rsid w:val="00250059"/>
    <w:rsid w:val="00250610"/>
    <w:rsid w:val="00250B96"/>
    <w:rsid w:val="00251DEF"/>
    <w:rsid w:val="00252040"/>
    <w:rsid w:val="0025318D"/>
    <w:rsid w:val="00253245"/>
    <w:rsid w:val="00253D0B"/>
    <w:rsid w:val="00254AB5"/>
    <w:rsid w:val="00255B0F"/>
    <w:rsid w:val="00255BC4"/>
    <w:rsid w:val="00256318"/>
    <w:rsid w:val="00256A56"/>
    <w:rsid w:val="002570FB"/>
    <w:rsid w:val="0025713F"/>
    <w:rsid w:val="00257961"/>
    <w:rsid w:val="00260120"/>
    <w:rsid w:val="00260CDF"/>
    <w:rsid w:val="00260CE6"/>
    <w:rsid w:val="00261D22"/>
    <w:rsid w:val="00261E61"/>
    <w:rsid w:val="0026203C"/>
    <w:rsid w:val="002621D7"/>
    <w:rsid w:val="002623E6"/>
    <w:rsid w:val="00262EF7"/>
    <w:rsid w:val="0026314F"/>
    <w:rsid w:val="002640B1"/>
    <w:rsid w:val="00264405"/>
    <w:rsid w:val="002644D4"/>
    <w:rsid w:val="0026450C"/>
    <w:rsid w:val="002650CB"/>
    <w:rsid w:val="00265916"/>
    <w:rsid w:val="00265ADB"/>
    <w:rsid w:val="00265B9C"/>
    <w:rsid w:val="002661B8"/>
    <w:rsid w:val="00266558"/>
    <w:rsid w:val="002700A3"/>
    <w:rsid w:val="00270272"/>
    <w:rsid w:val="00270A7B"/>
    <w:rsid w:val="002721CC"/>
    <w:rsid w:val="002728A7"/>
    <w:rsid w:val="00273003"/>
    <w:rsid w:val="002736D8"/>
    <w:rsid w:val="0027370B"/>
    <w:rsid w:val="00274602"/>
    <w:rsid w:val="00274BFB"/>
    <w:rsid w:val="00274EEB"/>
    <w:rsid w:val="00275CCB"/>
    <w:rsid w:val="002762A0"/>
    <w:rsid w:val="00276973"/>
    <w:rsid w:val="002774B3"/>
    <w:rsid w:val="002775C1"/>
    <w:rsid w:val="002810F2"/>
    <w:rsid w:val="00282B61"/>
    <w:rsid w:val="002838D6"/>
    <w:rsid w:val="002841CA"/>
    <w:rsid w:val="002846CC"/>
    <w:rsid w:val="00284CAB"/>
    <w:rsid w:val="00284D52"/>
    <w:rsid w:val="00285895"/>
    <w:rsid w:val="00285E38"/>
    <w:rsid w:val="002872CE"/>
    <w:rsid w:val="00290126"/>
    <w:rsid w:val="00290DB8"/>
    <w:rsid w:val="00291F95"/>
    <w:rsid w:val="002924E7"/>
    <w:rsid w:val="00294523"/>
    <w:rsid w:val="00294E7E"/>
    <w:rsid w:val="00294F63"/>
    <w:rsid w:val="00296141"/>
    <w:rsid w:val="0029639D"/>
    <w:rsid w:val="002968BA"/>
    <w:rsid w:val="00297588"/>
    <w:rsid w:val="002A1B6B"/>
    <w:rsid w:val="002A227F"/>
    <w:rsid w:val="002A23F5"/>
    <w:rsid w:val="002A2472"/>
    <w:rsid w:val="002A2FAA"/>
    <w:rsid w:val="002A4156"/>
    <w:rsid w:val="002A4D98"/>
    <w:rsid w:val="002A5154"/>
    <w:rsid w:val="002A58B1"/>
    <w:rsid w:val="002A59F4"/>
    <w:rsid w:val="002A5C42"/>
    <w:rsid w:val="002A60E1"/>
    <w:rsid w:val="002A66BC"/>
    <w:rsid w:val="002A68AF"/>
    <w:rsid w:val="002A6BB2"/>
    <w:rsid w:val="002A6D2D"/>
    <w:rsid w:val="002A6FD7"/>
    <w:rsid w:val="002A74AD"/>
    <w:rsid w:val="002A7E51"/>
    <w:rsid w:val="002B090F"/>
    <w:rsid w:val="002B1934"/>
    <w:rsid w:val="002B20A9"/>
    <w:rsid w:val="002B2398"/>
    <w:rsid w:val="002B2774"/>
    <w:rsid w:val="002B2DE9"/>
    <w:rsid w:val="002B3ECF"/>
    <w:rsid w:val="002B4D57"/>
    <w:rsid w:val="002B564F"/>
    <w:rsid w:val="002B59B7"/>
    <w:rsid w:val="002B5C2E"/>
    <w:rsid w:val="002B619B"/>
    <w:rsid w:val="002B6721"/>
    <w:rsid w:val="002B6C4A"/>
    <w:rsid w:val="002B6C99"/>
    <w:rsid w:val="002B7FA8"/>
    <w:rsid w:val="002C03EA"/>
    <w:rsid w:val="002C27BE"/>
    <w:rsid w:val="002C2D87"/>
    <w:rsid w:val="002C3F48"/>
    <w:rsid w:val="002C45A3"/>
    <w:rsid w:val="002C5CA1"/>
    <w:rsid w:val="002C5DE5"/>
    <w:rsid w:val="002C6B2E"/>
    <w:rsid w:val="002C6E63"/>
    <w:rsid w:val="002C7853"/>
    <w:rsid w:val="002C7ECC"/>
    <w:rsid w:val="002D070B"/>
    <w:rsid w:val="002D0731"/>
    <w:rsid w:val="002D0CDA"/>
    <w:rsid w:val="002D2844"/>
    <w:rsid w:val="002D3BCF"/>
    <w:rsid w:val="002D3E01"/>
    <w:rsid w:val="002D3F11"/>
    <w:rsid w:val="002D4257"/>
    <w:rsid w:val="002D518A"/>
    <w:rsid w:val="002D66CA"/>
    <w:rsid w:val="002D6B25"/>
    <w:rsid w:val="002D6B8E"/>
    <w:rsid w:val="002D7E19"/>
    <w:rsid w:val="002E12B2"/>
    <w:rsid w:val="002E16DA"/>
    <w:rsid w:val="002E1816"/>
    <w:rsid w:val="002E1DB9"/>
    <w:rsid w:val="002E2007"/>
    <w:rsid w:val="002E2AB6"/>
    <w:rsid w:val="002E3479"/>
    <w:rsid w:val="002E3752"/>
    <w:rsid w:val="002E3F38"/>
    <w:rsid w:val="002E45DD"/>
    <w:rsid w:val="002E5F84"/>
    <w:rsid w:val="002E61D2"/>
    <w:rsid w:val="002E642D"/>
    <w:rsid w:val="002E66C6"/>
    <w:rsid w:val="002E7616"/>
    <w:rsid w:val="002F03D7"/>
    <w:rsid w:val="002F099A"/>
    <w:rsid w:val="002F15DC"/>
    <w:rsid w:val="002F26AB"/>
    <w:rsid w:val="002F3624"/>
    <w:rsid w:val="002F3AC5"/>
    <w:rsid w:val="002F4DE4"/>
    <w:rsid w:val="002F4ECC"/>
    <w:rsid w:val="002F518E"/>
    <w:rsid w:val="002F52AC"/>
    <w:rsid w:val="002F5DF3"/>
    <w:rsid w:val="002F6419"/>
    <w:rsid w:val="002F72A6"/>
    <w:rsid w:val="00301422"/>
    <w:rsid w:val="0030146A"/>
    <w:rsid w:val="0030218D"/>
    <w:rsid w:val="00302434"/>
    <w:rsid w:val="00302A21"/>
    <w:rsid w:val="00302B17"/>
    <w:rsid w:val="00302DB6"/>
    <w:rsid w:val="00303151"/>
    <w:rsid w:val="00303435"/>
    <w:rsid w:val="00304A05"/>
    <w:rsid w:val="00306FF4"/>
    <w:rsid w:val="00307370"/>
    <w:rsid w:val="003101CF"/>
    <w:rsid w:val="00310732"/>
    <w:rsid w:val="0031109E"/>
    <w:rsid w:val="00311882"/>
    <w:rsid w:val="00311C84"/>
    <w:rsid w:val="00311D68"/>
    <w:rsid w:val="003125CB"/>
    <w:rsid w:val="00312EE3"/>
    <w:rsid w:val="003148BF"/>
    <w:rsid w:val="00314D76"/>
    <w:rsid w:val="00315227"/>
    <w:rsid w:val="00315EE0"/>
    <w:rsid w:val="003165EC"/>
    <w:rsid w:val="0031677A"/>
    <w:rsid w:val="0031679E"/>
    <w:rsid w:val="0031686B"/>
    <w:rsid w:val="0031691F"/>
    <w:rsid w:val="00316F55"/>
    <w:rsid w:val="00320BAC"/>
    <w:rsid w:val="003210EC"/>
    <w:rsid w:val="003215BA"/>
    <w:rsid w:val="00323744"/>
    <w:rsid w:val="0032487C"/>
    <w:rsid w:val="00325CC2"/>
    <w:rsid w:val="00326204"/>
    <w:rsid w:val="00326C0E"/>
    <w:rsid w:val="00326F90"/>
    <w:rsid w:val="0032724B"/>
    <w:rsid w:val="003275EA"/>
    <w:rsid w:val="0033023A"/>
    <w:rsid w:val="0033078B"/>
    <w:rsid w:val="00330C8A"/>
    <w:rsid w:val="00330CA0"/>
    <w:rsid w:val="003315BB"/>
    <w:rsid w:val="00331C19"/>
    <w:rsid w:val="00332DD9"/>
    <w:rsid w:val="003337E8"/>
    <w:rsid w:val="00333DE9"/>
    <w:rsid w:val="0033420A"/>
    <w:rsid w:val="00334D2D"/>
    <w:rsid w:val="0033541A"/>
    <w:rsid w:val="00335524"/>
    <w:rsid w:val="00335B30"/>
    <w:rsid w:val="003365B0"/>
    <w:rsid w:val="00336766"/>
    <w:rsid w:val="00336B77"/>
    <w:rsid w:val="003373DC"/>
    <w:rsid w:val="00340141"/>
    <w:rsid w:val="0034169D"/>
    <w:rsid w:val="00341CC0"/>
    <w:rsid w:val="0034207B"/>
    <w:rsid w:val="00342887"/>
    <w:rsid w:val="00342A87"/>
    <w:rsid w:val="00342E5A"/>
    <w:rsid w:val="00343A35"/>
    <w:rsid w:val="00343CBF"/>
    <w:rsid w:val="00344938"/>
    <w:rsid w:val="00344E54"/>
    <w:rsid w:val="00344FDB"/>
    <w:rsid w:val="003450AB"/>
    <w:rsid w:val="003455C8"/>
    <w:rsid w:val="00345C57"/>
    <w:rsid w:val="00345D0A"/>
    <w:rsid w:val="00345D5B"/>
    <w:rsid w:val="00345E16"/>
    <w:rsid w:val="00347D95"/>
    <w:rsid w:val="00350527"/>
    <w:rsid w:val="003508A6"/>
    <w:rsid w:val="00351253"/>
    <w:rsid w:val="00351A82"/>
    <w:rsid w:val="00351B35"/>
    <w:rsid w:val="00351BBF"/>
    <w:rsid w:val="00352054"/>
    <w:rsid w:val="003520F0"/>
    <w:rsid w:val="0035226D"/>
    <w:rsid w:val="0035280D"/>
    <w:rsid w:val="00352863"/>
    <w:rsid w:val="0035290F"/>
    <w:rsid w:val="00352B8D"/>
    <w:rsid w:val="003552EF"/>
    <w:rsid w:val="00355C8B"/>
    <w:rsid w:val="00356DCB"/>
    <w:rsid w:val="00357C9B"/>
    <w:rsid w:val="003612AD"/>
    <w:rsid w:val="0036154D"/>
    <w:rsid w:val="003623DD"/>
    <w:rsid w:val="003631F5"/>
    <w:rsid w:val="00363751"/>
    <w:rsid w:val="00363DA7"/>
    <w:rsid w:val="00364544"/>
    <w:rsid w:val="00364E9C"/>
    <w:rsid w:val="00365368"/>
    <w:rsid w:val="003654D8"/>
    <w:rsid w:val="00370C2E"/>
    <w:rsid w:val="00370EDC"/>
    <w:rsid w:val="003711EE"/>
    <w:rsid w:val="00371589"/>
    <w:rsid w:val="00371ABA"/>
    <w:rsid w:val="00371F5F"/>
    <w:rsid w:val="00372220"/>
    <w:rsid w:val="003729D7"/>
    <w:rsid w:val="00373408"/>
    <w:rsid w:val="003734CD"/>
    <w:rsid w:val="0037359E"/>
    <w:rsid w:val="00373813"/>
    <w:rsid w:val="0037453F"/>
    <w:rsid w:val="00374A9C"/>
    <w:rsid w:val="0037565E"/>
    <w:rsid w:val="00376E2A"/>
    <w:rsid w:val="003811AE"/>
    <w:rsid w:val="003818A7"/>
    <w:rsid w:val="00381E14"/>
    <w:rsid w:val="00381E6E"/>
    <w:rsid w:val="003823AF"/>
    <w:rsid w:val="00382C28"/>
    <w:rsid w:val="00382FE2"/>
    <w:rsid w:val="0038366B"/>
    <w:rsid w:val="003837D7"/>
    <w:rsid w:val="0038396D"/>
    <w:rsid w:val="00383C32"/>
    <w:rsid w:val="00383F1B"/>
    <w:rsid w:val="00384ADD"/>
    <w:rsid w:val="00384DA1"/>
    <w:rsid w:val="00385D2B"/>
    <w:rsid w:val="00385D64"/>
    <w:rsid w:val="0038610F"/>
    <w:rsid w:val="003863E1"/>
    <w:rsid w:val="0038662F"/>
    <w:rsid w:val="00386EC4"/>
    <w:rsid w:val="00387175"/>
    <w:rsid w:val="003874BC"/>
    <w:rsid w:val="00387B0B"/>
    <w:rsid w:val="00390870"/>
    <w:rsid w:val="00390BE5"/>
    <w:rsid w:val="00391128"/>
    <w:rsid w:val="00391CBC"/>
    <w:rsid w:val="00392580"/>
    <w:rsid w:val="00392942"/>
    <w:rsid w:val="00393074"/>
    <w:rsid w:val="003941E4"/>
    <w:rsid w:val="0039424B"/>
    <w:rsid w:val="003944E8"/>
    <w:rsid w:val="00394858"/>
    <w:rsid w:val="00394E6D"/>
    <w:rsid w:val="0039500C"/>
    <w:rsid w:val="00396688"/>
    <w:rsid w:val="003A04FF"/>
    <w:rsid w:val="003A10B7"/>
    <w:rsid w:val="003A21EF"/>
    <w:rsid w:val="003A3A52"/>
    <w:rsid w:val="003A4203"/>
    <w:rsid w:val="003A4A86"/>
    <w:rsid w:val="003A4E8F"/>
    <w:rsid w:val="003A53D0"/>
    <w:rsid w:val="003A5428"/>
    <w:rsid w:val="003A55C4"/>
    <w:rsid w:val="003A5873"/>
    <w:rsid w:val="003A5A70"/>
    <w:rsid w:val="003A6D8A"/>
    <w:rsid w:val="003A7400"/>
    <w:rsid w:val="003A7AB6"/>
    <w:rsid w:val="003A7C3B"/>
    <w:rsid w:val="003B04C5"/>
    <w:rsid w:val="003B0EC5"/>
    <w:rsid w:val="003B1242"/>
    <w:rsid w:val="003B12ED"/>
    <w:rsid w:val="003B2156"/>
    <w:rsid w:val="003B2887"/>
    <w:rsid w:val="003B2CEF"/>
    <w:rsid w:val="003B34F5"/>
    <w:rsid w:val="003B4838"/>
    <w:rsid w:val="003B53C3"/>
    <w:rsid w:val="003B5955"/>
    <w:rsid w:val="003B618A"/>
    <w:rsid w:val="003B62BC"/>
    <w:rsid w:val="003B673B"/>
    <w:rsid w:val="003B73BE"/>
    <w:rsid w:val="003B7748"/>
    <w:rsid w:val="003B7C87"/>
    <w:rsid w:val="003C0F7E"/>
    <w:rsid w:val="003C1C8F"/>
    <w:rsid w:val="003C2284"/>
    <w:rsid w:val="003C254E"/>
    <w:rsid w:val="003C29A0"/>
    <w:rsid w:val="003C39EE"/>
    <w:rsid w:val="003C40D6"/>
    <w:rsid w:val="003C471A"/>
    <w:rsid w:val="003C47ED"/>
    <w:rsid w:val="003C4DD9"/>
    <w:rsid w:val="003C5A7E"/>
    <w:rsid w:val="003C6353"/>
    <w:rsid w:val="003C69F2"/>
    <w:rsid w:val="003C6C5F"/>
    <w:rsid w:val="003C726B"/>
    <w:rsid w:val="003D1DE1"/>
    <w:rsid w:val="003D2A48"/>
    <w:rsid w:val="003D3085"/>
    <w:rsid w:val="003D3387"/>
    <w:rsid w:val="003D3664"/>
    <w:rsid w:val="003D3688"/>
    <w:rsid w:val="003D384F"/>
    <w:rsid w:val="003D391E"/>
    <w:rsid w:val="003D4DA9"/>
    <w:rsid w:val="003D5097"/>
    <w:rsid w:val="003D5B02"/>
    <w:rsid w:val="003D64AC"/>
    <w:rsid w:val="003D6EF7"/>
    <w:rsid w:val="003D74CF"/>
    <w:rsid w:val="003D7E8B"/>
    <w:rsid w:val="003E0BE8"/>
    <w:rsid w:val="003E1012"/>
    <w:rsid w:val="003E160B"/>
    <w:rsid w:val="003E20F9"/>
    <w:rsid w:val="003E274F"/>
    <w:rsid w:val="003E3026"/>
    <w:rsid w:val="003E35CE"/>
    <w:rsid w:val="003E3819"/>
    <w:rsid w:val="003E3EA6"/>
    <w:rsid w:val="003E4019"/>
    <w:rsid w:val="003E4442"/>
    <w:rsid w:val="003E5709"/>
    <w:rsid w:val="003E6E30"/>
    <w:rsid w:val="003E7460"/>
    <w:rsid w:val="003E7691"/>
    <w:rsid w:val="003E78C2"/>
    <w:rsid w:val="003E79A9"/>
    <w:rsid w:val="003F0051"/>
    <w:rsid w:val="003F09D4"/>
    <w:rsid w:val="003F31D9"/>
    <w:rsid w:val="003F333A"/>
    <w:rsid w:val="003F37F3"/>
    <w:rsid w:val="003F400C"/>
    <w:rsid w:val="003F4298"/>
    <w:rsid w:val="003F47FA"/>
    <w:rsid w:val="003F61A5"/>
    <w:rsid w:val="00401204"/>
    <w:rsid w:val="00401C3E"/>
    <w:rsid w:val="00402FB8"/>
    <w:rsid w:val="00403708"/>
    <w:rsid w:val="0040393F"/>
    <w:rsid w:val="00403AD9"/>
    <w:rsid w:val="0040450C"/>
    <w:rsid w:val="0040480A"/>
    <w:rsid w:val="0040507D"/>
    <w:rsid w:val="004050C9"/>
    <w:rsid w:val="004058F8"/>
    <w:rsid w:val="004061EF"/>
    <w:rsid w:val="00406A96"/>
    <w:rsid w:val="00406E34"/>
    <w:rsid w:val="004079DD"/>
    <w:rsid w:val="004104C6"/>
    <w:rsid w:val="00410624"/>
    <w:rsid w:val="004113A2"/>
    <w:rsid w:val="00412A83"/>
    <w:rsid w:val="00413663"/>
    <w:rsid w:val="0041396E"/>
    <w:rsid w:val="00414136"/>
    <w:rsid w:val="00415D24"/>
    <w:rsid w:val="00415F24"/>
    <w:rsid w:val="004169DD"/>
    <w:rsid w:val="00416AE7"/>
    <w:rsid w:val="0041787A"/>
    <w:rsid w:val="00420290"/>
    <w:rsid w:val="00420910"/>
    <w:rsid w:val="0042103A"/>
    <w:rsid w:val="0042128E"/>
    <w:rsid w:val="0042135C"/>
    <w:rsid w:val="0042177F"/>
    <w:rsid w:val="004219BC"/>
    <w:rsid w:val="00421ABB"/>
    <w:rsid w:val="00422641"/>
    <w:rsid w:val="0042291F"/>
    <w:rsid w:val="00423581"/>
    <w:rsid w:val="00424236"/>
    <w:rsid w:val="00424999"/>
    <w:rsid w:val="004254FE"/>
    <w:rsid w:val="00425AF3"/>
    <w:rsid w:val="00426641"/>
    <w:rsid w:val="004273F7"/>
    <w:rsid w:val="00427560"/>
    <w:rsid w:val="00427C46"/>
    <w:rsid w:val="00430985"/>
    <w:rsid w:val="0043150D"/>
    <w:rsid w:val="004316E2"/>
    <w:rsid w:val="00432966"/>
    <w:rsid w:val="004331E5"/>
    <w:rsid w:val="004335DE"/>
    <w:rsid w:val="004359BD"/>
    <w:rsid w:val="00435DF9"/>
    <w:rsid w:val="00436F8E"/>
    <w:rsid w:val="004378A5"/>
    <w:rsid w:val="00437A53"/>
    <w:rsid w:val="00437B8F"/>
    <w:rsid w:val="00440304"/>
    <w:rsid w:val="0044268E"/>
    <w:rsid w:val="00442AFD"/>
    <w:rsid w:val="00442D82"/>
    <w:rsid w:val="00443250"/>
    <w:rsid w:val="004432BB"/>
    <w:rsid w:val="00443491"/>
    <w:rsid w:val="00443686"/>
    <w:rsid w:val="00443BE2"/>
    <w:rsid w:val="00444293"/>
    <w:rsid w:val="00445516"/>
    <w:rsid w:val="004456B0"/>
    <w:rsid w:val="00446310"/>
    <w:rsid w:val="00446364"/>
    <w:rsid w:val="004465E6"/>
    <w:rsid w:val="004507D7"/>
    <w:rsid w:val="00450BD6"/>
    <w:rsid w:val="00453784"/>
    <w:rsid w:val="00453B9D"/>
    <w:rsid w:val="00454884"/>
    <w:rsid w:val="00456A9D"/>
    <w:rsid w:val="00456E1B"/>
    <w:rsid w:val="00457B36"/>
    <w:rsid w:val="0046026A"/>
    <w:rsid w:val="00460926"/>
    <w:rsid w:val="00460AC7"/>
    <w:rsid w:val="004612A9"/>
    <w:rsid w:val="0046316F"/>
    <w:rsid w:val="00463870"/>
    <w:rsid w:val="00463DD8"/>
    <w:rsid w:val="00464F20"/>
    <w:rsid w:val="00464FFB"/>
    <w:rsid w:val="00465713"/>
    <w:rsid w:val="00465ED5"/>
    <w:rsid w:val="00466B58"/>
    <w:rsid w:val="004673CF"/>
    <w:rsid w:val="00467562"/>
    <w:rsid w:val="00467C74"/>
    <w:rsid w:val="0047016B"/>
    <w:rsid w:val="00470611"/>
    <w:rsid w:val="0047066B"/>
    <w:rsid w:val="00470A46"/>
    <w:rsid w:val="004717AD"/>
    <w:rsid w:val="00472A29"/>
    <w:rsid w:val="00472DB5"/>
    <w:rsid w:val="00473B55"/>
    <w:rsid w:val="00474785"/>
    <w:rsid w:val="00474B13"/>
    <w:rsid w:val="004753F5"/>
    <w:rsid w:val="004756C7"/>
    <w:rsid w:val="004763C7"/>
    <w:rsid w:val="0047663E"/>
    <w:rsid w:val="004766E6"/>
    <w:rsid w:val="00476F44"/>
    <w:rsid w:val="004801B4"/>
    <w:rsid w:val="0048101C"/>
    <w:rsid w:val="004815B4"/>
    <w:rsid w:val="004817AF"/>
    <w:rsid w:val="00481F49"/>
    <w:rsid w:val="004825F7"/>
    <w:rsid w:val="0048295C"/>
    <w:rsid w:val="004829FB"/>
    <w:rsid w:val="00483F1E"/>
    <w:rsid w:val="004841FF"/>
    <w:rsid w:val="0048514B"/>
    <w:rsid w:val="004858EA"/>
    <w:rsid w:val="00485BB2"/>
    <w:rsid w:val="00485D19"/>
    <w:rsid w:val="00486C5A"/>
    <w:rsid w:val="004876C9"/>
    <w:rsid w:val="00487FD9"/>
    <w:rsid w:val="00493C44"/>
    <w:rsid w:val="004942F8"/>
    <w:rsid w:val="0049481C"/>
    <w:rsid w:val="00494B13"/>
    <w:rsid w:val="00496621"/>
    <w:rsid w:val="00496F64"/>
    <w:rsid w:val="0049764E"/>
    <w:rsid w:val="004977F4"/>
    <w:rsid w:val="00497AD3"/>
    <w:rsid w:val="004A118B"/>
    <w:rsid w:val="004A156C"/>
    <w:rsid w:val="004A34A1"/>
    <w:rsid w:val="004A554D"/>
    <w:rsid w:val="004A56F8"/>
    <w:rsid w:val="004A57D0"/>
    <w:rsid w:val="004A6019"/>
    <w:rsid w:val="004A6190"/>
    <w:rsid w:val="004A6555"/>
    <w:rsid w:val="004A68EE"/>
    <w:rsid w:val="004A6E21"/>
    <w:rsid w:val="004B0557"/>
    <w:rsid w:val="004B1C6A"/>
    <w:rsid w:val="004B23C4"/>
    <w:rsid w:val="004B2B71"/>
    <w:rsid w:val="004B2D9E"/>
    <w:rsid w:val="004B2F04"/>
    <w:rsid w:val="004B3795"/>
    <w:rsid w:val="004B476E"/>
    <w:rsid w:val="004B502A"/>
    <w:rsid w:val="004B594D"/>
    <w:rsid w:val="004B5974"/>
    <w:rsid w:val="004B65AD"/>
    <w:rsid w:val="004B6AEC"/>
    <w:rsid w:val="004B6B81"/>
    <w:rsid w:val="004B6D8F"/>
    <w:rsid w:val="004B731B"/>
    <w:rsid w:val="004C076C"/>
    <w:rsid w:val="004C1C1D"/>
    <w:rsid w:val="004C28DA"/>
    <w:rsid w:val="004C2E1D"/>
    <w:rsid w:val="004C3531"/>
    <w:rsid w:val="004C4179"/>
    <w:rsid w:val="004C43EA"/>
    <w:rsid w:val="004C47A1"/>
    <w:rsid w:val="004C47DC"/>
    <w:rsid w:val="004C52DE"/>
    <w:rsid w:val="004C5307"/>
    <w:rsid w:val="004C5434"/>
    <w:rsid w:val="004C5DD8"/>
    <w:rsid w:val="004C5EBC"/>
    <w:rsid w:val="004C7910"/>
    <w:rsid w:val="004C7BF5"/>
    <w:rsid w:val="004D0077"/>
    <w:rsid w:val="004D03F9"/>
    <w:rsid w:val="004D04BE"/>
    <w:rsid w:val="004D05BE"/>
    <w:rsid w:val="004D0660"/>
    <w:rsid w:val="004D1472"/>
    <w:rsid w:val="004D152B"/>
    <w:rsid w:val="004D20C8"/>
    <w:rsid w:val="004D21D5"/>
    <w:rsid w:val="004D26B1"/>
    <w:rsid w:val="004D2AEE"/>
    <w:rsid w:val="004D2EBF"/>
    <w:rsid w:val="004D3932"/>
    <w:rsid w:val="004D4072"/>
    <w:rsid w:val="004D42FE"/>
    <w:rsid w:val="004D516B"/>
    <w:rsid w:val="004D52DA"/>
    <w:rsid w:val="004D569C"/>
    <w:rsid w:val="004D75A5"/>
    <w:rsid w:val="004D7701"/>
    <w:rsid w:val="004D7837"/>
    <w:rsid w:val="004D7C5C"/>
    <w:rsid w:val="004E0691"/>
    <w:rsid w:val="004E1393"/>
    <w:rsid w:val="004E1408"/>
    <w:rsid w:val="004E370F"/>
    <w:rsid w:val="004E3A44"/>
    <w:rsid w:val="004E4EC3"/>
    <w:rsid w:val="004E63F8"/>
    <w:rsid w:val="004E6C8D"/>
    <w:rsid w:val="004E6E3E"/>
    <w:rsid w:val="004E7525"/>
    <w:rsid w:val="004E7AEB"/>
    <w:rsid w:val="004F0C4C"/>
    <w:rsid w:val="004F1DAF"/>
    <w:rsid w:val="004F2AF6"/>
    <w:rsid w:val="004F31FA"/>
    <w:rsid w:val="004F3855"/>
    <w:rsid w:val="004F390C"/>
    <w:rsid w:val="004F4FD4"/>
    <w:rsid w:val="004F5D0F"/>
    <w:rsid w:val="004F62ED"/>
    <w:rsid w:val="004F65C1"/>
    <w:rsid w:val="004F7060"/>
    <w:rsid w:val="005005F4"/>
    <w:rsid w:val="005009F9"/>
    <w:rsid w:val="00501906"/>
    <w:rsid w:val="00501EB4"/>
    <w:rsid w:val="00503189"/>
    <w:rsid w:val="005041BF"/>
    <w:rsid w:val="0050458E"/>
    <w:rsid w:val="00506C31"/>
    <w:rsid w:val="005073FA"/>
    <w:rsid w:val="00507510"/>
    <w:rsid w:val="00510560"/>
    <w:rsid w:val="00510815"/>
    <w:rsid w:val="005109D4"/>
    <w:rsid w:val="005112B8"/>
    <w:rsid w:val="005118D0"/>
    <w:rsid w:val="00511C48"/>
    <w:rsid w:val="00512B63"/>
    <w:rsid w:val="00512EBB"/>
    <w:rsid w:val="0051330D"/>
    <w:rsid w:val="00513609"/>
    <w:rsid w:val="00513DBE"/>
    <w:rsid w:val="00513E68"/>
    <w:rsid w:val="005143D0"/>
    <w:rsid w:val="005144AA"/>
    <w:rsid w:val="00514856"/>
    <w:rsid w:val="00514D14"/>
    <w:rsid w:val="00515A59"/>
    <w:rsid w:val="0051723A"/>
    <w:rsid w:val="00517260"/>
    <w:rsid w:val="005175C4"/>
    <w:rsid w:val="00517763"/>
    <w:rsid w:val="00520D88"/>
    <w:rsid w:val="0052124D"/>
    <w:rsid w:val="00521724"/>
    <w:rsid w:val="0052194E"/>
    <w:rsid w:val="00521AA5"/>
    <w:rsid w:val="00521B2F"/>
    <w:rsid w:val="00522451"/>
    <w:rsid w:val="00522759"/>
    <w:rsid w:val="005227FD"/>
    <w:rsid w:val="00522EF8"/>
    <w:rsid w:val="00523050"/>
    <w:rsid w:val="00524E7E"/>
    <w:rsid w:val="00524EB2"/>
    <w:rsid w:val="005250AF"/>
    <w:rsid w:val="00525543"/>
    <w:rsid w:val="005262C5"/>
    <w:rsid w:val="00526964"/>
    <w:rsid w:val="00530058"/>
    <w:rsid w:val="00530B46"/>
    <w:rsid w:val="0053270A"/>
    <w:rsid w:val="00535259"/>
    <w:rsid w:val="005354F3"/>
    <w:rsid w:val="0053594C"/>
    <w:rsid w:val="00535EA7"/>
    <w:rsid w:val="00536479"/>
    <w:rsid w:val="00536B7F"/>
    <w:rsid w:val="00537AD0"/>
    <w:rsid w:val="00537FFA"/>
    <w:rsid w:val="00540649"/>
    <w:rsid w:val="00540865"/>
    <w:rsid w:val="00540E3B"/>
    <w:rsid w:val="00541B74"/>
    <w:rsid w:val="00542909"/>
    <w:rsid w:val="00543814"/>
    <w:rsid w:val="00544DF1"/>
    <w:rsid w:val="00545940"/>
    <w:rsid w:val="00546EFE"/>
    <w:rsid w:val="0054715E"/>
    <w:rsid w:val="00547A9F"/>
    <w:rsid w:val="005501A0"/>
    <w:rsid w:val="00550633"/>
    <w:rsid w:val="00550827"/>
    <w:rsid w:val="00551369"/>
    <w:rsid w:val="00552FB3"/>
    <w:rsid w:val="0055543F"/>
    <w:rsid w:val="00555D7D"/>
    <w:rsid w:val="0055613E"/>
    <w:rsid w:val="005565DB"/>
    <w:rsid w:val="00556A4A"/>
    <w:rsid w:val="00556AAB"/>
    <w:rsid w:val="00556B3C"/>
    <w:rsid w:val="00556CB6"/>
    <w:rsid w:val="00556E57"/>
    <w:rsid w:val="0056008C"/>
    <w:rsid w:val="005601D6"/>
    <w:rsid w:val="00560A1A"/>
    <w:rsid w:val="005611D6"/>
    <w:rsid w:val="00562235"/>
    <w:rsid w:val="005625F6"/>
    <w:rsid w:val="00563402"/>
    <w:rsid w:val="0056379E"/>
    <w:rsid w:val="005637EB"/>
    <w:rsid w:val="00563B16"/>
    <w:rsid w:val="00563CCE"/>
    <w:rsid w:val="005654B3"/>
    <w:rsid w:val="00565F6B"/>
    <w:rsid w:val="00566911"/>
    <w:rsid w:val="00567D8F"/>
    <w:rsid w:val="005701E3"/>
    <w:rsid w:val="00570FC9"/>
    <w:rsid w:val="00571046"/>
    <w:rsid w:val="005714CF"/>
    <w:rsid w:val="00572570"/>
    <w:rsid w:val="0057264A"/>
    <w:rsid w:val="005729D4"/>
    <w:rsid w:val="00573F33"/>
    <w:rsid w:val="00573FD2"/>
    <w:rsid w:val="00574721"/>
    <w:rsid w:val="00574D31"/>
    <w:rsid w:val="00574F10"/>
    <w:rsid w:val="005771D7"/>
    <w:rsid w:val="005801FE"/>
    <w:rsid w:val="005806E6"/>
    <w:rsid w:val="005813AD"/>
    <w:rsid w:val="005824DF"/>
    <w:rsid w:val="00582E99"/>
    <w:rsid w:val="00583807"/>
    <w:rsid w:val="00583A34"/>
    <w:rsid w:val="0058456B"/>
    <w:rsid w:val="00584B62"/>
    <w:rsid w:val="00586989"/>
    <w:rsid w:val="00586D2B"/>
    <w:rsid w:val="0059023B"/>
    <w:rsid w:val="00590D2E"/>
    <w:rsid w:val="00591CC3"/>
    <w:rsid w:val="00591E25"/>
    <w:rsid w:val="00592833"/>
    <w:rsid w:val="00592ED2"/>
    <w:rsid w:val="00592FD6"/>
    <w:rsid w:val="0059323A"/>
    <w:rsid w:val="0059502A"/>
    <w:rsid w:val="005950A8"/>
    <w:rsid w:val="00595B0F"/>
    <w:rsid w:val="00595D98"/>
    <w:rsid w:val="00596394"/>
    <w:rsid w:val="005969A4"/>
    <w:rsid w:val="00596C9B"/>
    <w:rsid w:val="0059781F"/>
    <w:rsid w:val="005A0E5E"/>
    <w:rsid w:val="005A0FB0"/>
    <w:rsid w:val="005A0FD4"/>
    <w:rsid w:val="005A1054"/>
    <w:rsid w:val="005A1584"/>
    <w:rsid w:val="005A21D7"/>
    <w:rsid w:val="005A255E"/>
    <w:rsid w:val="005A2B7B"/>
    <w:rsid w:val="005A3AEA"/>
    <w:rsid w:val="005A3F71"/>
    <w:rsid w:val="005A4C76"/>
    <w:rsid w:val="005A5AFB"/>
    <w:rsid w:val="005A6B52"/>
    <w:rsid w:val="005A6B68"/>
    <w:rsid w:val="005A7A67"/>
    <w:rsid w:val="005A7A8A"/>
    <w:rsid w:val="005A7CB6"/>
    <w:rsid w:val="005B0438"/>
    <w:rsid w:val="005B0A16"/>
    <w:rsid w:val="005B0A55"/>
    <w:rsid w:val="005B0FC9"/>
    <w:rsid w:val="005B186E"/>
    <w:rsid w:val="005B1F44"/>
    <w:rsid w:val="005B222E"/>
    <w:rsid w:val="005B283F"/>
    <w:rsid w:val="005B2B10"/>
    <w:rsid w:val="005B2C58"/>
    <w:rsid w:val="005B4283"/>
    <w:rsid w:val="005B4A48"/>
    <w:rsid w:val="005B4DC6"/>
    <w:rsid w:val="005B685A"/>
    <w:rsid w:val="005B6F72"/>
    <w:rsid w:val="005B7169"/>
    <w:rsid w:val="005C0052"/>
    <w:rsid w:val="005C0162"/>
    <w:rsid w:val="005C037E"/>
    <w:rsid w:val="005C159D"/>
    <w:rsid w:val="005C18D6"/>
    <w:rsid w:val="005C1BFE"/>
    <w:rsid w:val="005C26B4"/>
    <w:rsid w:val="005C3EBE"/>
    <w:rsid w:val="005C4CEF"/>
    <w:rsid w:val="005C54CD"/>
    <w:rsid w:val="005C59BC"/>
    <w:rsid w:val="005C5DE6"/>
    <w:rsid w:val="005C6031"/>
    <w:rsid w:val="005C75F4"/>
    <w:rsid w:val="005C7EBB"/>
    <w:rsid w:val="005D06F6"/>
    <w:rsid w:val="005D0B77"/>
    <w:rsid w:val="005D1A0B"/>
    <w:rsid w:val="005D1CFA"/>
    <w:rsid w:val="005D1F85"/>
    <w:rsid w:val="005D2043"/>
    <w:rsid w:val="005D27B6"/>
    <w:rsid w:val="005D3005"/>
    <w:rsid w:val="005D3267"/>
    <w:rsid w:val="005D3406"/>
    <w:rsid w:val="005D34F3"/>
    <w:rsid w:val="005D56BE"/>
    <w:rsid w:val="005D587A"/>
    <w:rsid w:val="005D5A72"/>
    <w:rsid w:val="005D5ED4"/>
    <w:rsid w:val="005D5FBA"/>
    <w:rsid w:val="005D65DC"/>
    <w:rsid w:val="005D6C82"/>
    <w:rsid w:val="005D7AE1"/>
    <w:rsid w:val="005E0155"/>
    <w:rsid w:val="005E0694"/>
    <w:rsid w:val="005E0F64"/>
    <w:rsid w:val="005E28F0"/>
    <w:rsid w:val="005E29C3"/>
    <w:rsid w:val="005E34FE"/>
    <w:rsid w:val="005E4B17"/>
    <w:rsid w:val="005E5201"/>
    <w:rsid w:val="005E58CA"/>
    <w:rsid w:val="005E61DF"/>
    <w:rsid w:val="005E63E9"/>
    <w:rsid w:val="005E6CC9"/>
    <w:rsid w:val="005E75B8"/>
    <w:rsid w:val="005F0FCF"/>
    <w:rsid w:val="005F10E4"/>
    <w:rsid w:val="005F1C96"/>
    <w:rsid w:val="005F21BE"/>
    <w:rsid w:val="005F44F6"/>
    <w:rsid w:val="005F5304"/>
    <w:rsid w:val="005F54F3"/>
    <w:rsid w:val="005F5FE5"/>
    <w:rsid w:val="005F6845"/>
    <w:rsid w:val="005F6B38"/>
    <w:rsid w:val="005F7C41"/>
    <w:rsid w:val="0060000A"/>
    <w:rsid w:val="006003C5"/>
    <w:rsid w:val="00601CBA"/>
    <w:rsid w:val="00602BC6"/>
    <w:rsid w:val="00602F7C"/>
    <w:rsid w:val="006030DA"/>
    <w:rsid w:val="00603486"/>
    <w:rsid w:val="00603E17"/>
    <w:rsid w:val="00604416"/>
    <w:rsid w:val="006059A3"/>
    <w:rsid w:val="00605AC5"/>
    <w:rsid w:val="006063A1"/>
    <w:rsid w:val="006067E9"/>
    <w:rsid w:val="006100B5"/>
    <w:rsid w:val="00610660"/>
    <w:rsid w:val="00610E40"/>
    <w:rsid w:val="00612E01"/>
    <w:rsid w:val="00613017"/>
    <w:rsid w:val="0061312D"/>
    <w:rsid w:val="00613790"/>
    <w:rsid w:val="00613890"/>
    <w:rsid w:val="00614676"/>
    <w:rsid w:val="0061618D"/>
    <w:rsid w:val="006177D4"/>
    <w:rsid w:val="00617CAD"/>
    <w:rsid w:val="00620380"/>
    <w:rsid w:val="00621104"/>
    <w:rsid w:val="00621AC9"/>
    <w:rsid w:val="00622275"/>
    <w:rsid w:val="00623779"/>
    <w:rsid w:val="00623DDC"/>
    <w:rsid w:val="006246E3"/>
    <w:rsid w:val="00624CE7"/>
    <w:rsid w:val="00625E7E"/>
    <w:rsid w:val="0063076B"/>
    <w:rsid w:val="0063085C"/>
    <w:rsid w:val="006310A4"/>
    <w:rsid w:val="00631F80"/>
    <w:rsid w:val="0063229C"/>
    <w:rsid w:val="00633725"/>
    <w:rsid w:val="0063510D"/>
    <w:rsid w:val="006351A9"/>
    <w:rsid w:val="00636102"/>
    <w:rsid w:val="006366A8"/>
    <w:rsid w:val="006367B8"/>
    <w:rsid w:val="006372E5"/>
    <w:rsid w:val="006406A5"/>
    <w:rsid w:val="00640956"/>
    <w:rsid w:val="00640C27"/>
    <w:rsid w:val="00640DCE"/>
    <w:rsid w:val="006410AB"/>
    <w:rsid w:val="00641913"/>
    <w:rsid w:val="00641A09"/>
    <w:rsid w:val="0064228B"/>
    <w:rsid w:val="006422F3"/>
    <w:rsid w:val="00642B17"/>
    <w:rsid w:val="00642D43"/>
    <w:rsid w:val="00642EB7"/>
    <w:rsid w:val="00643799"/>
    <w:rsid w:val="00643E40"/>
    <w:rsid w:val="00644913"/>
    <w:rsid w:val="00646AD2"/>
    <w:rsid w:val="00646CBC"/>
    <w:rsid w:val="00646E7C"/>
    <w:rsid w:val="00646F93"/>
    <w:rsid w:val="006472F4"/>
    <w:rsid w:val="00647993"/>
    <w:rsid w:val="00650094"/>
    <w:rsid w:val="00650A00"/>
    <w:rsid w:val="006519D9"/>
    <w:rsid w:val="0065212F"/>
    <w:rsid w:val="006534D1"/>
    <w:rsid w:val="006537B1"/>
    <w:rsid w:val="006539BA"/>
    <w:rsid w:val="00653C64"/>
    <w:rsid w:val="00654462"/>
    <w:rsid w:val="00655B49"/>
    <w:rsid w:val="00655F62"/>
    <w:rsid w:val="006560C7"/>
    <w:rsid w:val="00656376"/>
    <w:rsid w:val="0065735D"/>
    <w:rsid w:val="00657A7C"/>
    <w:rsid w:val="0066040A"/>
    <w:rsid w:val="006610FD"/>
    <w:rsid w:val="00663ED2"/>
    <w:rsid w:val="00664255"/>
    <w:rsid w:val="00664C61"/>
    <w:rsid w:val="00665FA6"/>
    <w:rsid w:val="00666778"/>
    <w:rsid w:val="00667101"/>
    <w:rsid w:val="00667605"/>
    <w:rsid w:val="00667C9F"/>
    <w:rsid w:val="00667E27"/>
    <w:rsid w:val="00671800"/>
    <w:rsid w:val="0067301C"/>
    <w:rsid w:val="006731CC"/>
    <w:rsid w:val="00673511"/>
    <w:rsid w:val="0067380D"/>
    <w:rsid w:val="00673C28"/>
    <w:rsid w:val="00674275"/>
    <w:rsid w:val="00674C2B"/>
    <w:rsid w:val="00674E33"/>
    <w:rsid w:val="0067660C"/>
    <w:rsid w:val="006767DE"/>
    <w:rsid w:val="00676DE0"/>
    <w:rsid w:val="0067709A"/>
    <w:rsid w:val="0067790F"/>
    <w:rsid w:val="00677E17"/>
    <w:rsid w:val="0068088E"/>
    <w:rsid w:val="006817C7"/>
    <w:rsid w:val="00681910"/>
    <w:rsid w:val="00681F31"/>
    <w:rsid w:val="00682808"/>
    <w:rsid w:val="00682AB3"/>
    <w:rsid w:val="0068520F"/>
    <w:rsid w:val="00685B23"/>
    <w:rsid w:val="006861CD"/>
    <w:rsid w:val="006864FC"/>
    <w:rsid w:val="00686820"/>
    <w:rsid w:val="00686E5B"/>
    <w:rsid w:val="00686F9A"/>
    <w:rsid w:val="006871DF"/>
    <w:rsid w:val="006871EB"/>
    <w:rsid w:val="0068774E"/>
    <w:rsid w:val="00691A84"/>
    <w:rsid w:val="00692910"/>
    <w:rsid w:val="00693945"/>
    <w:rsid w:val="00694FAC"/>
    <w:rsid w:val="00695031"/>
    <w:rsid w:val="00695C73"/>
    <w:rsid w:val="006966AE"/>
    <w:rsid w:val="00696856"/>
    <w:rsid w:val="006A08B4"/>
    <w:rsid w:val="006A1476"/>
    <w:rsid w:val="006A25F8"/>
    <w:rsid w:val="006A365C"/>
    <w:rsid w:val="006A40C7"/>
    <w:rsid w:val="006A455F"/>
    <w:rsid w:val="006A6404"/>
    <w:rsid w:val="006A73CA"/>
    <w:rsid w:val="006A7548"/>
    <w:rsid w:val="006B00A0"/>
    <w:rsid w:val="006B1161"/>
    <w:rsid w:val="006B1406"/>
    <w:rsid w:val="006B17A2"/>
    <w:rsid w:val="006B1A6C"/>
    <w:rsid w:val="006B1D5C"/>
    <w:rsid w:val="006B20C9"/>
    <w:rsid w:val="006B2AFE"/>
    <w:rsid w:val="006B35A3"/>
    <w:rsid w:val="006B3E99"/>
    <w:rsid w:val="006B4115"/>
    <w:rsid w:val="006B4BD2"/>
    <w:rsid w:val="006B5E0A"/>
    <w:rsid w:val="006B5FCC"/>
    <w:rsid w:val="006B621A"/>
    <w:rsid w:val="006B6AA1"/>
    <w:rsid w:val="006B6C53"/>
    <w:rsid w:val="006B76FD"/>
    <w:rsid w:val="006B79FA"/>
    <w:rsid w:val="006B7D51"/>
    <w:rsid w:val="006C083F"/>
    <w:rsid w:val="006C0C22"/>
    <w:rsid w:val="006C0CC4"/>
    <w:rsid w:val="006C204D"/>
    <w:rsid w:val="006C2606"/>
    <w:rsid w:val="006C26EB"/>
    <w:rsid w:val="006C28EE"/>
    <w:rsid w:val="006C44AD"/>
    <w:rsid w:val="006C4C0E"/>
    <w:rsid w:val="006C5EB3"/>
    <w:rsid w:val="006C685D"/>
    <w:rsid w:val="006C6C30"/>
    <w:rsid w:val="006C6C5C"/>
    <w:rsid w:val="006C6D85"/>
    <w:rsid w:val="006C6FE2"/>
    <w:rsid w:val="006C7277"/>
    <w:rsid w:val="006D0B88"/>
    <w:rsid w:val="006D1389"/>
    <w:rsid w:val="006D1D80"/>
    <w:rsid w:val="006D1FCD"/>
    <w:rsid w:val="006D326C"/>
    <w:rsid w:val="006D344B"/>
    <w:rsid w:val="006D39C0"/>
    <w:rsid w:val="006D3DA4"/>
    <w:rsid w:val="006D53BB"/>
    <w:rsid w:val="006D7569"/>
    <w:rsid w:val="006E02D8"/>
    <w:rsid w:val="006E06C2"/>
    <w:rsid w:val="006E0A88"/>
    <w:rsid w:val="006E0C76"/>
    <w:rsid w:val="006E2698"/>
    <w:rsid w:val="006E329E"/>
    <w:rsid w:val="006E3385"/>
    <w:rsid w:val="006E34A3"/>
    <w:rsid w:val="006E4B93"/>
    <w:rsid w:val="006E6195"/>
    <w:rsid w:val="006E7ECB"/>
    <w:rsid w:val="006F0E29"/>
    <w:rsid w:val="006F1A19"/>
    <w:rsid w:val="006F1F9D"/>
    <w:rsid w:val="006F2A16"/>
    <w:rsid w:val="006F2A80"/>
    <w:rsid w:val="006F3E9C"/>
    <w:rsid w:val="006F4C5B"/>
    <w:rsid w:val="006F4D3F"/>
    <w:rsid w:val="006F5063"/>
    <w:rsid w:val="006F53D4"/>
    <w:rsid w:val="006F5DC0"/>
    <w:rsid w:val="006F78D2"/>
    <w:rsid w:val="006F796C"/>
    <w:rsid w:val="00700FBC"/>
    <w:rsid w:val="007018A4"/>
    <w:rsid w:val="00701D14"/>
    <w:rsid w:val="00702956"/>
    <w:rsid w:val="00702AB0"/>
    <w:rsid w:val="00702AD8"/>
    <w:rsid w:val="00702C5D"/>
    <w:rsid w:val="00703992"/>
    <w:rsid w:val="00703F3A"/>
    <w:rsid w:val="007047A2"/>
    <w:rsid w:val="007048D8"/>
    <w:rsid w:val="00704A3D"/>
    <w:rsid w:val="00705AFF"/>
    <w:rsid w:val="00705D46"/>
    <w:rsid w:val="007066AC"/>
    <w:rsid w:val="0070679D"/>
    <w:rsid w:val="007079EA"/>
    <w:rsid w:val="007107E5"/>
    <w:rsid w:val="00711B0E"/>
    <w:rsid w:val="00711F92"/>
    <w:rsid w:val="00712892"/>
    <w:rsid w:val="007132C8"/>
    <w:rsid w:val="007137A7"/>
    <w:rsid w:val="007150ED"/>
    <w:rsid w:val="0071599C"/>
    <w:rsid w:val="00715EE1"/>
    <w:rsid w:val="00716CD2"/>
    <w:rsid w:val="0071702D"/>
    <w:rsid w:val="00717785"/>
    <w:rsid w:val="00717A01"/>
    <w:rsid w:val="00720215"/>
    <w:rsid w:val="007212BC"/>
    <w:rsid w:val="00722104"/>
    <w:rsid w:val="00722A22"/>
    <w:rsid w:val="00722AD5"/>
    <w:rsid w:val="007234ED"/>
    <w:rsid w:val="00724654"/>
    <w:rsid w:val="007247FE"/>
    <w:rsid w:val="00724C4B"/>
    <w:rsid w:val="00725B2C"/>
    <w:rsid w:val="007272AA"/>
    <w:rsid w:val="007272B8"/>
    <w:rsid w:val="00727386"/>
    <w:rsid w:val="007278D3"/>
    <w:rsid w:val="00732235"/>
    <w:rsid w:val="00733839"/>
    <w:rsid w:val="007340CC"/>
    <w:rsid w:val="00734488"/>
    <w:rsid w:val="00736F1B"/>
    <w:rsid w:val="0073748D"/>
    <w:rsid w:val="007376CC"/>
    <w:rsid w:val="007379B8"/>
    <w:rsid w:val="00737A70"/>
    <w:rsid w:val="00740D5C"/>
    <w:rsid w:val="007412A0"/>
    <w:rsid w:val="007422BD"/>
    <w:rsid w:val="00742BA3"/>
    <w:rsid w:val="00742C46"/>
    <w:rsid w:val="00742FB8"/>
    <w:rsid w:val="0074391C"/>
    <w:rsid w:val="007443F9"/>
    <w:rsid w:val="00744A6E"/>
    <w:rsid w:val="00744C7D"/>
    <w:rsid w:val="00746080"/>
    <w:rsid w:val="0074612E"/>
    <w:rsid w:val="00746B3D"/>
    <w:rsid w:val="00747CFF"/>
    <w:rsid w:val="00750272"/>
    <w:rsid w:val="00750A4A"/>
    <w:rsid w:val="00750A5B"/>
    <w:rsid w:val="007510E7"/>
    <w:rsid w:val="00751433"/>
    <w:rsid w:val="00751475"/>
    <w:rsid w:val="00751860"/>
    <w:rsid w:val="00752F4C"/>
    <w:rsid w:val="0075328B"/>
    <w:rsid w:val="007533F7"/>
    <w:rsid w:val="00753747"/>
    <w:rsid w:val="00753BEF"/>
    <w:rsid w:val="00753F40"/>
    <w:rsid w:val="00754122"/>
    <w:rsid w:val="00755068"/>
    <w:rsid w:val="0075516C"/>
    <w:rsid w:val="00755262"/>
    <w:rsid w:val="00755670"/>
    <w:rsid w:val="007558C2"/>
    <w:rsid w:val="00755C64"/>
    <w:rsid w:val="007568CA"/>
    <w:rsid w:val="00757005"/>
    <w:rsid w:val="0075769D"/>
    <w:rsid w:val="00757E31"/>
    <w:rsid w:val="007606A6"/>
    <w:rsid w:val="00760D7B"/>
    <w:rsid w:val="00761668"/>
    <w:rsid w:val="00761D3C"/>
    <w:rsid w:val="00761D4C"/>
    <w:rsid w:val="00761E12"/>
    <w:rsid w:val="00761F30"/>
    <w:rsid w:val="00761F85"/>
    <w:rsid w:val="00763C1D"/>
    <w:rsid w:val="0076417C"/>
    <w:rsid w:val="00764978"/>
    <w:rsid w:val="00764A81"/>
    <w:rsid w:val="00765D27"/>
    <w:rsid w:val="00766E7A"/>
    <w:rsid w:val="00767EB7"/>
    <w:rsid w:val="00770AE3"/>
    <w:rsid w:val="0077170D"/>
    <w:rsid w:val="00771793"/>
    <w:rsid w:val="007719F3"/>
    <w:rsid w:val="00773D75"/>
    <w:rsid w:val="007741B6"/>
    <w:rsid w:val="007742E3"/>
    <w:rsid w:val="0077653A"/>
    <w:rsid w:val="00776D71"/>
    <w:rsid w:val="00776D86"/>
    <w:rsid w:val="00777FC4"/>
    <w:rsid w:val="0078018C"/>
    <w:rsid w:val="00780210"/>
    <w:rsid w:val="007805F0"/>
    <w:rsid w:val="00780CF1"/>
    <w:rsid w:val="00781320"/>
    <w:rsid w:val="007813BA"/>
    <w:rsid w:val="00781EBD"/>
    <w:rsid w:val="00782151"/>
    <w:rsid w:val="00782639"/>
    <w:rsid w:val="00782D68"/>
    <w:rsid w:val="00783B6D"/>
    <w:rsid w:val="007846CF"/>
    <w:rsid w:val="007854C3"/>
    <w:rsid w:val="00790453"/>
    <w:rsid w:val="0079217A"/>
    <w:rsid w:val="00793022"/>
    <w:rsid w:val="00793A56"/>
    <w:rsid w:val="00794FB6"/>
    <w:rsid w:val="00795229"/>
    <w:rsid w:val="00795B7C"/>
    <w:rsid w:val="00795EEC"/>
    <w:rsid w:val="00797A47"/>
    <w:rsid w:val="00797DF4"/>
    <w:rsid w:val="007A00A4"/>
    <w:rsid w:val="007A00C3"/>
    <w:rsid w:val="007A0344"/>
    <w:rsid w:val="007A084B"/>
    <w:rsid w:val="007A182E"/>
    <w:rsid w:val="007A2295"/>
    <w:rsid w:val="007A33EA"/>
    <w:rsid w:val="007A3666"/>
    <w:rsid w:val="007A3D14"/>
    <w:rsid w:val="007A463C"/>
    <w:rsid w:val="007A49F9"/>
    <w:rsid w:val="007A4C9E"/>
    <w:rsid w:val="007A5736"/>
    <w:rsid w:val="007A651D"/>
    <w:rsid w:val="007A6D82"/>
    <w:rsid w:val="007A7CEC"/>
    <w:rsid w:val="007B037C"/>
    <w:rsid w:val="007B0DD4"/>
    <w:rsid w:val="007B13A9"/>
    <w:rsid w:val="007B1DE8"/>
    <w:rsid w:val="007B1EE0"/>
    <w:rsid w:val="007B1FF4"/>
    <w:rsid w:val="007B3BD7"/>
    <w:rsid w:val="007B4D7B"/>
    <w:rsid w:val="007B54F8"/>
    <w:rsid w:val="007B55AB"/>
    <w:rsid w:val="007B69D5"/>
    <w:rsid w:val="007B6BD1"/>
    <w:rsid w:val="007B70C6"/>
    <w:rsid w:val="007B725D"/>
    <w:rsid w:val="007C0129"/>
    <w:rsid w:val="007C09A1"/>
    <w:rsid w:val="007C0A71"/>
    <w:rsid w:val="007C0B79"/>
    <w:rsid w:val="007C172C"/>
    <w:rsid w:val="007C195B"/>
    <w:rsid w:val="007C2216"/>
    <w:rsid w:val="007C2A2E"/>
    <w:rsid w:val="007C3A67"/>
    <w:rsid w:val="007C3EF9"/>
    <w:rsid w:val="007C4048"/>
    <w:rsid w:val="007C482A"/>
    <w:rsid w:val="007C5169"/>
    <w:rsid w:val="007C6E5A"/>
    <w:rsid w:val="007C7315"/>
    <w:rsid w:val="007C7A42"/>
    <w:rsid w:val="007C7E2D"/>
    <w:rsid w:val="007C7EA2"/>
    <w:rsid w:val="007D0284"/>
    <w:rsid w:val="007D0358"/>
    <w:rsid w:val="007D08F6"/>
    <w:rsid w:val="007D0C75"/>
    <w:rsid w:val="007D1F8B"/>
    <w:rsid w:val="007D225F"/>
    <w:rsid w:val="007D2E7E"/>
    <w:rsid w:val="007D30A2"/>
    <w:rsid w:val="007D3517"/>
    <w:rsid w:val="007D3E7A"/>
    <w:rsid w:val="007D4AE3"/>
    <w:rsid w:val="007D4BCC"/>
    <w:rsid w:val="007D6E5D"/>
    <w:rsid w:val="007D70CA"/>
    <w:rsid w:val="007D7474"/>
    <w:rsid w:val="007D78D9"/>
    <w:rsid w:val="007D7E2C"/>
    <w:rsid w:val="007E0D61"/>
    <w:rsid w:val="007E0F97"/>
    <w:rsid w:val="007E2BA7"/>
    <w:rsid w:val="007E36F4"/>
    <w:rsid w:val="007E56A2"/>
    <w:rsid w:val="007E5B22"/>
    <w:rsid w:val="007E5B41"/>
    <w:rsid w:val="007E720D"/>
    <w:rsid w:val="007F0FCF"/>
    <w:rsid w:val="007F23FC"/>
    <w:rsid w:val="007F2466"/>
    <w:rsid w:val="007F28EC"/>
    <w:rsid w:val="007F2D3D"/>
    <w:rsid w:val="007F313F"/>
    <w:rsid w:val="007F45D0"/>
    <w:rsid w:val="007F4713"/>
    <w:rsid w:val="007F5AAE"/>
    <w:rsid w:val="007F601F"/>
    <w:rsid w:val="007F6F53"/>
    <w:rsid w:val="00800405"/>
    <w:rsid w:val="008015B0"/>
    <w:rsid w:val="008022DC"/>
    <w:rsid w:val="00802875"/>
    <w:rsid w:val="00802A79"/>
    <w:rsid w:val="00803065"/>
    <w:rsid w:val="00804081"/>
    <w:rsid w:val="00804A9C"/>
    <w:rsid w:val="00804B1C"/>
    <w:rsid w:val="0080505A"/>
    <w:rsid w:val="00805599"/>
    <w:rsid w:val="00805E31"/>
    <w:rsid w:val="00805F78"/>
    <w:rsid w:val="008060B1"/>
    <w:rsid w:val="008060BB"/>
    <w:rsid w:val="008103D3"/>
    <w:rsid w:val="00810E7E"/>
    <w:rsid w:val="008114D8"/>
    <w:rsid w:val="00811FE4"/>
    <w:rsid w:val="00813E9E"/>
    <w:rsid w:val="00813FD1"/>
    <w:rsid w:val="00814322"/>
    <w:rsid w:val="0081442F"/>
    <w:rsid w:val="00815181"/>
    <w:rsid w:val="00815C1F"/>
    <w:rsid w:val="00815D4E"/>
    <w:rsid w:val="00816778"/>
    <w:rsid w:val="00816C3A"/>
    <w:rsid w:val="00817766"/>
    <w:rsid w:val="00817C19"/>
    <w:rsid w:val="00820262"/>
    <w:rsid w:val="00820474"/>
    <w:rsid w:val="008219E0"/>
    <w:rsid w:val="0082271A"/>
    <w:rsid w:val="00822D2A"/>
    <w:rsid w:val="008230FB"/>
    <w:rsid w:val="008233F2"/>
    <w:rsid w:val="00823570"/>
    <w:rsid w:val="0082518A"/>
    <w:rsid w:val="00825A1E"/>
    <w:rsid w:val="008265C9"/>
    <w:rsid w:val="00826658"/>
    <w:rsid w:val="00830674"/>
    <w:rsid w:val="00830B28"/>
    <w:rsid w:val="0083168A"/>
    <w:rsid w:val="00832B4A"/>
    <w:rsid w:val="00832F45"/>
    <w:rsid w:val="00833500"/>
    <w:rsid w:val="00833A02"/>
    <w:rsid w:val="00833A4B"/>
    <w:rsid w:val="008344F0"/>
    <w:rsid w:val="00834616"/>
    <w:rsid w:val="00834CBE"/>
    <w:rsid w:val="00835642"/>
    <w:rsid w:val="00835783"/>
    <w:rsid w:val="008359B1"/>
    <w:rsid w:val="00835BFD"/>
    <w:rsid w:val="00836AE4"/>
    <w:rsid w:val="00836D34"/>
    <w:rsid w:val="00837B42"/>
    <w:rsid w:val="00840035"/>
    <w:rsid w:val="00840088"/>
    <w:rsid w:val="00841040"/>
    <w:rsid w:val="00841304"/>
    <w:rsid w:val="008416D6"/>
    <w:rsid w:val="00842551"/>
    <w:rsid w:val="00842992"/>
    <w:rsid w:val="00843B7B"/>
    <w:rsid w:val="00844549"/>
    <w:rsid w:val="00844CFE"/>
    <w:rsid w:val="008468E3"/>
    <w:rsid w:val="00846E09"/>
    <w:rsid w:val="0084709B"/>
    <w:rsid w:val="0084722E"/>
    <w:rsid w:val="008472BE"/>
    <w:rsid w:val="00847AA0"/>
    <w:rsid w:val="00850224"/>
    <w:rsid w:val="00850307"/>
    <w:rsid w:val="00850E36"/>
    <w:rsid w:val="00851087"/>
    <w:rsid w:val="008514E7"/>
    <w:rsid w:val="00851663"/>
    <w:rsid w:val="00851F6B"/>
    <w:rsid w:val="00851FA9"/>
    <w:rsid w:val="00852A26"/>
    <w:rsid w:val="00853E46"/>
    <w:rsid w:val="00854355"/>
    <w:rsid w:val="00855543"/>
    <w:rsid w:val="008555DA"/>
    <w:rsid w:val="00855715"/>
    <w:rsid w:val="00855FF4"/>
    <w:rsid w:val="0085626F"/>
    <w:rsid w:val="00856AB1"/>
    <w:rsid w:val="0085768C"/>
    <w:rsid w:val="00860E7F"/>
    <w:rsid w:val="00861B8A"/>
    <w:rsid w:val="0086239C"/>
    <w:rsid w:val="00862C88"/>
    <w:rsid w:val="0086474A"/>
    <w:rsid w:val="00865D37"/>
    <w:rsid w:val="0086611A"/>
    <w:rsid w:val="00866AE7"/>
    <w:rsid w:val="00867109"/>
    <w:rsid w:val="0086716B"/>
    <w:rsid w:val="00870346"/>
    <w:rsid w:val="0087150A"/>
    <w:rsid w:val="00871C75"/>
    <w:rsid w:val="00873662"/>
    <w:rsid w:val="008736BA"/>
    <w:rsid w:val="008738AD"/>
    <w:rsid w:val="00876DD1"/>
    <w:rsid w:val="008772A1"/>
    <w:rsid w:val="00877BC4"/>
    <w:rsid w:val="00880540"/>
    <w:rsid w:val="008807B4"/>
    <w:rsid w:val="008809F4"/>
    <w:rsid w:val="008813B3"/>
    <w:rsid w:val="008820A1"/>
    <w:rsid w:val="0088223A"/>
    <w:rsid w:val="008830EF"/>
    <w:rsid w:val="00883B2A"/>
    <w:rsid w:val="0088418B"/>
    <w:rsid w:val="00884207"/>
    <w:rsid w:val="00884A74"/>
    <w:rsid w:val="008863AC"/>
    <w:rsid w:val="00887352"/>
    <w:rsid w:val="00887E32"/>
    <w:rsid w:val="008904FA"/>
    <w:rsid w:val="00891868"/>
    <w:rsid w:val="008922BC"/>
    <w:rsid w:val="00892B0F"/>
    <w:rsid w:val="00893408"/>
    <w:rsid w:val="00893D4D"/>
    <w:rsid w:val="00893F7B"/>
    <w:rsid w:val="0089444F"/>
    <w:rsid w:val="0089464B"/>
    <w:rsid w:val="008950C7"/>
    <w:rsid w:val="00895B17"/>
    <w:rsid w:val="008962D3"/>
    <w:rsid w:val="00896AD4"/>
    <w:rsid w:val="00896E3F"/>
    <w:rsid w:val="00896FD8"/>
    <w:rsid w:val="00897488"/>
    <w:rsid w:val="00897566"/>
    <w:rsid w:val="008979DE"/>
    <w:rsid w:val="00897A22"/>
    <w:rsid w:val="00897DDA"/>
    <w:rsid w:val="008A0444"/>
    <w:rsid w:val="008A0EAD"/>
    <w:rsid w:val="008A158B"/>
    <w:rsid w:val="008A1757"/>
    <w:rsid w:val="008A1C7B"/>
    <w:rsid w:val="008A20F4"/>
    <w:rsid w:val="008A262A"/>
    <w:rsid w:val="008A3307"/>
    <w:rsid w:val="008A3678"/>
    <w:rsid w:val="008A4377"/>
    <w:rsid w:val="008A4407"/>
    <w:rsid w:val="008A4D61"/>
    <w:rsid w:val="008A5024"/>
    <w:rsid w:val="008A52CD"/>
    <w:rsid w:val="008A5DA5"/>
    <w:rsid w:val="008A7C15"/>
    <w:rsid w:val="008A7E61"/>
    <w:rsid w:val="008B06EE"/>
    <w:rsid w:val="008B0F88"/>
    <w:rsid w:val="008B11D3"/>
    <w:rsid w:val="008B13DE"/>
    <w:rsid w:val="008B2DA3"/>
    <w:rsid w:val="008B3B0C"/>
    <w:rsid w:val="008B3E33"/>
    <w:rsid w:val="008B4050"/>
    <w:rsid w:val="008B41C2"/>
    <w:rsid w:val="008B4975"/>
    <w:rsid w:val="008B50BB"/>
    <w:rsid w:val="008B55F8"/>
    <w:rsid w:val="008B5917"/>
    <w:rsid w:val="008B5B78"/>
    <w:rsid w:val="008B7527"/>
    <w:rsid w:val="008B7CA4"/>
    <w:rsid w:val="008C0AD5"/>
    <w:rsid w:val="008C0FD1"/>
    <w:rsid w:val="008C20C5"/>
    <w:rsid w:val="008C3389"/>
    <w:rsid w:val="008C4A16"/>
    <w:rsid w:val="008C4B2B"/>
    <w:rsid w:val="008C4B42"/>
    <w:rsid w:val="008C4EF9"/>
    <w:rsid w:val="008C72F9"/>
    <w:rsid w:val="008C7F44"/>
    <w:rsid w:val="008C7F63"/>
    <w:rsid w:val="008D0BBD"/>
    <w:rsid w:val="008D20B7"/>
    <w:rsid w:val="008D32EC"/>
    <w:rsid w:val="008D450A"/>
    <w:rsid w:val="008D50FD"/>
    <w:rsid w:val="008D52AC"/>
    <w:rsid w:val="008D613C"/>
    <w:rsid w:val="008D75A7"/>
    <w:rsid w:val="008E0966"/>
    <w:rsid w:val="008E0BE9"/>
    <w:rsid w:val="008E0D42"/>
    <w:rsid w:val="008E0FC5"/>
    <w:rsid w:val="008E129C"/>
    <w:rsid w:val="008E1DE7"/>
    <w:rsid w:val="008E2456"/>
    <w:rsid w:val="008E2E52"/>
    <w:rsid w:val="008E34FA"/>
    <w:rsid w:val="008E36A7"/>
    <w:rsid w:val="008E37B5"/>
    <w:rsid w:val="008E3F1D"/>
    <w:rsid w:val="008E3FF1"/>
    <w:rsid w:val="008E4763"/>
    <w:rsid w:val="008E485C"/>
    <w:rsid w:val="008E56BC"/>
    <w:rsid w:val="008E6104"/>
    <w:rsid w:val="008E6BF8"/>
    <w:rsid w:val="008E6EF0"/>
    <w:rsid w:val="008E7FF2"/>
    <w:rsid w:val="008F0119"/>
    <w:rsid w:val="008F0D75"/>
    <w:rsid w:val="008F1C0B"/>
    <w:rsid w:val="008F1C65"/>
    <w:rsid w:val="008F221C"/>
    <w:rsid w:val="008F24D7"/>
    <w:rsid w:val="008F2B41"/>
    <w:rsid w:val="008F3778"/>
    <w:rsid w:val="008F4E16"/>
    <w:rsid w:val="008F4F5C"/>
    <w:rsid w:val="008F5303"/>
    <w:rsid w:val="008F6224"/>
    <w:rsid w:val="008F72D1"/>
    <w:rsid w:val="008F7645"/>
    <w:rsid w:val="009005D4"/>
    <w:rsid w:val="00900971"/>
    <w:rsid w:val="009011BD"/>
    <w:rsid w:val="00901A20"/>
    <w:rsid w:val="009026BB"/>
    <w:rsid w:val="009031B9"/>
    <w:rsid w:val="009038A2"/>
    <w:rsid w:val="009042DF"/>
    <w:rsid w:val="00904B2E"/>
    <w:rsid w:val="009051FD"/>
    <w:rsid w:val="00905819"/>
    <w:rsid w:val="00905E80"/>
    <w:rsid w:val="00906236"/>
    <w:rsid w:val="00906B4A"/>
    <w:rsid w:val="00907B35"/>
    <w:rsid w:val="0091017A"/>
    <w:rsid w:val="00910234"/>
    <w:rsid w:val="00910AAD"/>
    <w:rsid w:val="009110D6"/>
    <w:rsid w:val="009115A3"/>
    <w:rsid w:val="00911E5E"/>
    <w:rsid w:val="00912065"/>
    <w:rsid w:val="0091287F"/>
    <w:rsid w:val="009131F8"/>
    <w:rsid w:val="009141D3"/>
    <w:rsid w:val="00914DEA"/>
    <w:rsid w:val="009150FA"/>
    <w:rsid w:val="00915430"/>
    <w:rsid w:val="0091592B"/>
    <w:rsid w:val="00915987"/>
    <w:rsid w:val="00915AD6"/>
    <w:rsid w:val="00915BB7"/>
    <w:rsid w:val="00915EF1"/>
    <w:rsid w:val="009161FA"/>
    <w:rsid w:val="00917F60"/>
    <w:rsid w:val="00920271"/>
    <w:rsid w:val="009208B8"/>
    <w:rsid w:val="00920E06"/>
    <w:rsid w:val="0092102F"/>
    <w:rsid w:val="009210BC"/>
    <w:rsid w:val="009216C6"/>
    <w:rsid w:val="00921774"/>
    <w:rsid w:val="009226E3"/>
    <w:rsid w:val="00923276"/>
    <w:rsid w:val="0092386A"/>
    <w:rsid w:val="00924605"/>
    <w:rsid w:val="009246A1"/>
    <w:rsid w:val="00924A03"/>
    <w:rsid w:val="00924ECD"/>
    <w:rsid w:val="009252ED"/>
    <w:rsid w:val="0092563A"/>
    <w:rsid w:val="009259A2"/>
    <w:rsid w:val="00925A5B"/>
    <w:rsid w:val="009262F6"/>
    <w:rsid w:val="009269E5"/>
    <w:rsid w:val="00926D2F"/>
    <w:rsid w:val="00927304"/>
    <w:rsid w:val="009278EC"/>
    <w:rsid w:val="009308C2"/>
    <w:rsid w:val="00930F51"/>
    <w:rsid w:val="00930F74"/>
    <w:rsid w:val="00930FA8"/>
    <w:rsid w:val="00930FF2"/>
    <w:rsid w:val="0093125A"/>
    <w:rsid w:val="00933787"/>
    <w:rsid w:val="00933860"/>
    <w:rsid w:val="009347BD"/>
    <w:rsid w:val="00934B58"/>
    <w:rsid w:val="00934F88"/>
    <w:rsid w:val="00935150"/>
    <w:rsid w:val="00935524"/>
    <w:rsid w:val="009356EA"/>
    <w:rsid w:val="00935A35"/>
    <w:rsid w:val="009362C4"/>
    <w:rsid w:val="009363D4"/>
    <w:rsid w:val="00936548"/>
    <w:rsid w:val="00936739"/>
    <w:rsid w:val="00937029"/>
    <w:rsid w:val="00937571"/>
    <w:rsid w:val="00937C86"/>
    <w:rsid w:val="009403BA"/>
    <w:rsid w:val="009410C3"/>
    <w:rsid w:val="00941364"/>
    <w:rsid w:val="00941388"/>
    <w:rsid w:val="0094174B"/>
    <w:rsid w:val="00941C09"/>
    <w:rsid w:val="00943357"/>
    <w:rsid w:val="0094397D"/>
    <w:rsid w:val="00943ACD"/>
    <w:rsid w:val="00943E52"/>
    <w:rsid w:val="00944F86"/>
    <w:rsid w:val="009450A2"/>
    <w:rsid w:val="0094547C"/>
    <w:rsid w:val="00945718"/>
    <w:rsid w:val="009457D1"/>
    <w:rsid w:val="009459B3"/>
    <w:rsid w:val="009469D1"/>
    <w:rsid w:val="00950302"/>
    <w:rsid w:val="00950AC4"/>
    <w:rsid w:val="0095145B"/>
    <w:rsid w:val="009540A0"/>
    <w:rsid w:val="00954167"/>
    <w:rsid w:val="00955295"/>
    <w:rsid w:val="00955B80"/>
    <w:rsid w:val="00956606"/>
    <w:rsid w:val="00957F0A"/>
    <w:rsid w:val="009607EE"/>
    <w:rsid w:val="00960841"/>
    <w:rsid w:val="00960D44"/>
    <w:rsid w:val="00961A35"/>
    <w:rsid w:val="00961F0B"/>
    <w:rsid w:val="009628FE"/>
    <w:rsid w:val="00962F3D"/>
    <w:rsid w:val="00963076"/>
    <w:rsid w:val="00965EFD"/>
    <w:rsid w:val="00965F68"/>
    <w:rsid w:val="009662DC"/>
    <w:rsid w:val="0096795E"/>
    <w:rsid w:val="00967B1A"/>
    <w:rsid w:val="009705F9"/>
    <w:rsid w:val="00970B5C"/>
    <w:rsid w:val="00970E27"/>
    <w:rsid w:val="00971448"/>
    <w:rsid w:val="00971991"/>
    <w:rsid w:val="00971F5B"/>
    <w:rsid w:val="00972109"/>
    <w:rsid w:val="00973546"/>
    <w:rsid w:val="00973725"/>
    <w:rsid w:val="00973A44"/>
    <w:rsid w:val="0097408E"/>
    <w:rsid w:val="00974676"/>
    <w:rsid w:val="009746EA"/>
    <w:rsid w:val="00974E91"/>
    <w:rsid w:val="00976AC1"/>
    <w:rsid w:val="00976F6E"/>
    <w:rsid w:val="00977039"/>
    <w:rsid w:val="009772D5"/>
    <w:rsid w:val="009800FD"/>
    <w:rsid w:val="00980B1B"/>
    <w:rsid w:val="00982799"/>
    <w:rsid w:val="00982AEC"/>
    <w:rsid w:val="009833DF"/>
    <w:rsid w:val="00985468"/>
    <w:rsid w:val="00985B38"/>
    <w:rsid w:val="00985CD5"/>
    <w:rsid w:val="009864C0"/>
    <w:rsid w:val="00986941"/>
    <w:rsid w:val="00987627"/>
    <w:rsid w:val="00990F0E"/>
    <w:rsid w:val="00992DA0"/>
    <w:rsid w:val="009937BE"/>
    <w:rsid w:val="0099410B"/>
    <w:rsid w:val="0099426E"/>
    <w:rsid w:val="009943F3"/>
    <w:rsid w:val="00994686"/>
    <w:rsid w:val="00994AF5"/>
    <w:rsid w:val="00994F3C"/>
    <w:rsid w:val="00994F6B"/>
    <w:rsid w:val="009954AF"/>
    <w:rsid w:val="0099571E"/>
    <w:rsid w:val="009957C4"/>
    <w:rsid w:val="00995A0F"/>
    <w:rsid w:val="00995C16"/>
    <w:rsid w:val="00996023"/>
    <w:rsid w:val="00996114"/>
    <w:rsid w:val="00996B0A"/>
    <w:rsid w:val="00996DA7"/>
    <w:rsid w:val="009975B1"/>
    <w:rsid w:val="00997663"/>
    <w:rsid w:val="00997701"/>
    <w:rsid w:val="00997E0F"/>
    <w:rsid w:val="009A01AE"/>
    <w:rsid w:val="009A0225"/>
    <w:rsid w:val="009A0F76"/>
    <w:rsid w:val="009A190F"/>
    <w:rsid w:val="009A1A97"/>
    <w:rsid w:val="009A2756"/>
    <w:rsid w:val="009A2BFE"/>
    <w:rsid w:val="009A34F8"/>
    <w:rsid w:val="009A4004"/>
    <w:rsid w:val="009A566E"/>
    <w:rsid w:val="009A5EEE"/>
    <w:rsid w:val="009A78CE"/>
    <w:rsid w:val="009A7D19"/>
    <w:rsid w:val="009B00B5"/>
    <w:rsid w:val="009B0524"/>
    <w:rsid w:val="009B1715"/>
    <w:rsid w:val="009B191C"/>
    <w:rsid w:val="009B20AD"/>
    <w:rsid w:val="009B305D"/>
    <w:rsid w:val="009B4A0E"/>
    <w:rsid w:val="009B600C"/>
    <w:rsid w:val="009B6D04"/>
    <w:rsid w:val="009B6E52"/>
    <w:rsid w:val="009B7868"/>
    <w:rsid w:val="009B791D"/>
    <w:rsid w:val="009C0492"/>
    <w:rsid w:val="009C08AB"/>
    <w:rsid w:val="009C0C44"/>
    <w:rsid w:val="009C13B6"/>
    <w:rsid w:val="009C1949"/>
    <w:rsid w:val="009C2414"/>
    <w:rsid w:val="009C2551"/>
    <w:rsid w:val="009C2AFE"/>
    <w:rsid w:val="009C30B5"/>
    <w:rsid w:val="009C30E9"/>
    <w:rsid w:val="009C3796"/>
    <w:rsid w:val="009C3B27"/>
    <w:rsid w:val="009C46E3"/>
    <w:rsid w:val="009C48E0"/>
    <w:rsid w:val="009C4D8A"/>
    <w:rsid w:val="009C545B"/>
    <w:rsid w:val="009C56DE"/>
    <w:rsid w:val="009C59BF"/>
    <w:rsid w:val="009C5FB9"/>
    <w:rsid w:val="009C64A2"/>
    <w:rsid w:val="009C66D1"/>
    <w:rsid w:val="009C6B97"/>
    <w:rsid w:val="009C6E4D"/>
    <w:rsid w:val="009C7141"/>
    <w:rsid w:val="009C74CA"/>
    <w:rsid w:val="009C7715"/>
    <w:rsid w:val="009C7C53"/>
    <w:rsid w:val="009C7CA3"/>
    <w:rsid w:val="009D00FE"/>
    <w:rsid w:val="009D087A"/>
    <w:rsid w:val="009D180C"/>
    <w:rsid w:val="009D1A44"/>
    <w:rsid w:val="009D1CF7"/>
    <w:rsid w:val="009D42F2"/>
    <w:rsid w:val="009D5040"/>
    <w:rsid w:val="009D505C"/>
    <w:rsid w:val="009D50C5"/>
    <w:rsid w:val="009D510B"/>
    <w:rsid w:val="009D5563"/>
    <w:rsid w:val="009D615A"/>
    <w:rsid w:val="009D6262"/>
    <w:rsid w:val="009D697A"/>
    <w:rsid w:val="009D6DC5"/>
    <w:rsid w:val="009D6E60"/>
    <w:rsid w:val="009D794E"/>
    <w:rsid w:val="009D7DE2"/>
    <w:rsid w:val="009E0517"/>
    <w:rsid w:val="009E0F66"/>
    <w:rsid w:val="009E1EBF"/>
    <w:rsid w:val="009E3294"/>
    <w:rsid w:val="009E37F6"/>
    <w:rsid w:val="009E4426"/>
    <w:rsid w:val="009E4AF4"/>
    <w:rsid w:val="009E5060"/>
    <w:rsid w:val="009E6710"/>
    <w:rsid w:val="009E67BF"/>
    <w:rsid w:val="009E6B01"/>
    <w:rsid w:val="009E6E1C"/>
    <w:rsid w:val="009F0A4C"/>
    <w:rsid w:val="009F1420"/>
    <w:rsid w:val="009F14EC"/>
    <w:rsid w:val="009F184B"/>
    <w:rsid w:val="009F1C30"/>
    <w:rsid w:val="009F1F0D"/>
    <w:rsid w:val="009F221C"/>
    <w:rsid w:val="009F2645"/>
    <w:rsid w:val="009F42A5"/>
    <w:rsid w:val="009F4CD5"/>
    <w:rsid w:val="009F5321"/>
    <w:rsid w:val="009F5DA3"/>
    <w:rsid w:val="009F6A15"/>
    <w:rsid w:val="009F7680"/>
    <w:rsid w:val="009F797D"/>
    <w:rsid w:val="009F7C5D"/>
    <w:rsid w:val="009F7E23"/>
    <w:rsid w:val="00A00242"/>
    <w:rsid w:val="00A00463"/>
    <w:rsid w:val="00A0047F"/>
    <w:rsid w:val="00A0134B"/>
    <w:rsid w:val="00A01483"/>
    <w:rsid w:val="00A01F58"/>
    <w:rsid w:val="00A0284E"/>
    <w:rsid w:val="00A032CD"/>
    <w:rsid w:val="00A037F5"/>
    <w:rsid w:val="00A038AD"/>
    <w:rsid w:val="00A05A48"/>
    <w:rsid w:val="00A05EF4"/>
    <w:rsid w:val="00A06D64"/>
    <w:rsid w:val="00A072E0"/>
    <w:rsid w:val="00A10972"/>
    <w:rsid w:val="00A10A04"/>
    <w:rsid w:val="00A10E5D"/>
    <w:rsid w:val="00A1100D"/>
    <w:rsid w:val="00A11378"/>
    <w:rsid w:val="00A11986"/>
    <w:rsid w:val="00A13056"/>
    <w:rsid w:val="00A134C5"/>
    <w:rsid w:val="00A1423E"/>
    <w:rsid w:val="00A14349"/>
    <w:rsid w:val="00A14824"/>
    <w:rsid w:val="00A14C29"/>
    <w:rsid w:val="00A15971"/>
    <w:rsid w:val="00A1602D"/>
    <w:rsid w:val="00A161A5"/>
    <w:rsid w:val="00A16337"/>
    <w:rsid w:val="00A16DEE"/>
    <w:rsid w:val="00A16E2E"/>
    <w:rsid w:val="00A17EFA"/>
    <w:rsid w:val="00A20149"/>
    <w:rsid w:val="00A202B8"/>
    <w:rsid w:val="00A21AD7"/>
    <w:rsid w:val="00A21B7B"/>
    <w:rsid w:val="00A22BBB"/>
    <w:rsid w:val="00A2314E"/>
    <w:rsid w:val="00A2571D"/>
    <w:rsid w:val="00A25B88"/>
    <w:rsid w:val="00A25C7D"/>
    <w:rsid w:val="00A266EF"/>
    <w:rsid w:val="00A26924"/>
    <w:rsid w:val="00A26C40"/>
    <w:rsid w:val="00A2771D"/>
    <w:rsid w:val="00A27F6E"/>
    <w:rsid w:val="00A30414"/>
    <w:rsid w:val="00A30566"/>
    <w:rsid w:val="00A31EF4"/>
    <w:rsid w:val="00A32B39"/>
    <w:rsid w:val="00A33268"/>
    <w:rsid w:val="00A336FA"/>
    <w:rsid w:val="00A345D6"/>
    <w:rsid w:val="00A3486E"/>
    <w:rsid w:val="00A34A4A"/>
    <w:rsid w:val="00A360F3"/>
    <w:rsid w:val="00A365D6"/>
    <w:rsid w:val="00A372B0"/>
    <w:rsid w:val="00A37A46"/>
    <w:rsid w:val="00A37E11"/>
    <w:rsid w:val="00A37EFB"/>
    <w:rsid w:val="00A37F1C"/>
    <w:rsid w:val="00A40289"/>
    <w:rsid w:val="00A40305"/>
    <w:rsid w:val="00A4123B"/>
    <w:rsid w:val="00A412A8"/>
    <w:rsid w:val="00A41594"/>
    <w:rsid w:val="00A42089"/>
    <w:rsid w:val="00A4249F"/>
    <w:rsid w:val="00A4391A"/>
    <w:rsid w:val="00A464F9"/>
    <w:rsid w:val="00A465DF"/>
    <w:rsid w:val="00A46AD2"/>
    <w:rsid w:val="00A475F8"/>
    <w:rsid w:val="00A47B73"/>
    <w:rsid w:val="00A47EDB"/>
    <w:rsid w:val="00A500F1"/>
    <w:rsid w:val="00A5028B"/>
    <w:rsid w:val="00A519DB"/>
    <w:rsid w:val="00A52842"/>
    <w:rsid w:val="00A5285B"/>
    <w:rsid w:val="00A53847"/>
    <w:rsid w:val="00A541F6"/>
    <w:rsid w:val="00A5426A"/>
    <w:rsid w:val="00A544B2"/>
    <w:rsid w:val="00A54DE5"/>
    <w:rsid w:val="00A55DE3"/>
    <w:rsid w:val="00A55E76"/>
    <w:rsid w:val="00A568C7"/>
    <w:rsid w:val="00A57018"/>
    <w:rsid w:val="00A57B30"/>
    <w:rsid w:val="00A57F51"/>
    <w:rsid w:val="00A609F1"/>
    <w:rsid w:val="00A632A3"/>
    <w:rsid w:val="00A63E9F"/>
    <w:rsid w:val="00A64DAD"/>
    <w:rsid w:val="00A660F4"/>
    <w:rsid w:val="00A665F9"/>
    <w:rsid w:val="00A6726D"/>
    <w:rsid w:val="00A6766D"/>
    <w:rsid w:val="00A67757"/>
    <w:rsid w:val="00A7028C"/>
    <w:rsid w:val="00A7067A"/>
    <w:rsid w:val="00A7150B"/>
    <w:rsid w:val="00A715D0"/>
    <w:rsid w:val="00A723EA"/>
    <w:rsid w:val="00A73033"/>
    <w:rsid w:val="00A731A9"/>
    <w:rsid w:val="00A73418"/>
    <w:rsid w:val="00A73A26"/>
    <w:rsid w:val="00A73BDE"/>
    <w:rsid w:val="00A759A1"/>
    <w:rsid w:val="00A76074"/>
    <w:rsid w:val="00A76AE1"/>
    <w:rsid w:val="00A76BCB"/>
    <w:rsid w:val="00A76CD0"/>
    <w:rsid w:val="00A7760E"/>
    <w:rsid w:val="00A77BBB"/>
    <w:rsid w:val="00A81A81"/>
    <w:rsid w:val="00A81B75"/>
    <w:rsid w:val="00A8232E"/>
    <w:rsid w:val="00A823D5"/>
    <w:rsid w:val="00A8299F"/>
    <w:rsid w:val="00A82C89"/>
    <w:rsid w:val="00A82FD0"/>
    <w:rsid w:val="00A84D9A"/>
    <w:rsid w:val="00A8535B"/>
    <w:rsid w:val="00A869B0"/>
    <w:rsid w:val="00A87B42"/>
    <w:rsid w:val="00A87B91"/>
    <w:rsid w:val="00A90000"/>
    <w:rsid w:val="00A918D8"/>
    <w:rsid w:val="00A9241D"/>
    <w:rsid w:val="00A92F9B"/>
    <w:rsid w:val="00A94075"/>
    <w:rsid w:val="00A95B49"/>
    <w:rsid w:val="00A95E21"/>
    <w:rsid w:val="00A95E5A"/>
    <w:rsid w:val="00A9622C"/>
    <w:rsid w:val="00A96409"/>
    <w:rsid w:val="00A967CB"/>
    <w:rsid w:val="00A968FA"/>
    <w:rsid w:val="00A978B0"/>
    <w:rsid w:val="00A97B79"/>
    <w:rsid w:val="00A97C5D"/>
    <w:rsid w:val="00AA05FE"/>
    <w:rsid w:val="00AA0F1E"/>
    <w:rsid w:val="00AA129B"/>
    <w:rsid w:val="00AA1418"/>
    <w:rsid w:val="00AA1A3B"/>
    <w:rsid w:val="00AA1D8D"/>
    <w:rsid w:val="00AA2352"/>
    <w:rsid w:val="00AA2DF3"/>
    <w:rsid w:val="00AA2EEF"/>
    <w:rsid w:val="00AA2EFA"/>
    <w:rsid w:val="00AA2F83"/>
    <w:rsid w:val="00AA39DF"/>
    <w:rsid w:val="00AA3D77"/>
    <w:rsid w:val="00AA3E5F"/>
    <w:rsid w:val="00AA4CC9"/>
    <w:rsid w:val="00AA5847"/>
    <w:rsid w:val="00AA58B3"/>
    <w:rsid w:val="00AA59FB"/>
    <w:rsid w:val="00AA5E8F"/>
    <w:rsid w:val="00AA7545"/>
    <w:rsid w:val="00AA7E50"/>
    <w:rsid w:val="00AB02D3"/>
    <w:rsid w:val="00AB0742"/>
    <w:rsid w:val="00AB2964"/>
    <w:rsid w:val="00AB337F"/>
    <w:rsid w:val="00AB364C"/>
    <w:rsid w:val="00AB4132"/>
    <w:rsid w:val="00AB41D1"/>
    <w:rsid w:val="00AB4711"/>
    <w:rsid w:val="00AB58EA"/>
    <w:rsid w:val="00AC04B9"/>
    <w:rsid w:val="00AC0B3B"/>
    <w:rsid w:val="00AC158B"/>
    <w:rsid w:val="00AC1632"/>
    <w:rsid w:val="00AC2382"/>
    <w:rsid w:val="00AC2846"/>
    <w:rsid w:val="00AC29EE"/>
    <w:rsid w:val="00AC3624"/>
    <w:rsid w:val="00AC36E0"/>
    <w:rsid w:val="00AC39D2"/>
    <w:rsid w:val="00AC3EBC"/>
    <w:rsid w:val="00AC4653"/>
    <w:rsid w:val="00AC4764"/>
    <w:rsid w:val="00AC4E8F"/>
    <w:rsid w:val="00AC596F"/>
    <w:rsid w:val="00AC5E27"/>
    <w:rsid w:val="00AC62DC"/>
    <w:rsid w:val="00AC64FE"/>
    <w:rsid w:val="00AC7A6C"/>
    <w:rsid w:val="00AD0A37"/>
    <w:rsid w:val="00AD120F"/>
    <w:rsid w:val="00AD1E0A"/>
    <w:rsid w:val="00AD277D"/>
    <w:rsid w:val="00AD35A9"/>
    <w:rsid w:val="00AD37A6"/>
    <w:rsid w:val="00AD37C2"/>
    <w:rsid w:val="00AD3CF9"/>
    <w:rsid w:val="00AD4FEC"/>
    <w:rsid w:val="00AD5177"/>
    <w:rsid w:val="00AD5B8D"/>
    <w:rsid w:val="00AD5EA4"/>
    <w:rsid w:val="00AE01C3"/>
    <w:rsid w:val="00AE0CA6"/>
    <w:rsid w:val="00AE0D7C"/>
    <w:rsid w:val="00AE212F"/>
    <w:rsid w:val="00AE3938"/>
    <w:rsid w:val="00AE48B9"/>
    <w:rsid w:val="00AE4B72"/>
    <w:rsid w:val="00AE5C9F"/>
    <w:rsid w:val="00AE5EB1"/>
    <w:rsid w:val="00AE70FA"/>
    <w:rsid w:val="00AE7196"/>
    <w:rsid w:val="00AE75DB"/>
    <w:rsid w:val="00AF0D69"/>
    <w:rsid w:val="00AF13F3"/>
    <w:rsid w:val="00AF148B"/>
    <w:rsid w:val="00AF149B"/>
    <w:rsid w:val="00AF1920"/>
    <w:rsid w:val="00AF196A"/>
    <w:rsid w:val="00AF2358"/>
    <w:rsid w:val="00AF2E85"/>
    <w:rsid w:val="00AF304F"/>
    <w:rsid w:val="00AF3147"/>
    <w:rsid w:val="00AF36AA"/>
    <w:rsid w:val="00AF36F2"/>
    <w:rsid w:val="00AF415D"/>
    <w:rsid w:val="00AF42CE"/>
    <w:rsid w:val="00AF4526"/>
    <w:rsid w:val="00AF4599"/>
    <w:rsid w:val="00AF4A5A"/>
    <w:rsid w:val="00AF4E4F"/>
    <w:rsid w:val="00AF5778"/>
    <w:rsid w:val="00AF5C00"/>
    <w:rsid w:val="00AF5CD0"/>
    <w:rsid w:val="00AF6143"/>
    <w:rsid w:val="00AF625A"/>
    <w:rsid w:val="00AF6EA5"/>
    <w:rsid w:val="00AF71DC"/>
    <w:rsid w:val="00AF74D8"/>
    <w:rsid w:val="00AF79D2"/>
    <w:rsid w:val="00AF7A9C"/>
    <w:rsid w:val="00B00090"/>
    <w:rsid w:val="00B0102C"/>
    <w:rsid w:val="00B01342"/>
    <w:rsid w:val="00B016C5"/>
    <w:rsid w:val="00B018F8"/>
    <w:rsid w:val="00B01BFC"/>
    <w:rsid w:val="00B01F1B"/>
    <w:rsid w:val="00B03F13"/>
    <w:rsid w:val="00B049BA"/>
    <w:rsid w:val="00B05111"/>
    <w:rsid w:val="00B05A40"/>
    <w:rsid w:val="00B06377"/>
    <w:rsid w:val="00B063F9"/>
    <w:rsid w:val="00B0650F"/>
    <w:rsid w:val="00B06DEE"/>
    <w:rsid w:val="00B06F59"/>
    <w:rsid w:val="00B06F69"/>
    <w:rsid w:val="00B070E9"/>
    <w:rsid w:val="00B07C97"/>
    <w:rsid w:val="00B100C4"/>
    <w:rsid w:val="00B10439"/>
    <w:rsid w:val="00B10FDB"/>
    <w:rsid w:val="00B11048"/>
    <w:rsid w:val="00B11145"/>
    <w:rsid w:val="00B114FC"/>
    <w:rsid w:val="00B11A3A"/>
    <w:rsid w:val="00B11DD7"/>
    <w:rsid w:val="00B13CEF"/>
    <w:rsid w:val="00B13FDE"/>
    <w:rsid w:val="00B1410F"/>
    <w:rsid w:val="00B1513A"/>
    <w:rsid w:val="00B15E5C"/>
    <w:rsid w:val="00B15F5C"/>
    <w:rsid w:val="00B2014C"/>
    <w:rsid w:val="00B20665"/>
    <w:rsid w:val="00B21C3B"/>
    <w:rsid w:val="00B22146"/>
    <w:rsid w:val="00B22CC0"/>
    <w:rsid w:val="00B22FC9"/>
    <w:rsid w:val="00B23084"/>
    <w:rsid w:val="00B23093"/>
    <w:rsid w:val="00B230E8"/>
    <w:rsid w:val="00B2478D"/>
    <w:rsid w:val="00B250C9"/>
    <w:rsid w:val="00B25323"/>
    <w:rsid w:val="00B25E8D"/>
    <w:rsid w:val="00B2624E"/>
    <w:rsid w:val="00B27A72"/>
    <w:rsid w:val="00B27E11"/>
    <w:rsid w:val="00B31392"/>
    <w:rsid w:val="00B31920"/>
    <w:rsid w:val="00B33AF4"/>
    <w:rsid w:val="00B3433A"/>
    <w:rsid w:val="00B34414"/>
    <w:rsid w:val="00B344BF"/>
    <w:rsid w:val="00B349B1"/>
    <w:rsid w:val="00B351C7"/>
    <w:rsid w:val="00B35765"/>
    <w:rsid w:val="00B35B9E"/>
    <w:rsid w:val="00B3611C"/>
    <w:rsid w:val="00B36820"/>
    <w:rsid w:val="00B36841"/>
    <w:rsid w:val="00B369F6"/>
    <w:rsid w:val="00B376E5"/>
    <w:rsid w:val="00B40DF4"/>
    <w:rsid w:val="00B41013"/>
    <w:rsid w:val="00B41663"/>
    <w:rsid w:val="00B41D27"/>
    <w:rsid w:val="00B42175"/>
    <w:rsid w:val="00B422CC"/>
    <w:rsid w:val="00B42514"/>
    <w:rsid w:val="00B429D5"/>
    <w:rsid w:val="00B43341"/>
    <w:rsid w:val="00B436BE"/>
    <w:rsid w:val="00B4494D"/>
    <w:rsid w:val="00B44EC2"/>
    <w:rsid w:val="00B4587D"/>
    <w:rsid w:val="00B466EE"/>
    <w:rsid w:val="00B46CD9"/>
    <w:rsid w:val="00B47730"/>
    <w:rsid w:val="00B47C6D"/>
    <w:rsid w:val="00B5011E"/>
    <w:rsid w:val="00B510AD"/>
    <w:rsid w:val="00B52409"/>
    <w:rsid w:val="00B53412"/>
    <w:rsid w:val="00B5347B"/>
    <w:rsid w:val="00B55034"/>
    <w:rsid w:val="00B55F22"/>
    <w:rsid w:val="00B566D2"/>
    <w:rsid w:val="00B57A28"/>
    <w:rsid w:val="00B60F20"/>
    <w:rsid w:val="00B6142C"/>
    <w:rsid w:val="00B616B1"/>
    <w:rsid w:val="00B616BE"/>
    <w:rsid w:val="00B61E92"/>
    <w:rsid w:val="00B62021"/>
    <w:rsid w:val="00B628F0"/>
    <w:rsid w:val="00B63A3B"/>
    <w:rsid w:val="00B63AD9"/>
    <w:rsid w:val="00B6422F"/>
    <w:rsid w:val="00B643F6"/>
    <w:rsid w:val="00B64612"/>
    <w:rsid w:val="00B64F63"/>
    <w:rsid w:val="00B65485"/>
    <w:rsid w:val="00B66404"/>
    <w:rsid w:val="00B67334"/>
    <w:rsid w:val="00B6751C"/>
    <w:rsid w:val="00B706DC"/>
    <w:rsid w:val="00B7093F"/>
    <w:rsid w:val="00B7253E"/>
    <w:rsid w:val="00B7281A"/>
    <w:rsid w:val="00B73163"/>
    <w:rsid w:val="00B73A11"/>
    <w:rsid w:val="00B7424D"/>
    <w:rsid w:val="00B746E6"/>
    <w:rsid w:val="00B75436"/>
    <w:rsid w:val="00B75C3A"/>
    <w:rsid w:val="00B777D8"/>
    <w:rsid w:val="00B77B2B"/>
    <w:rsid w:val="00B80451"/>
    <w:rsid w:val="00B80860"/>
    <w:rsid w:val="00B808E0"/>
    <w:rsid w:val="00B81077"/>
    <w:rsid w:val="00B8132F"/>
    <w:rsid w:val="00B81935"/>
    <w:rsid w:val="00B81D4C"/>
    <w:rsid w:val="00B81EE9"/>
    <w:rsid w:val="00B81FB3"/>
    <w:rsid w:val="00B8280A"/>
    <w:rsid w:val="00B82B64"/>
    <w:rsid w:val="00B831CC"/>
    <w:rsid w:val="00B83465"/>
    <w:rsid w:val="00B83EBC"/>
    <w:rsid w:val="00B84FD5"/>
    <w:rsid w:val="00B85B34"/>
    <w:rsid w:val="00B8627F"/>
    <w:rsid w:val="00B86BED"/>
    <w:rsid w:val="00B86FDE"/>
    <w:rsid w:val="00B87576"/>
    <w:rsid w:val="00B900B8"/>
    <w:rsid w:val="00B905FA"/>
    <w:rsid w:val="00B90A6A"/>
    <w:rsid w:val="00B92655"/>
    <w:rsid w:val="00B93535"/>
    <w:rsid w:val="00B935C1"/>
    <w:rsid w:val="00B936E4"/>
    <w:rsid w:val="00B95009"/>
    <w:rsid w:val="00B96212"/>
    <w:rsid w:val="00B964D3"/>
    <w:rsid w:val="00BA0247"/>
    <w:rsid w:val="00BA0B73"/>
    <w:rsid w:val="00BA15D2"/>
    <w:rsid w:val="00BA17C9"/>
    <w:rsid w:val="00BA1A50"/>
    <w:rsid w:val="00BA1BF4"/>
    <w:rsid w:val="00BA20CB"/>
    <w:rsid w:val="00BA2A85"/>
    <w:rsid w:val="00BA2F0F"/>
    <w:rsid w:val="00BA38F5"/>
    <w:rsid w:val="00BA3B33"/>
    <w:rsid w:val="00BA3DFB"/>
    <w:rsid w:val="00BA58AE"/>
    <w:rsid w:val="00BA6279"/>
    <w:rsid w:val="00BA63D2"/>
    <w:rsid w:val="00BA64D0"/>
    <w:rsid w:val="00BA66AF"/>
    <w:rsid w:val="00BA6BBE"/>
    <w:rsid w:val="00BA72F1"/>
    <w:rsid w:val="00BA755E"/>
    <w:rsid w:val="00BA78F5"/>
    <w:rsid w:val="00BA7FBF"/>
    <w:rsid w:val="00BB00A0"/>
    <w:rsid w:val="00BB060B"/>
    <w:rsid w:val="00BB1B81"/>
    <w:rsid w:val="00BB4100"/>
    <w:rsid w:val="00BB45F9"/>
    <w:rsid w:val="00BB526A"/>
    <w:rsid w:val="00BB56C0"/>
    <w:rsid w:val="00BB582E"/>
    <w:rsid w:val="00BB5E14"/>
    <w:rsid w:val="00BB6378"/>
    <w:rsid w:val="00BB7368"/>
    <w:rsid w:val="00BB79AE"/>
    <w:rsid w:val="00BC0194"/>
    <w:rsid w:val="00BC03D7"/>
    <w:rsid w:val="00BC16FF"/>
    <w:rsid w:val="00BC1B12"/>
    <w:rsid w:val="00BC1B2C"/>
    <w:rsid w:val="00BC1D00"/>
    <w:rsid w:val="00BC225A"/>
    <w:rsid w:val="00BC2447"/>
    <w:rsid w:val="00BC3D56"/>
    <w:rsid w:val="00BC43ED"/>
    <w:rsid w:val="00BC4677"/>
    <w:rsid w:val="00BC53A2"/>
    <w:rsid w:val="00BC54A0"/>
    <w:rsid w:val="00BC5B0F"/>
    <w:rsid w:val="00BD0AD5"/>
    <w:rsid w:val="00BD10E2"/>
    <w:rsid w:val="00BD1115"/>
    <w:rsid w:val="00BD2067"/>
    <w:rsid w:val="00BD2E5A"/>
    <w:rsid w:val="00BD2E7B"/>
    <w:rsid w:val="00BD406B"/>
    <w:rsid w:val="00BD4BA0"/>
    <w:rsid w:val="00BD642F"/>
    <w:rsid w:val="00BD6727"/>
    <w:rsid w:val="00BE012E"/>
    <w:rsid w:val="00BE0FBF"/>
    <w:rsid w:val="00BE11C8"/>
    <w:rsid w:val="00BE12D2"/>
    <w:rsid w:val="00BE1E75"/>
    <w:rsid w:val="00BE2988"/>
    <w:rsid w:val="00BE32D7"/>
    <w:rsid w:val="00BE3659"/>
    <w:rsid w:val="00BE4339"/>
    <w:rsid w:val="00BE4441"/>
    <w:rsid w:val="00BE4476"/>
    <w:rsid w:val="00BE5A10"/>
    <w:rsid w:val="00BE5DB3"/>
    <w:rsid w:val="00BE7099"/>
    <w:rsid w:val="00BE751A"/>
    <w:rsid w:val="00BE76A3"/>
    <w:rsid w:val="00BF02E4"/>
    <w:rsid w:val="00BF1FCE"/>
    <w:rsid w:val="00BF3424"/>
    <w:rsid w:val="00BF35E9"/>
    <w:rsid w:val="00BF41AE"/>
    <w:rsid w:val="00BF4E4A"/>
    <w:rsid w:val="00BF5150"/>
    <w:rsid w:val="00BF73E1"/>
    <w:rsid w:val="00BF781A"/>
    <w:rsid w:val="00BF7875"/>
    <w:rsid w:val="00BF797B"/>
    <w:rsid w:val="00BF7BE5"/>
    <w:rsid w:val="00C00BEC"/>
    <w:rsid w:val="00C01903"/>
    <w:rsid w:val="00C03445"/>
    <w:rsid w:val="00C034DE"/>
    <w:rsid w:val="00C0367F"/>
    <w:rsid w:val="00C048F9"/>
    <w:rsid w:val="00C04C10"/>
    <w:rsid w:val="00C05071"/>
    <w:rsid w:val="00C053FF"/>
    <w:rsid w:val="00C054EB"/>
    <w:rsid w:val="00C063CB"/>
    <w:rsid w:val="00C0660B"/>
    <w:rsid w:val="00C06AA1"/>
    <w:rsid w:val="00C06AB3"/>
    <w:rsid w:val="00C06E41"/>
    <w:rsid w:val="00C0716B"/>
    <w:rsid w:val="00C0753C"/>
    <w:rsid w:val="00C0758F"/>
    <w:rsid w:val="00C07701"/>
    <w:rsid w:val="00C07A55"/>
    <w:rsid w:val="00C12293"/>
    <w:rsid w:val="00C12E33"/>
    <w:rsid w:val="00C13029"/>
    <w:rsid w:val="00C13C3F"/>
    <w:rsid w:val="00C13ED5"/>
    <w:rsid w:val="00C1409B"/>
    <w:rsid w:val="00C146D1"/>
    <w:rsid w:val="00C160A1"/>
    <w:rsid w:val="00C163FB"/>
    <w:rsid w:val="00C177C8"/>
    <w:rsid w:val="00C17BC1"/>
    <w:rsid w:val="00C21304"/>
    <w:rsid w:val="00C214C4"/>
    <w:rsid w:val="00C22392"/>
    <w:rsid w:val="00C227AF"/>
    <w:rsid w:val="00C2359D"/>
    <w:rsid w:val="00C24FED"/>
    <w:rsid w:val="00C25832"/>
    <w:rsid w:val="00C25DE4"/>
    <w:rsid w:val="00C27521"/>
    <w:rsid w:val="00C30FE8"/>
    <w:rsid w:val="00C3174C"/>
    <w:rsid w:val="00C31E43"/>
    <w:rsid w:val="00C31F16"/>
    <w:rsid w:val="00C321EF"/>
    <w:rsid w:val="00C3268F"/>
    <w:rsid w:val="00C32B1E"/>
    <w:rsid w:val="00C332F4"/>
    <w:rsid w:val="00C33742"/>
    <w:rsid w:val="00C34B53"/>
    <w:rsid w:val="00C34E17"/>
    <w:rsid w:val="00C35514"/>
    <w:rsid w:val="00C35ACF"/>
    <w:rsid w:val="00C36CCD"/>
    <w:rsid w:val="00C3771C"/>
    <w:rsid w:val="00C37EBB"/>
    <w:rsid w:val="00C403F8"/>
    <w:rsid w:val="00C44259"/>
    <w:rsid w:val="00C44423"/>
    <w:rsid w:val="00C455B8"/>
    <w:rsid w:val="00C45DB2"/>
    <w:rsid w:val="00C464EC"/>
    <w:rsid w:val="00C4678A"/>
    <w:rsid w:val="00C46C04"/>
    <w:rsid w:val="00C51363"/>
    <w:rsid w:val="00C52E3A"/>
    <w:rsid w:val="00C5344C"/>
    <w:rsid w:val="00C547A2"/>
    <w:rsid w:val="00C54A71"/>
    <w:rsid w:val="00C54F18"/>
    <w:rsid w:val="00C558AD"/>
    <w:rsid w:val="00C55F8E"/>
    <w:rsid w:val="00C56250"/>
    <w:rsid w:val="00C6005B"/>
    <w:rsid w:val="00C6071C"/>
    <w:rsid w:val="00C60862"/>
    <w:rsid w:val="00C60A2F"/>
    <w:rsid w:val="00C60B80"/>
    <w:rsid w:val="00C60C1A"/>
    <w:rsid w:val="00C616AA"/>
    <w:rsid w:val="00C61771"/>
    <w:rsid w:val="00C61D92"/>
    <w:rsid w:val="00C6212D"/>
    <w:rsid w:val="00C63A2D"/>
    <w:rsid w:val="00C63AC7"/>
    <w:rsid w:val="00C647D3"/>
    <w:rsid w:val="00C66597"/>
    <w:rsid w:val="00C66986"/>
    <w:rsid w:val="00C66A00"/>
    <w:rsid w:val="00C67BFA"/>
    <w:rsid w:val="00C702B9"/>
    <w:rsid w:val="00C708B0"/>
    <w:rsid w:val="00C72B24"/>
    <w:rsid w:val="00C73A45"/>
    <w:rsid w:val="00C73B11"/>
    <w:rsid w:val="00C75108"/>
    <w:rsid w:val="00C76509"/>
    <w:rsid w:val="00C765C2"/>
    <w:rsid w:val="00C765E9"/>
    <w:rsid w:val="00C76B2A"/>
    <w:rsid w:val="00C76F17"/>
    <w:rsid w:val="00C77C71"/>
    <w:rsid w:val="00C80178"/>
    <w:rsid w:val="00C80AD9"/>
    <w:rsid w:val="00C817CC"/>
    <w:rsid w:val="00C82A84"/>
    <w:rsid w:val="00C82D47"/>
    <w:rsid w:val="00C832D1"/>
    <w:rsid w:val="00C8467B"/>
    <w:rsid w:val="00C858D9"/>
    <w:rsid w:val="00C85920"/>
    <w:rsid w:val="00C85B70"/>
    <w:rsid w:val="00C86183"/>
    <w:rsid w:val="00C86E91"/>
    <w:rsid w:val="00C8718A"/>
    <w:rsid w:val="00C87A78"/>
    <w:rsid w:val="00C90D66"/>
    <w:rsid w:val="00C91294"/>
    <w:rsid w:val="00C91752"/>
    <w:rsid w:val="00C9187B"/>
    <w:rsid w:val="00C91AEF"/>
    <w:rsid w:val="00C9275C"/>
    <w:rsid w:val="00C928BE"/>
    <w:rsid w:val="00C92C65"/>
    <w:rsid w:val="00C9318C"/>
    <w:rsid w:val="00C9337A"/>
    <w:rsid w:val="00C93549"/>
    <w:rsid w:val="00C95002"/>
    <w:rsid w:val="00C968FF"/>
    <w:rsid w:val="00C97E2C"/>
    <w:rsid w:val="00C97FE7"/>
    <w:rsid w:val="00CA0BFC"/>
    <w:rsid w:val="00CA0CB6"/>
    <w:rsid w:val="00CA132A"/>
    <w:rsid w:val="00CA1F9D"/>
    <w:rsid w:val="00CA233D"/>
    <w:rsid w:val="00CA25E7"/>
    <w:rsid w:val="00CA3222"/>
    <w:rsid w:val="00CA3B02"/>
    <w:rsid w:val="00CA3C3C"/>
    <w:rsid w:val="00CA4E4B"/>
    <w:rsid w:val="00CA4F5F"/>
    <w:rsid w:val="00CA586C"/>
    <w:rsid w:val="00CA5B91"/>
    <w:rsid w:val="00CA5E80"/>
    <w:rsid w:val="00CA5FAC"/>
    <w:rsid w:val="00CA603D"/>
    <w:rsid w:val="00CA6113"/>
    <w:rsid w:val="00CA6520"/>
    <w:rsid w:val="00CA6C56"/>
    <w:rsid w:val="00CA75D0"/>
    <w:rsid w:val="00CA7FA7"/>
    <w:rsid w:val="00CB0207"/>
    <w:rsid w:val="00CB02AB"/>
    <w:rsid w:val="00CB0664"/>
    <w:rsid w:val="00CB0852"/>
    <w:rsid w:val="00CB1307"/>
    <w:rsid w:val="00CB3557"/>
    <w:rsid w:val="00CB378D"/>
    <w:rsid w:val="00CB48B6"/>
    <w:rsid w:val="00CB5357"/>
    <w:rsid w:val="00CB5B4D"/>
    <w:rsid w:val="00CB6D2B"/>
    <w:rsid w:val="00CB720B"/>
    <w:rsid w:val="00CB7346"/>
    <w:rsid w:val="00CB73A2"/>
    <w:rsid w:val="00CB75C3"/>
    <w:rsid w:val="00CB761C"/>
    <w:rsid w:val="00CB7CE6"/>
    <w:rsid w:val="00CC0E91"/>
    <w:rsid w:val="00CC1D99"/>
    <w:rsid w:val="00CC282F"/>
    <w:rsid w:val="00CC442E"/>
    <w:rsid w:val="00CC44FC"/>
    <w:rsid w:val="00CC488C"/>
    <w:rsid w:val="00CC4B7A"/>
    <w:rsid w:val="00CC4DE1"/>
    <w:rsid w:val="00CC50EC"/>
    <w:rsid w:val="00CC52CE"/>
    <w:rsid w:val="00CC565D"/>
    <w:rsid w:val="00CC69F8"/>
    <w:rsid w:val="00CD0AAD"/>
    <w:rsid w:val="00CD130B"/>
    <w:rsid w:val="00CD1AB1"/>
    <w:rsid w:val="00CD1F30"/>
    <w:rsid w:val="00CD2533"/>
    <w:rsid w:val="00CD2B50"/>
    <w:rsid w:val="00CD3075"/>
    <w:rsid w:val="00CD409C"/>
    <w:rsid w:val="00CD645D"/>
    <w:rsid w:val="00CD7632"/>
    <w:rsid w:val="00CE0533"/>
    <w:rsid w:val="00CE0E84"/>
    <w:rsid w:val="00CE1E16"/>
    <w:rsid w:val="00CE44DC"/>
    <w:rsid w:val="00CE4905"/>
    <w:rsid w:val="00CE4B81"/>
    <w:rsid w:val="00CE5087"/>
    <w:rsid w:val="00CE5EDA"/>
    <w:rsid w:val="00CE6218"/>
    <w:rsid w:val="00CE6528"/>
    <w:rsid w:val="00CE6782"/>
    <w:rsid w:val="00CE79E8"/>
    <w:rsid w:val="00CF0B35"/>
    <w:rsid w:val="00CF1034"/>
    <w:rsid w:val="00CF10FB"/>
    <w:rsid w:val="00CF235E"/>
    <w:rsid w:val="00CF24A0"/>
    <w:rsid w:val="00CF3011"/>
    <w:rsid w:val="00CF32AF"/>
    <w:rsid w:val="00CF348E"/>
    <w:rsid w:val="00CF3523"/>
    <w:rsid w:val="00CF3B51"/>
    <w:rsid w:val="00CF4F1F"/>
    <w:rsid w:val="00CF5362"/>
    <w:rsid w:val="00CF65F0"/>
    <w:rsid w:val="00CF6714"/>
    <w:rsid w:val="00CF7422"/>
    <w:rsid w:val="00CF745A"/>
    <w:rsid w:val="00D00025"/>
    <w:rsid w:val="00D0003F"/>
    <w:rsid w:val="00D00507"/>
    <w:rsid w:val="00D007E0"/>
    <w:rsid w:val="00D008C9"/>
    <w:rsid w:val="00D01C4D"/>
    <w:rsid w:val="00D025C9"/>
    <w:rsid w:val="00D02FC4"/>
    <w:rsid w:val="00D0371F"/>
    <w:rsid w:val="00D04222"/>
    <w:rsid w:val="00D0530B"/>
    <w:rsid w:val="00D058B3"/>
    <w:rsid w:val="00D064E4"/>
    <w:rsid w:val="00D07273"/>
    <w:rsid w:val="00D10709"/>
    <w:rsid w:val="00D109D4"/>
    <w:rsid w:val="00D10E51"/>
    <w:rsid w:val="00D115B4"/>
    <w:rsid w:val="00D1237B"/>
    <w:rsid w:val="00D1248B"/>
    <w:rsid w:val="00D13877"/>
    <w:rsid w:val="00D13994"/>
    <w:rsid w:val="00D14F85"/>
    <w:rsid w:val="00D15062"/>
    <w:rsid w:val="00D1534B"/>
    <w:rsid w:val="00D16090"/>
    <w:rsid w:val="00D1661A"/>
    <w:rsid w:val="00D1685D"/>
    <w:rsid w:val="00D168DA"/>
    <w:rsid w:val="00D16A43"/>
    <w:rsid w:val="00D16DA5"/>
    <w:rsid w:val="00D172FD"/>
    <w:rsid w:val="00D17E17"/>
    <w:rsid w:val="00D20BD1"/>
    <w:rsid w:val="00D22261"/>
    <w:rsid w:val="00D23278"/>
    <w:rsid w:val="00D23F5E"/>
    <w:rsid w:val="00D24300"/>
    <w:rsid w:val="00D2506C"/>
    <w:rsid w:val="00D256E5"/>
    <w:rsid w:val="00D25BA8"/>
    <w:rsid w:val="00D261E1"/>
    <w:rsid w:val="00D27102"/>
    <w:rsid w:val="00D27532"/>
    <w:rsid w:val="00D3018E"/>
    <w:rsid w:val="00D3065E"/>
    <w:rsid w:val="00D30984"/>
    <w:rsid w:val="00D3140D"/>
    <w:rsid w:val="00D32B62"/>
    <w:rsid w:val="00D32EE1"/>
    <w:rsid w:val="00D3397A"/>
    <w:rsid w:val="00D33B8E"/>
    <w:rsid w:val="00D33C1E"/>
    <w:rsid w:val="00D33C36"/>
    <w:rsid w:val="00D344B1"/>
    <w:rsid w:val="00D357F5"/>
    <w:rsid w:val="00D36081"/>
    <w:rsid w:val="00D37AFD"/>
    <w:rsid w:val="00D4043D"/>
    <w:rsid w:val="00D40E72"/>
    <w:rsid w:val="00D41125"/>
    <w:rsid w:val="00D41250"/>
    <w:rsid w:val="00D4179B"/>
    <w:rsid w:val="00D4199C"/>
    <w:rsid w:val="00D42277"/>
    <w:rsid w:val="00D42A2C"/>
    <w:rsid w:val="00D42BF4"/>
    <w:rsid w:val="00D4331C"/>
    <w:rsid w:val="00D4422E"/>
    <w:rsid w:val="00D454DA"/>
    <w:rsid w:val="00D45A94"/>
    <w:rsid w:val="00D45B1A"/>
    <w:rsid w:val="00D47328"/>
    <w:rsid w:val="00D47A00"/>
    <w:rsid w:val="00D50213"/>
    <w:rsid w:val="00D50CDE"/>
    <w:rsid w:val="00D50EA4"/>
    <w:rsid w:val="00D5122E"/>
    <w:rsid w:val="00D5142C"/>
    <w:rsid w:val="00D5151A"/>
    <w:rsid w:val="00D51714"/>
    <w:rsid w:val="00D51816"/>
    <w:rsid w:val="00D52AFE"/>
    <w:rsid w:val="00D52C71"/>
    <w:rsid w:val="00D530D6"/>
    <w:rsid w:val="00D542F3"/>
    <w:rsid w:val="00D54808"/>
    <w:rsid w:val="00D548DD"/>
    <w:rsid w:val="00D55A8C"/>
    <w:rsid w:val="00D55A8D"/>
    <w:rsid w:val="00D55F8E"/>
    <w:rsid w:val="00D5605B"/>
    <w:rsid w:val="00D563A3"/>
    <w:rsid w:val="00D56E30"/>
    <w:rsid w:val="00D579A7"/>
    <w:rsid w:val="00D60580"/>
    <w:rsid w:val="00D607C4"/>
    <w:rsid w:val="00D609D1"/>
    <w:rsid w:val="00D61008"/>
    <w:rsid w:val="00D618FF"/>
    <w:rsid w:val="00D6193A"/>
    <w:rsid w:val="00D6283C"/>
    <w:rsid w:val="00D64627"/>
    <w:rsid w:val="00D647E3"/>
    <w:rsid w:val="00D64BF7"/>
    <w:rsid w:val="00D658BD"/>
    <w:rsid w:val="00D65BB8"/>
    <w:rsid w:val="00D65E4A"/>
    <w:rsid w:val="00D6671E"/>
    <w:rsid w:val="00D66772"/>
    <w:rsid w:val="00D66A0B"/>
    <w:rsid w:val="00D670AB"/>
    <w:rsid w:val="00D70116"/>
    <w:rsid w:val="00D702CA"/>
    <w:rsid w:val="00D70390"/>
    <w:rsid w:val="00D703E5"/>
    <w:rsid w:val="00D72ADC"/>
    <w:rsid w:val="00D72EAD"/>
    <w:rsid w:val="00D73309"/>
    <w:rsid w:val="00D73617"/>
    <w:rsid w:val="00D74294"/>
    <w:rsid w:val="00D7484A"/>
    <w:rsid w:val="00D74FC3"/>
    <w:rsid w:val="00D75EEA"/>
    <w:rsid w:val="00D76D44"/>
    <w:rsid w:val="00D77AFC"/>
    <w:rsid w:val="00D80C94"/>
    <w:rsid w:val="00D812CE"/>
    <w:rsid w:val="00D81B23"/>
    <w:rsid w:val="00D82019"/>
    <w:rsid w:val="00D825A7"/>
    <w:rsid w:val="00D827DB"/>
    <w:rsid w:val="00D82959"/>
    <w:rsid w:val="00D82DE4"/>
    <w:rsid w:val="00D83D2F"/>
    <w:rsid w:val="00D84807"/>
    <w:rsid w:val="00D84997"/>
    <w:rsid w:val="00D8560F"/>
    <w:rsid w:val="00D85755"/>
    <w:rsid w:val="00D8650E"/>
    <w:rsid w:val="00D866BB"/>
    <w:rsid w:val="00D86825"/>
    <w:rsid w:val="00D86C99"/>
    <w:rsid w:val="00D870A2"/>
    <w:rsid w:val="00D90B22"/>
    <w:rsid w:val="00D9109E"/>
    <w:rsid w:val="00D91C25"/>
    <w:rsid w:val="00D934A2"/>
    <w:rsid w:val="00D940D2"/>
    <w:rsid w:val="00D94AD4"/>
    <w:rsid w:val="00D94EAA"/>
    <w:rsid w:val="00D953F9"/>
    <w:rsid w:val="00D9547B"/>
    <w:rsid w:val="00D96FAE"/>
    <w:rsid w:val="00DA01CB"/>
    <w:rsid w:val="00DA2222"/>
    <w:rsid w:val="00DA25DE"/>
    <w:rsid w:val="00DA26FA"/>
    <w:rsid w:val="00DA2AE1"/>
    <w:rsid w:val="00DA2C57"/>
    <w:rsid w:val="00DA307B"/>
    <w:rsid w:val="00DA3362"/>
    <w:rsid w:val="00DA3904"/>
    <w:rsid w:val="00DA45EE"/>
    <w:rsid w:val="00DA4D03"/>
    <w:rsid w:val="00DA51B2"/>
    <w:rsid w:val="00DA6122"/>
    <w:rsid w:val="00DA6920"/>
    <w:rsid w:val="00DA7BA6"/>
    <w:rsid w:val="00DA7C6D"/>
    <w:rsid w:val="00DB0769"/>
    <w:rsid w:val="00DB2E10"/>
    <w:rsid w:val="00DB2E16"/>
    <w:rsid w:val="00DB381A"/>
    <w:rsid w:val="00DB3CE0"/>
    <w:rsid w:val="00DB41F9"/>
    <w:rsid w:val="00DB52E4"/>
    <w:rsid w:val="00DB55BA"/>
    <w:rsid w:val="00DB56FE"/>
    <w:rsid w:val="00DB5F6B"/>
    <w:rsid w:val="00DB65D3"/>
    <w:rsid w:val="00DB66FA"/>
    <w:rsid w:val="00DB6C73"/>
    <w:rsid w:val="00DC044B"/>
    <w:rsid w:val="00DC099E"/>
    <w:rsid w:val="00DC1088"/>
    <w:rsid w:val="00DC16D0"/>
    <w:rsid w:val="00DC2160"/>
    <w:rsid w:val="00DC3534"/>
    <w:rsid w:val="00DC357A"/>
    <w:rsid w:val="00DC36C6"/>
    <w:rsid w:val="00DC3784"/>
    <w:rsid w:val="00DC38F3"/>
    <w:rsid w:val="00DC4A41"/>
    <w:rsid w:val="00DC4D1E"/>
    <w:rsid w:val="00DC4F6C"/>
    <w:rsid w:val="00DC511E"/>
    <w:rsid w:val="00DC58A2"/>
    <w:rsid w:val="00DC61FA"/>
    <w:rsid w:val="00DC6339"/>
    <w:rsid w:val="00DC6D8A"/>
    <w:rsid w:val="00DC7C73"/>
    <w:rsid w:val="00DD02C8"/>
    <w:rsid w:val="00DD07E2"/>
    <w:rsid w:val="00DD0940"/>
    <w:rsid w:val="00DD10F1"/>
    <w:rsid w:val="00DD12D9"/>
    <w:rsid w:val="00DD1A7A"/>
    <w:rsid w:val="00DD21AF"/>
    <w:rsid w:val="00DD35C6"/>
    <w:rsid w:val="00DD3909"/>
    <w:rsid w:val="00DD4990"/>
    <w:rsid w:val="00DD49B5"/>
    <w:rsid w:val="00DD6EAC"/>
    <w:rsid w:val="00DD77AD"/>
    <w:rsid w:val="00DD7811"/>
    <w:rsid w:val="00DD79B7"/>
    <w:rsid w:val="00DD7B34"/>
    <w:rsid w:val="00DE005C"/>
    <w:rsid w:val="00DE1A91"/>
    <w:rsid w:val="00DE1CAB"/>
    <w:rsid w:val="00DE2BC3"/>
    <w:rsid w:val="00DE3F20"/>
    <w:rsid w:val="00DE400C"/>
    <w:rsid w:val="00DE71C5"/>
    <w:rsid w:val="00DE790B"/>
    <w:rsid w:val="00DE7C29"/>
    <w:rsid w:val="00DE7CD4"/>
    <w:rsid w:val="00DF00CB"/>
    <w:rsid w:val="00DF0F55"/>
    <w:rsid w:val="00DF0FE2"/>
    <w:rsid w:val="00DF1106"/>
    <w:rsid w:val="00DF138B"/>
    <w:rsid w:val="00DF15D1"/>
    <w:rsid w:val="00DF1BA3"/>
    <w:rsid w:val="00DF1F72"/>
    <w:rsid w:val="00DF2003"/>
    <w:rsid w:val="00DF2A03"/>
    <w:rsid w:val="00DF308A"/>
    <w:rsid w:val="00DF3C8B"/>
    <w:rsid w:val="00DF4683"/>
    <w:rsid w:val="00DF4822"/>
    <w:rsid w:val="00DF4D99"/>
    <w:rsid w:val="00DF5199"/>
    <w:rsid w:val="00DF5730"/>
    <w:rsid w:val="00DF573B"/>
    <w:rsid w:val="00DF57E7"/>
    <w:rsid w:val="00DF5C86"/>
    <w:rsid w:val="00DF5CEA"/>
    <w:rsid w:val="00DF74CB"/>
    <w:rsid w:val="00DF765D"/>
    <w:rsid w:val="00DF776E"/>
    <w:rsid w:val="00DF789F"/>
    <w:rsid w:val="00DF7B43"/>
    <w:rsid w:val="00E00318"/>
    <w:rsid w:val="00E00E5E"/>
    <w:rsid w:val="00E00FDB"/>
    <w:rsid w:val="00E018E3"/>
    <w:rsid w:val="00E01B8D"/>
    <w:rsid w:val="00E02AA6"/>
    <w:rsid w:val="00E02CDB"/>
    <w:rsid w:val="00E02DD0"/>
    <w:rsid w:val="00E02DD6"/>
    <w:rsid w:val="00E035F4"/>
    <w:rsid w:val="00E0379E"/>
    <w:rsid w:val="00E03C08"/>
    <w:rsid w:val="00E03D03"/>
    <w:rsid w:val="00E03E2F"/>
    <w:rsid w:val="00E0499A"/>
    <w:rsid w:val="00E0518A"/>
    <w:rsid w:val="00E059AB"/>
    <w:rsid w:val="00E060A0"/>
    <w:rsid w:val="00E064C9"/>
    <w:rsid w:val="00E06C42"/>
    <w:rsid w:val="00E06C5F"/>
    <w:rsid w:val="00E06D8B"/>
    <w:rsid w:val="00E071E1"/>
    <w:rsid w:val="00E07445"/>
    <w:rsid w:val="00E0791E"/>
    <w:rsid w:val="00E07A45"/>
    <w:rsid w:val="00E10634"/>
    <w:rsid w:val="00E10E68"/>
    <w:rsid w:val="00E10F9B"/>
    <w:rsid w:val="00E1230D"/>
    <w:rsid w:val="00E1293D"/>
    <w:rsid w:val="00E12D6E"/>
    <w:rsid w:val="00E13FC5"/>
    <w:rsid w:val="00E14170"/>
    <w:rsid w:val="00E14456"/>
    <w:rsid w:val="00E14CE1"/>
    <w:rsid w:val="00E153C2"/>
    <w:rsid w:val="00E15B3F"/>
    <w:rsid w:val="00E163D7"/>
    <w:rsid w:val="00E21B84"/>
    <w:rsid w:val="00E222A4"/>
    <w:rsid w:val="00E2256C"/>
    <w:rsid w:val="00E247AA"/>
    <w:rsid w:val="00E25BA0"/>
    <w:rsid w:val="00E25EB0"/>
    <w:rsid w:val="00E26021"/>
    <w:rsid w:val="00E308AF"/>
    <w:rsid w:val="00E323C5"/>
    <w:rsid w:val="00E33CA3"/>
    <w:rsid w:val="00E34624"/>
    <w:rsid w:val="00E34867"/>
    <w:rsid w:val="00E350F1"/>
    <w:rsid w:val="00E36AA1"/>
    <w:rsid w:val="00E36DE5"/>
    <w:rsid w:val="00E370BA"/>
    <w:rsid w:val="00E37656"/>
    <w:rsid w:val="00E37A4F"/>
    <w:rsid w:val="00E37B4C"/>
    <w:rsid w:val="00E41515"/>
    <w:rsid w:val="00E41B9F"/>
    <w:rsid w:val="00E4239C"/>
    <w:rsid w:val="00E42550"/>
    <w:rsid w:val="00E4266B"/>
    <w:rsid w:val="00E42E5B"/>
    <w:rsid w:val="00E43C16"/>
    <w:rsid w:val="00E4487D"/>
    <w:rsid w:val="00E44940"/>
    <w:rsid w:val="00E45F07"/>
    <w:rsid w:val="00E46A8E"/>
    <w:rsid w:val="00E470FA"/>
    <w:rsid w:val="00E47DC7"/>
    <w:rsid w:val="00E50573"/>
    <w:rsid w:val="00E50CE8"/>
    <w:rsid w:val="00E51165"/>
    <w:rsid w:val="00E513F6"/>
    <w:rsid w:val="00E516DB"/>
    <w:rsid w:val="00E51D87"/>
    <w:rsid w:val="00E52C7C"/>
    <w:rsid w:val="00E5352C"/>
    <w:rsid w:val="00E53BB0"/>
    <w:rsid w:val="00E53E31"/>
    <w:rsid w:val="00E53FC3"/>
    <w:rsid w:val="00E54737"/>
    <w:rsid w:val="00E54C24"/>
    <w:rsid w:val="00E5518A"/>
    <w:rsid w:val="00E552F7"/>
    <w:rsid w:val="00E56DA8"/>
    <w:rsid w:val="00E56F58"/>
    <w:rsid w:val="00E5700F"/>
    <w:rsid w:val="00E570C0"/>
    <w:rsid w:val="00E60ED4"/>
    <w:rsid w:val="00E61DE0"/>
    <w:rsid w:val="00E623E6"/>
    <w:rsid w:val="00E62B4D"/>
    <w:rsid w:val="00E637FC"/>
    <w:rsid w:val="00E638C2"/>
    <w:rsid w:val="00E63A43"/>
    <w:rsid w:val="00E63F3D"/>
    <w:rsid w:val="00E64D52"/>
    <w:rsid w:val="00E64E89"/>
    <w:rsid w:val="00E65582"/>
    <w:rsid w:val="00E65A19"/>
    <w:rsid w:val="00E67335"/>
    <w:rsid w:val="00E67739"/>
    <w:rsid w:val="00E67EF9"/>
    <w:rsid w:val="00E71574"/>
    <w:rsid w:val="00E7170A"/>
    <w:rsid w:val="00E71B40"/>
    <w:rsid w:val="00E7241A"/>
    <w:rsid w:val="00E748DE"/>
    <w:rsid w:val="00E751F6"/>
    <w:rsid w:val="00E765EA"/>
    <w:rsid w:val="00E76FBA"/>
    <w:rsid w:val="00E770BC"/>
    <w:rsid w:val="00E803B9"/>
    <w:rsid w:val="00E820CC"/>
    <w:rsid w:val="00E8268F"/>
    <w:rsid w:val="00E82A92"/>
    <w:rsid w:val="00E83300"/>
    <w:rsid w:val="00E863C7"/>
    <w:rsid w:val="00E86890"/>
    <w:rsid w:val="00E878B9"/>
    <w:rsid w:val="00E8798C"/>
    <w:rsid w:val="00E904FC"/>
    <w:rsid w:val="00E91810"/>
    <w:rsid w:val="00E9230F"/>
    <w:rsid w:val="00E92405"/>
    <w:rsid w:val="00E92B3E"/>
    <w:rsid w:val="00E934FE"/>
    <w:rsid w:val="00E940F9"/>
    <w:rsid w:val="00E94764"/>
    <w:rsid w:val="00E958A8"/>
    <w:rsid w:val="00E95B0A"/>
    <w:rsid w:val="00E96DC6"/>
    <w:rsid w:val="00EA0387"/>
    <w:rsid w:val="00EA094E"/>
    <w:rsid w:val="00EA09EC"/>
    <w:rsid w:val="00EA0D09"/>
    <w:rsid w:val="00EA17CC"/>
    <w:rsid w:val="00EA1958"/>
    <w:rsid w:val="00EA2194"/>
    <w:rsid w:val="00EA23A6"/>
    <w:rsid w:val="00EA2B44"/>
    <w:rsid w:val="00EA2CB1"/>
    <w:rsid w:val="00EA360A"/>
    <w:rsid w:val="00EA3BEE"/>
    <w:rsid w:val="00EA4A33"/>
    <w:rsid w:val="00EA5036"/>
    <w:rsid w:val="00EA6B5B"/>
    <w:rsid w:val="00EA78F6"/>
    <w:rsid w:val="00EA7BE0"/>
    <w:rsid w:val="00EB02E0"/>
    <w:rsid w:val="00EB0E61"/>
    <w:rsid w:val="00EB11EF"/>
    <w:rsid w:val="00EB1F85"/>
    <w:rsid w:val="00EB3C7F"/>
    <w:rsid w:val="00EB4034"/>
    <w:rsid w:val="00EB5CB9"/>
    <w:rsid w:val="00EB5DC9"/>
    <w:rsid w:val="00EB712D"/>
    <w:rsid w:val="00EB7ED9"/>
    <w:rsid w:val="00EC00D0"/>
    <w:rsid w:val="00EC0D2D"/>
    <w:rsid w:val="00EC0D67"/>
    <w:rsid w:val="00EC1009"/>
    <w:rsid w:val="00EC1242"/>
    <w:rsid w:val="00EC15F6"/>
    <w:rsid w:val="00EC163C"/>
    <w:rsid w:val="00EC2543"/>
    <w:rsid w:val="00EC28D9"/>
    <w:rsid w:val="00EC296E"/>
    <w:rsid w:val="00EC341B"/>
    <w:rsid w:val="00EC3993"/>
    <w:rsid w:val="00EC403D"/>
    <w:rsid w:val="00EC448B"/>
    <w:rsid w:val="00EC4AA1"/>
    <w:rsid w:val="00EC4D6B"/>
    <w:rsid w:val="00EC63F4"/>
    <w:rsid w:val="00EC6877"/>
    <w:rsid w:val="00EC698A"/>
    <w:rsid w:val="00EC6CCF"/>
    <w:rsid w:val="00EC6CF9"/>
    <w:rsid w:val="00EC6DB6"/>
    <w:rsid w:val="00EC6E47"/>
    <w:rsid w:val="00EC6F3F"/>
    <w:rsid w:val="00EC7B30"/>
    <w:rsid w:val="00EC7F27"/>
    <w:rsid w:val="00ED0651"/>
    <w:rsid w:val="00ED0974"/>
    <w:rsid w:val="00ED13F0"/>
    <w:rsid w:val="00ED15B6"/>
    <w:rsid w:val="00ED2795"/>
    <w:rsid w:val="00ED27FC"/>
    <w:rsid w:val="00ED5354"/>
    <w:rsid w:val="00ED59B9"/>
    <w:rsid w:val="00ED5B4A"/>
    <w:rsid w:val="00ED6A6D"/>
    <w:rsid w:val="00ED6AB9"/>
    <w:rsid w:val="00ED6E7E"/>
    <w:rsid w:val="00ED73C5"/>
    <w:rsid w:val="00ED7623"/>
    <w:rsid w:val="00ED77D6"/>
    <w:rsid w:val="00EE07AF"/>
    <w:rsid w:val="00EE0BBD"/>
    <w:rsid w:val="00EE0CF4"/>
    <w:rsid w:val="00EE1000"/>
    <w:rsid w:val="00EE12FC"/>
    <w:rsid w:val="00EE24F5"/>
    <w:rsid w:val="00EE2B39"/>
    <w:rsid w:val="00EE2C51"/>
    <w:rsid w:val="00EE514B"/>
    <w:rsid w:val="00EE5390"/>
    <w:rsid w:val="00EE5C3B"/>
    <w:rsid w:val="00EE5E43"/>
    <w:rsid w:val="00EE6B9C"/>
    <w:rsid w:val="00EE7838"/>
    <w:rsid w:val="00EE7AAC"/>
    <w:rsid w:val="00EF04FA"/>
    <w:rsid w:val="00EF0BF0"/>
    <w:rsid w:val="00EF0F3A"/>
    <w:rsid w:val="00EF1224"/>
    <w:rsid w:val="00EF1DDB"/>
    <w:rsid w:val="00EF275F"/>
    <w:rsid w:val="00EF442D"/>
    <w:rsid w:val="00EF4973"/>
    <w:rsid w:val="00EF5680"/>
    <w:rsid w:val="00EF5E07"/>
    <w:rsid w:val="00EF5FD9"/>
    <w:rsid w:val="00EF667F"/>
    <w:rsid w:val="00F00024"/>
    <w:rsid w:val="00F00760"/>
    <w:rsid w:val="00F00A69"/>
    <w:rsid w:val="00F00B7E"/>
    <w:rsid w:val="00F011E2"/>
    <w:rsid w:val="00F0145F"/>
    <w:rsid w:val="00F02E90"/>
    <w:rsid w:val="00F0361F"/>
    <w:rsid w:val="00F036CF"/>
    <w:rsid w:val="00F03957"/>
    <w:rsid w:val="00F04E85"/>
    <w:rsid w:val="00F0635C"/>
    <w:rsid w:val="00F06B7F"/>
    <w:rsid w:val="00F06E80"/>
    <w:rsid w:val="00F07980"/>
    <w:rsid w:val="00F10872"/>
    <w:rsid w:val="00F1107B"/>
    <w:rsid w:val="00F117E4"/>
    <w:rsid w:val="00F117E6"/>
    <w:rsid w:val="00F11AB1"/>
    <w:rsid w:val="00F11E18"/>
    <w:rsid w:val="00F11E2C"/>
    <w:rsid w:val="00F11E68"/>
    <w:rsid w:val="00F120DE"/>
    <w:rsid w:val="00F12B40"/>
    <w:rsid w:val="00F12DCB"/>
    <w:rsid w:val="00F12F47"/>
    <w:rsid w:val="00F131AD"/>
    <w:rsid w:val="00F13EFB"/>
    <w:rsid w:val="00F140D7"/>
    <w:rsid w:val="00F14134"/>
    <w:rsid w:val="00F146C5"/>
    <w:rsid w:val="00F1590D"/>
    <w:rsid w:val="00F1592C"/>
    <w:rsid w:val="00F16C62"/>
    <w:rsid w:val="00F16F1D"/>
    <w:rsid w:val="00F171A6"/>
    <w:rsid w:val="00F17736"/>
    <w:rsid w:val="00F20CB1"/>
    <w:rsid w:val="00F2134D"/>
    <w:rsid w:val="00F2250F"/>
    <w:rsid w:val="00F22AD8"/>
    <w:rsid w:val="00F233AC"/>
    <w:rsid w:val="00F23BE9"/>
    <w:rsid w:val="00F23FDD"/>
    <w:rsid w:val="00F24CAC"/>
    <w:rsid w:val="00F2609E"/>
    <w:rsid w:val="00F263FB"/>
    <w:rsid w:val="00F27060"/>
    <w:rsid w:val="00F27139"/>
    <w:rsid w:val="00F2780B"/>
    <w:rsid w:val="00F27AFE"/>
    <w:rsid w:val="00F27D71"/>
    <w:rsid w:val="00F27E52"/>
    <w:rsid w:val="00F30469"/>
    <w:rsid w:val="00F304C5"/>
    <w:rsid w:val="00F31081"/>
    <w:rsid w:val="00F318D6"/>
    <w:rsid w:val="00F31BF5"/>
    <w:rsid w:val="00F320EC"/>
    <w:rsid w:val="00F3392D"/>
    <w:rsid w:val="00F33B31"/>
    <w:rsid w:val="00F35139"/>
    <w:rsid w:val="00F35EFC"/>
    <w:rsid w:val="00F368B7"/>
    <w:rsid w:val="00F4016B"/>
    <w:rsid w:val="00F402D8"/>
    <w:rsid w:val="00F4054B"/>
    <w:rsid w:val="00F45D38"/>
    <w:rsid w:val="00F45DD9"/>
    <w:rsid w:val="00F4602B"/>
    <w:rsid w:val="00F461FB"/>
    <w:rsid w:val="00F471CE"/>
    <w:rsid w:val="00F4743D"/>
    <w:rsid w:val="00F47A6F"/>
    <w:rsid w:val="00F50243"/>
    <w:rsid w:val="00F5121D"/>
    <w:rsid w:val="00F533EA"/>
    <w:rsid w:val="00F55375"/>
    <w:rsid w:val="00F553B9"/>
    <w:rsid w:val="00F555B1"/>
    <w:rsid w:val="00F5583D"/>
    <w:rsid w:val="00F55AD2"/>
    <w:rsid w:val="00F56D7B"/>
    <w:rsid w:val="00F56DC6"/>
    <w:rsid w:val="00F56E1A"/>
    <w:rsid w:val="00F57B83"/>
    <w:rsid w:val="00F6009A"/>
    <w:rsid w:val="00F61588"/>
    <w:rsid w:val="00F62693"/>
    <w:rsid w:val="00F6313F"/>
    <w:rsid w:val="00F639C1"/>
    <w:rsid w:val="00F63BF1"/>
    <w:rsid w:val="00F640F9"/>
    <w:rsid w:val="00F643AB"/>
    <w:rsid w:val="00F6446F"/>
    <w:rsid w:val="00F654BF"/>
    <w:rsid w:val="00F65614"/>
    <w:rsid w:val="00F65C6C"/>
    <w:rsid w:val="00F705D0"/>
    <w:rsid w:val="00F70BA2"/>
    <w:rsid w:val="00F71398"/>
    <w:rsid w:val="00F71CDA"/>
    <w:rsid w:val="00F71FE1"/>
    <w:rsid w:val="00F728CE"/>
    <w:rsid w:val="00F74896"/>
    <w:rsid w:val="00F74947"/>
    <w:rsid w:val="00F74D24"/>
    <w:rsid w:val="00F75076"/>
    <w:rsid w:val="00F750A7"/>
    <w:rsid w:val="00F752A7"/>
    <w:rsid w:val="00F75C10"/>
    <w:rsid w:val="00F76613"/>
    <w:rsid w:val="00F76F47"/>
    <w:rsid w:val="00F772D2"/>
    <w:rsid w:val="00F775FB"/>
    <w:rsid w:val="00F7765B"/>
    <w:rsid w:val="00F77A2A"/>
    <w:rsid w:val="00F77FEE"/>
    <w:rsid w:val="00F80053"/>
    <w:rsid w:val="00F800D7"/>
    <w:rsid w:val="00F807A8"/>
    <w:rsid w:val="00F80A35"/>
    <w:rsid w:val="00F80AD3"/>
    <w:rsid w:val="00F80FD7"/>
    <w:rsid w:val="00F8124E"/>
    <w:rsid w:val="00F813D3"/>
    <w:rsid w:val="00F83278"/>
    <w:rsid w:val="00F83B22"/>
    <w:rsid w:val="00F83B7C"/>
    <w:rsid w:val="00F84660"/>
    <w:rsid w:val="00F8466E"/>
    <w:rsid w:val="00F84777"/>
    <w:rsid w:val="00F84ED4"/>
    <w:rsid w:val="00F87373"/>
    <w:rsid w:val="00F87EC8"/>
    <w:rsid w:val="00F90B41"/>
    <w:rsid w:val="00F91DBE"/>
    <w:rsid w:val="00F92CAB"/>
    <w:rsid w:val="00F94F22"/>
    <w:rsid w:val="00F9593C"/>
    <w:rsid w:val="00F971BD"/>
    <w:rsid w:val="00F97D3D"/>
    <w:rsid w:val="00FA02F4"/>
    <w:rsid w:val="00FA0506"/>
    <w:rsid w:val="00FA09A0"/>
    <w:rsid w:val="00FA0A86"/>
    <w:rsid w:val="00FA0C3B"/>
    <w:rsid w:val="00FA2101"/>
    <w:rsid w:val="00FA36BA"/>
    <w:rsid w:val="00FA4351"/>
    <w:rsid w:val="00FA50B5"/>
    <w:rsid w:val="00FA51B1"/>
    <w:rsid w:val="00FA5367"/>
    <w:rsid w:val="00FA5ACE"/>
    <w:rsid w:val="00FA77B0"/>
    <w:rsid w:val="00FA7DD8"/>
    <w:rsid w:val="00FB0785"/>
    <w:rsid w:val="00FB1B71"/>
    <w:rsid w:val="00FB20C3"/>
    <w:rsid w:val="00FB26ED"/>
    <w:rsid w:val="00FB2AE3"/>
    <w:rsid w:val="00FB3811"/>
    <w:rsid w:val="00FB3BB0"/>
    <w:rsid w:val="00FB3D3E"/>
    <w:rsid w:val="00FB3D89"/>
    <w:rsid w:val="00FB5AAB"/>
    <w:rsid w:val="00FB608D"/>
    <w:rsid w:val="00FB7569"/>
    <w:rsid w:val="00FC0689"/>
    <w:rsid w:val="00FC0C70"/>
    <w:rsid w:val="00FC153D"/>
    <w:rsid w:val="00FC1CFE"/>
    <w:rsid w:val="00FC2523"/>
    <w:rsid w:val="00FC3B14"/>
    <w:rsid w:val="00FC3EA1"/>
    <w:rsid w:val="00FC4D47"/>
    <w:rsid w:val="00FC5BC0"/>
    <w:rsid w:val="00FC5F3B"/>
    <w:rsid w:val="00FC61B1"/>
    <w:rsid w:val="00FC693F"/>
    <w:rsid w:val="00FC7BE2"/>
    <w:rsid w:val="00FD0406"/>
    <w:rsid w:val="00FD13CB"/>
    <w:rsid w:val="00FD2004"/>
    <w:rsid w:val="00FD28B5"/>
    <w:rsid w:val="00FD2C80"/>
    <w:rsid w:val="00FD319A"/>
    <w:rsid w:val="00FD3563"/>
    <w:rsid w:val="00FD36D1"/>
    <w:rsid w:val="00FD451D"/>
    <w:rsid w:val="00FD5BDA"/>
    <w:rsid w:val="00FD6095"/>
    <w:rsid w:val="00FD6810"/>
    <w:rsid w:val="00FD70AA"/>
    <w:rsid w:val="00FD739A"/>
    <w:rsid w:val="00FE022E"/>
    <w:rsid w:val="00FE0B70"/>
    <w:rsid w:val="00FE0BC2"/>
    <w:rsid w:val="00FE0FCA"/>
    <w:rsid w:val="00FE1D31"/>
    <w:rsid w:val="00FE43B3"/>
    <w:rsid w:val="00FE44E0"/>
    <w:rsid w:val="00FE6AEF"/>
    <w:rsid w:val="00FE745C"/>
    <w:rsid w:val="00FF0189"/>
    <w:rsid w:val="00FF0246"/>
    <w:rsid w:val="00FF13FB"/>
    <w:rsid w:val="00FF1FE1"/>
    <w:rsid w:val="00FF2675"/>
    <w:rsid w:val="00FF2828"/>
    <w:rsid w:val="00FF3AEB"/>
    <w:rsid w:val="00FF4781"/>
    <w:rsid w:val="00FF4947"/>
    <w:rsid w:val="00FF4ADA"/>
    <w:rsid w:val="00FF4C5E"/>
    <w:rsid w:val="00FF4D76"/>
    <w:rsid w:val="00FF4F4C"/>
    <w:rsid w:val="00FF5E10"/>
    <w:rsid w:val="00FF60D8"/>
    <w:rsid w:val="00FF7AD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1C7D9E3A-2E27-4CA9-ADEA-EA45FCDC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CA6"/>
    <w:pPr>
      <w:spacing w:after="160" w:line="259"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uiPriority w:val="9"/>
    <w:qFormat/>
    <w:rsid w:val="0026203C"/>
    <w:pPr>
      <w:keepNext/>
      <w:keepLines/>
      <w:numPr>
        <w:numId w:val="16"/>
      </w:numPr>
      <w:spacing w:before="240" w:after="0"/>
      <w:outlineLvl w:val="0"/>
    </w:pPr>
    <w:rPr>
      <w:rFonts w:eastAsiaTheme="majorEastAsia" w:cstheme="majorBidi"/>
      <w:sz w:val="24"/>
      <w:szCs w:val="32"/>
    </w:rPr>
  </w:style>
  <w:style w:type="paragraph" w:styleId="Heading2">
    <w:name w:val="heading 2"/>
    <w:basedOn w:val="Heading1"/>
    <w:next w:val="Normal"/>
    <w:link w:val="Heading2Char"/>
    <w:autoRedefine/>
    <w:uiPriority w:val="9"/>
    <w:unhideWhenUsed/>
    <w:qFormat/>
    <w:rsid w:val="006560C7"/>
    <w:pPr>
      <w:numPr>
        <w:numId w:val="0"/>
      </w:numPr>
      <w:spacing w:before="40" w:line="480" w:lineRule="auto"/>
      <w:ind w:left="431" w:hanging="431"/>
      <w:outlineLvl w:val="1"/>
    </w:pPr>
    <w:rPr>
      <w:rFonts w:ascii="Times New Roman" w:eastAsia="Calibri" w:hAnsi="Times New Roman" w:cs="Times New Roman"/>
      <w:b/>
      <w:bCs/>
      <w:szCs w:val="24"/>
      <w:lang w:val="en-GB"/>
    </w:rPr>
  </w:style>
  <w:style w:type="paragraph" w:styleId="Heading3">
    <w:name w:val="heading 3"/>
    <w:basedOn w:val="Normal"/>
    <w:next w:val="Normal"/>
    <w:link w:val="Heading3Char"/>
    <w:uiPriority w:val="9"/>
    <w:unhideWhenUsed/>
    <w:qFormat/>
    <w:rsid w:val="0026203C"/>
    <w:pPr>
      <w:keepNext/>
      <w:keepLines/>
      <w:numPr>
        <w:ilvl w:val="2"/>
        <w:numId w:val="16"/>
      </w:numPr>
      <w:spacing w:before="40" w:after="0" w:line="240" w:lineRule="auto"/>
      <w:outlineLvl w:val="2"/>
    </w:pPr>
    <w:rPr>
      <w:rFonts w:asciiTheme="majorHAnsi" w:eastAsiaTheme="majorEastAsia" w:hAnsiTheme="majorHAnsi" w:cstheme="majorBidi"/>
      <w:color w:val="243F60" w:themeColor="accent1" w:themeShade="7F"/>
      <w:sz w:val="24"/>
      <w:szCs w:val="24"/>
      <w:lang w:val="de-DE" w:eastAsia="de-DE"/>
    </w:rPr>
  </w:style>
  <w:style w:type="paragraph" w:styleId="Heading4">
    <w:name w:val="heading 4"/>
    <w:basedOn w:val="Normal"/>
    <w:qFormat/>
    <w:pPr>
      <w:outlineLvl w:val="3"/>
    </w:pPr>
  </w:style>
  <w:style w:type="paragraph" w:styleId="Heading5">
    <w:name w:val="heading 5"/>
    <w:basedOn w:val="Normal"/>
    <w:qFormat/>
    <w:pPr>
      <w:outlineLvl w:val="4"/>
    </w:pPr>
  </w:style>
  <w:style w:type="paragraph" w:styleId="Heading6">
    <w:name w:val="heading 6"/>
    <w:basedOn w:val="Normal"/>
    <w:qFormat/>
    <w:pPr>
      <w:outlineLvl w:val="5"/>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
    <w:name w:val="Figure"/>
    <w:basedOn w:val="Normal"/>
    <w:qFormat/>
    <w:rPr>
      <w:rFonts w:ascii="Calibri" w:eastAsia="Times New Roman" w:hAnsi="Calibri" w:cs="Times New Roman"/>
      <w:szCs w:val="20"/>
      <w:lang w:val="en-GB" w:eastAsia="en-GB"/>
    </w:rPr>
  </w:style>
  <w:style w:type="paragraph" w:customStyle="1" w:styleId="FiguresSection">
    <w:name w:val="Figures Section"/>
    <w:basedOn w:val="Heading1"/>
    <w:qFormat/>
  </w:style>
  <w:style w:type="paragraph" w:styleId="Title">
    <w:name w:val="Title"/>
    <w:basedOn w:val="Normal"/>
    <w:qFormat/>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styleId="Header">
    <w:name w:val="header"/>
    <w:basedOn w:val="Normal"/>
    <w:link w:val="HeaderChar"/>
    <w:uiPriority w:val="99"/>
    <w:unhideWhenUsed/>
    <w:rsid w:val="00517763"/>
    <w:pPr>
      <w:tabs>
        <w:tab w:val="center" w:pos="4680"/>
        <w:tab w:val="right" w:pos="9360"/>
      </w:tabs>
      <w:spacing w:after="0" w:line="240" w:lineRule="auto"/>
    </w:pPr>
    <w:rPr>
      <w:rFonts w:ascii="Times New Roman" w:hAnsi="Times New Roman" w:cs="Calibri"/>
      <w:sz w:val="24"/>
    </w:rPr>
  </w:style>
  <w:style w:type="paragraph" w:styleId="Footer">
    <w:name w:val="footer"/>
    <w:basedOn w:val="Normal"/>
    <w:link w:val="FooterChar"/>
    <w:uiPriority w:val="99"/>
    <w:unhideWhenUsed/>
    <w:rsid w:val="00517763"/>
    <w:pPr>
      <w:tabs>
        <w:tab w:val="center" w:pos="4680"/>
        <w:tab w:val="right" w:pos="9360"/>
      </w:tabs>
      <w:spacing w:after="0" w:line="240" w:lineRule="auto"/>
    </w:pPr>
    <w:rPr>
      <w:rFonts w:ascii="Times New Roman" w:hAnsi="Times New Roman" w:cs="Calibri"/>
      <w:sz w:val="24"/>
    </w:rPr>
  </w:style>
  <w:style w:type="paragraph" w:styleId="ListParagraph">
    <w:name w:val="List Paragraph"/>
    <w:basedOn w:val="Normal"/>
    <w:uiPriority w:val="34"/>
    <w:qFormat/>
    <w:pPr>
      <w:ind w:left="720"/>
      <w:contextualSpacing/>
    </w:pPr>
    <w:rPr>
      <w:rFonts w:ascii="Calibri" w:hAnsi="Calibri"/>
    </w:rPr>
  </w:style>
  <w:style w:type="paragraph" w:styleId="CommentText">
    <w:name w:val="annotation text"/>
    <w:basedOn w:val="Normal"/>
    <w:link w:val="CommentTextChar"/>
    <w:unhideWhenUsed/>
    <w:rsid w:val="00387B0B"/>
    <w:pPr>
      <w:spacing w:line="240" w:lineRule="auto"/>
    </w:pPr>
    <w:rPr>
      <w:sz w:val="20"/>
      <w:szCs w:val="20"/>
    </w:rPr>
  </w:style>
  <w:style w:type="paragraph" w:styleId="Caption">
    <w:name w:val="caption"/>
    <w:basedOn w:val="Normal"/>
    <w:next w:val="Normal"/>
    <w:unhideWhenUsed/>
    <w:qFormat/>
    <w:rsid w:val="00052A93"/>
    <w:pPr>
      <w:spacing w:after="200" w:line="240" w:lineRule="auto"/>
    </w:pPr>
    <w:rPr>
      <w:i/>
      <w:iCs/>
      <w:color w:val="1F497D" w:themeColor="text2"/>
      <w:sz w:val="18"/>
      <w:szCs w:val="18"/>
    </w:rPr>
  </w:style>
  <w:style w:type="paragraph" w:customStyle="1" w:styleId="Default">
    <w:name w:val="Default"/>
    <w:rsid w:val="003552EF"/>
    <w:pPr>
      <w:autoSpaceDE w:val="0"/>
      <w:autoSpaceDN w:val="0"/>
      <w:adjustRightInd w:val="0"/>
    </w:pPr>
    <w:rPr>
      <w:rFonts w:ascii="Calibri" w:eastAsiaTheme="minorHAnsi" w:hAnsi="Calibri" w:cs="Calibri"/>
      <w:color w:val="000000"/>
      <w:sz w:val="24"/>
      <w:szCs w:val="24"/>
      <w:lang w:val="en-US" w:eastAsia="en-US"/>
    </w:rPr>
  </w:style>
  <w:style w:type="paragraph" w:styleId="Revision">
    <w:name w:val="Revision"/>
    <w:hidden/>
    <w:uiPriority w:val="99"/>
    <w:semiHidden/>
    <w:rsid w:val="004D05BE"/>
    <w:rPr>
      <w:rFonts w:asciiTheme="minorHAnsi" w:eastAsiaTheme="minorHAnsi" w:hAnsiTheme="minorHAnsi" w:cstheme="minorBidi"/>
      <w:sz w:val="22"/>
      <w:szCs w:val="22"/>
      <w:lang w:val="en-US" w:eastAsia="en-US"/>
    </w:rPr>
  </w:style>
  <w:style w:type="paragraph" w:customStyle="1" w:styleId="EndNoteBibliographyTitle">
    <w:name w:val="EndNote Bibliography Title"/>
    <w:basedOn w:val="Normal"/>
    <w:link w:val="EndNoteBibliographyTitleChar"/>
    <w:rsid w:val="00FC3B14"/>
    <w:pPr>
      <w:spacing w:after="0"/>
      <w:jc w:val="center"/>
    </w:pPr>
    <w:rPr>
      <w:rFonts w:ascii="Times New Roman" w:hAnsi="Times New Roman" w:cs="Times New Roman"/>
      <w:noProof/>
      <w:sz w:val="24"/>
    </w:rPr>
  </w:style>
  <w:style w:type="paragraph" w:customStyle="1" w:styleId="EndNoteBibliography">
    <w:name w:val="EndNote Bibliography"/>
    <w:basedOn w:val="Normal"/>
    <w:link w:val="EndNoteBibliographyChar"/>
    <w:qFormat/>
    <w:rsid w:val="00FC3B14"/>
    <w:pPr>
      <w:spacing w:line="240" w:lineRule="auto"/>
    </w:pPr>
    <w:rPr>
      <w:rFonts w:ascii="Times New Roman" w:hAnsi="Times New Roman" w:cs="Times New Roman"/>
      <w:noProof/>
      <w:sz w:val="24"/>
    </w:rPr>
  </w:style>
  <w:style w:type="paragraph" w:customStyle="1" w:styleId="Figure1">
    <w:name w:val="Figure (1)"/>
    <w:basedOn w:val="Normal"/>
    <w:qFormat/>
    <w:rPr>
      <w:rFonts w:ascii="Calibri" w:hAnsi="Calibri"/>
    </w:rPr>
  </w:style>
  <w:style w:type="paragraph" w:customStyle="1" w:styleId="TableParagraph">
    <w:name w:val="Table Paragraph"/>
    <w:basedOn w:val="Normal"/>
    <w:uiPriority w:val="1"/>
    <w:qFormat/>
    <w:rsid w:val="00DD4990"/>
    <w:pPr>
      <w:widowControl w:val="0"/>
      <w:autoSpaceDE w:val="0"/>
      <w:autoSpaceDN w:val="0"/>
      <w:spacing w:after="0" w:line="210" w:lineRule="exact"/>
      <w:jc w:val="center"/>
    </w:pPr>
    <w:rPr>
      <w:rFonts w:ascii="Times New Roman" w:eastAsia="Times New Roman" w:hAnsi="Times New Roman" w:cs="Times New Roman"/>
    </w:rPr>
  </w:style>
  <w:style w:type="character" w:styleId="CommentReference">
    <w:name w:val="annotation reference"/>
    <w:basedOn w:val="DefaultParagraphFont"/>
    <w:semiHidden/>
    <w:unhideWhenUsed/>
    <w:rPr>
      <w:sz w:val="16"/>
      <w:szCs w:val="16"/>
    </w:rPr>
  </w:style>
  <w:style w:type="character" w:styleId="LineNumber">
    <w:name w:val="line number"/>
    <w:basedOn w:val="DefaultParagraphFont"/>
    <w:uiPriority w:val="99"/>
    <w:semiHidden/>
    <w:unhideWhenUsed/>
    <w:rsid w:val="00D109D4"/>
  </w:style>
  <w:style w:type="character" w:customStyle="1" w:styleId="HeaderChar">
    <w:name w:val="Header Char"/>
    <w:basedOn w:val="DefaultParagraphFont"/>
    <w:link w:val="Header"/>
    <w:uiPriority w:val="99"/>
    <w:rsid w:val="00EB11EF"/>
    <w:rPr>
      <w:rFonts w:eastAsiaTheme="minorHAnsi" w:cs="Calibri"/>
      <w:sz w:val="24"/>
      <w:szCs w:val="22"/>
      <w:lang w:val="en-US" w:eastAsia="en-US"/>
    </w:rPr>
  </w:style>
  <w:style w:type="character" w:customStyle="1" w:styleId="FooterChar">
    <w:name w:val="Footer Char"/>
    <w:basedOn w:val="DefaultParagraphFont"/>
    <w:link w:val="Footer"/>
    <w:uiPriority w:val="99"/>
    <w:rsid w:val="00EB11EF"/>
    <w:rPr>
      <w:rFonts w:eastAsiaTheme="minorHAnsi" w:cs="Calibri"/>
      <w:sz w:val="24"/>
      <w:szCs w:val="22"/>
      <w:lang w:val="en-US" w:eastAsia="en-US"/>
    </w:rPr>
  </w:style>
  <w:style w:type="character" w:styleId="Hyperlink">
    <w:name w:val="Hyperlink"/>
    <w:basedOn w:val="DefaultParagraphFont"/>
    <w:uiPriority w:val="99"/>
    <w:unhideWhenUsed/>
    <w:rsid w:val="00EB11EF"/>
    <w:rPr>
      <w:color w:val="0000FF" w:themeColor="hyperlink"/>
      <w:u w:val="single"/>
    </w:rPr>
  </w:style>
  <w:style w:type="character" w:customStyle="1" w:styleId="CommentTextChar">
    <w:name w:val="Comment Text Char"/>
    <w:basedOn w:val="DefaultParagraphFont"/>
    <w:link w:val="CommentText"/>
    <w:rsid w:val="00EB11EF"/>
    <w:rPr>
      <w:rFonts w:asciiTheme="minorHAnsi" w:eastAsiaTheme="minorHAnsi" w:hAnsiTheme="minorHAnsi" w:cstheme="minorBidi"/>
      <w:lang w:val="en-US" w:eastAsia="en-US"/>
    </w:rPr>
  </w:style>
  <w:style w:type="table" w:customStyle="1" w:styleId="TableGrid1">
    <w:name w:val="Table Grid1"/>
    <w:basedOn w:val="TableNormal"/>
    <w:next w:val="TableGrid"/>
    <w:uiPriority w:val="39"/>
    <w:rsid w:val="00EB11EF"/>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EB11EF"/>
    <w:rPr>
      <w:rFonts w:eastAsiaTheme="minorHAnsi" w:cs="Calibri"/>
      <w:sz w:val="24"/>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2D518A"/>
    <w:rPr>
      <w:b/>
      <w:bCs/>
    </w:rPr>
  </w:style>
  <w:style w:type="character" w:customStyle="1" w:styleId="CommentTextChar1">
    <w:name w:val="Comment Text Char1"/>
    <w:basedOn w:val="DefaultParagraphFont"/>
    <w:rsid w:val="00EB11EF"/>
    <w:rPr>
      <w:rFonts w:ascii="Calibri" w:hAnsi="Calibri"/>
    </w:rPr>
  </w:style>
  <w:style w:type="character" w:customStyle="1" w:styleId="CommentSubjectChar">
    <w:name w:val="Comment Subject Char"/>
    <w:basedOn w:val="CommentTextChar1"/>
    <w:link w:val="CommentSubject"/>
    <w:uiPriority w:val="99"/>
    <w:semiHidden/>
    <w:rsid w:val="00EB11EF"/>
    <w:rPr>
      <w:rFonts w:asciiTheme="minorHAnsi" w:eastAsiaTheme="minorHAnsi" w:hAnsiTheme="minorHAnsi" w:cstheme="minorBidi"/>
      <w:b/>
      <w:bCs/>
      <w:lang w:val="en-US" w:eastAsia="en-US"/>
    </w:rPr>
  </w:style>
  <w:style w:type="character" w:customStyle="1" w:styleId="Heading1Char">
    <w:name w:val="Heading 1 Char"/>
    <w:basedOn w:val="DefaultParagraphFont"/>
    <w:link w:val="Heading1"/>
    <w:uiPriority w:val="9"/>
    <w:rsid w:val="00EB11EF"/>
    <w:rPr>
      <w:rFonts w:asciiTheme="minorHAnsi" w:eastAsiaTheme="majorEastAsia" w:hAnsiTheme="minorHAnsi" w:cstheme="majorBidi"/>
      <w:sz w:val="24"/>
      <w:szCs w:val="32"/>
      <w:lang w:val="en-US" w:eastAsia="en-US"/>
    </w:rPr>
  </w:style>
  <w:style w:type="character" w:customStyle="1" w:styleId="Heading2Char">
    <w:name w:val="Heading 2 Char"/>
    <w:basedOn w:val="DefaultParagraphFont"/>
    <w:link w:val="Heading2"/>
    <w:uiPriority w:val="9"/>
    <w:rsid w:val="00B7093F"/>
    <w:rPr>
      <w:rFonts w:eastAsia="Calibri"/>
      <w:b/>
      <w:bCs/>
      <w:sz w:val="24"/>
      <w:szCs w:val="24"/>
      <w:lang w:eastAsia="en-US"/>
    </w:rPr>
  </w:style>
  <w:style w:type="character" w:customStyle="1" w:styleId="Heading3Char">
    <w:name w:val="Heading 3 Char"/>
    <w:basedOn w:val="DefaultParagraphFont"/>
    <w:link w:val="Heading3"/>
    <w:uiPriority w:val="9"/>
    <w:rsid w:val="00EB11EF"/>
    <w:rPr>
      <w:rFonts w:asciiTheme="majorHAnsi" w:eastAsiaTheme="majorEastAsia" w:hAnsiTheme="majorHAnsi" w:cstheme="majorBidi"/>
      <w:color w:val="243F60" w:themeColor="accent1" w:themeShade="7F"/>
      <w:sz w:val="24"/>
      <w:szCs w:val="24"/>
      <w:lang w:val="de-DE" w:eastAsia="de-DE"/>
    </w:rPr>
  </w:style>
  <w:style w:type="paragraph" w:styleId="BalloonText">
    <w:name w:val="Balloon Text"/>
    <w:basedOn w:val="Normal"/>
    <w:link w:val="BalloonTextChar"/>
    <w:uiPriority w:val="99"/>
    <w:semiHidden/>
    <w:unhideWhenUsed/>
    <w:rsid w:val="00EB11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1EF"/>
    <w:rPr>
      <w:rFonts w:ascii="Segoe UI" w:eastAsiaTheme="minorHAnsi" w:hAnsi="Segoe UI" w:cs="Segoe UI"/>
      <w:sz w:val="18"/>
      <w:szCs w:val="18"/>
      <w:lang w:val="en-US" w:eastAsia="en-US"/>
    </w:rPr>
  </w:style>
  <w:style w:type="character" w:styleId="UnresolvedMention">
    <w:name w:val="Unresolved Mention"/>
    <w:basedOn w:val="DefaultParagraphFont"/>
    <w:uiPriority w:val="99"/>
    <w:semiHidden/>
    <w:unhideWhenUsed/>
    <w:rsid w:val="00EB11EF"/>
    <w:rPr>
      <w:color w:val="605E5C"/>
      <w:shd w:val="clear" w:color="auto" w:fill="E1DFDD"/>
    </w:rPr>
  </w:style>
  <w:style w:type="character" w:customStyle="1" w:styleId="EndNoteBibliographyTitleChar">
    <w:name w:val="EndNote Bibliography Title Char"/>
    <w:basedOn w:val="DefaultParagraphFont"/>
    <w:link w:val="EndNoteBibliographyTitle"/>
    <w:rsid w:val="00EB11EF"/>
    <w:rPr>
      <w:rFonts w:eastAsiaTheme="minorHAnsi"/>
      <w:noProof/>
      <w:sz w:val="24"/>
      <w:szCs w:val="22"/>
      <w:lang w:val="en-US" w:eastAsia="en-US"/>
    </w:rPr>
  </w:style>
  <w:style w:type="character" w:customStyle="1" w:styleId="EndNoteBibliographyChar">
    <w:name w:val="EndNote Bibliography Char"/>
    <w:basedOn w:val="DefaultParagraphFont"/>
    <w:link w:val="EndNoteBibliography"/>
    <w:rsid w:val="00EB11EF"/>
    <w:rPr>
      <w:rFonts w:eastAsiaTheme="minorHAnsi"/>
      <w:noProof/>
      <w:sz w:val="24"/>
      <w:szCs w:val="22"/>
      <w:lang w:val="en-US" w:eastAsia="en-US"/>
    </w:rPr>
  </w:style>
  <w:style w:type="character" w:styleId="FollowedHyperlink">
    <w:name w:val="FollowedHyperlink"/>
    <w:basedOn w:val="DefaultParagraphFont"/>
    <w:uiPriority w:val="99"/>
    <w:semiHidden/>
    <w:unhideWhenUsed/>
    <w:rsid w:val="00EB11EF"/>
    <w:rPr>
      <w:color w:val="800080" w:themeColor="followedHyperlink"/>
      <w:u w:val="single"/>
    </w:rPr>
  </w:style>
  <w:style w:type="character" w:styleId="Emphasis">
    <w:name w:val="Emphasis"/>
    <w:basedOn w:val="DefaultParagraphFont"/>
    <w:uiPriority w:val="20"/>
    <w:qFormat/>
    <w:rsid w:val="00EB11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267762">
      <w:bodyDiv w:val="1"/>
      <w:marLeft w:val="0"/>
      <w:marRight w:val="0"/>
      <w:marTop w:val="0"/>
      <w:marBottom w:val="0"/>
      <w:divBdr>
        <w:top w:val="none" w:sz="0" w:space="0" w:color="auto"/>
        <w:left w:val="none" w:sz="0" w:space="0" w:color="auto"/>
        <w:bottom w:val="none" w:sz="0" w:space="0" w:color="auto"/>
        <w:right w:val="none" w:sz="0" w:space="0" w:color="auto"/>
      </w:divBdr>
    </w:div>
    <w:div w:id="719280164">
      <w:bodyDiv w:val="1"/>
      <w:marLeft w:val="0"/>
      <w:marRight w:val="0"/>
      <w:marTop w:val="0"/>
      <w:marBottom w:val="0"/>
      <w:divBdr>
        <w:top w:val="none" w:sz="0" w:space="0" w:color="auto"/>
        <w:left w:val="none" w:sz="0" w:space="0" w:color="auto"/>
        <w:bottom w:val="none" w:sz="0" w:space="0" w:color="auto"/>
        <w:right w:val="none" w:sz="0" w:space="0" w:color="auto"/>
      </w:divBdr>
    </w:div>
    <w:div w:id="748232043">
      <w:bodyDiv w:val="1"/>
      <w:marLeft w:val="0"/>
      <w:marRight w:val="0"/>
      <w:marTop w:val="0"/>
      <w:marBottom w:val="0"/>
      <w:divBdr>
        <w:top w:val="none" w:sz="0" w:space="0" w:color="auto"/>
        <w:left w:val="none" w:sz="0" w:space="0" w:color="auto"/>
        <w:bottom w:val="none" w:sz="0" w:space="0" w:color="auto"/>
        <w:right w:val="none" w:sz="0" w:space="0" w:color="auto"/>
      </w:divBdr>
    </w:div>
    <w:div w:id="768504453">
      <w:bodyDiv w:val="1"/>
      <w:marLeft w:val="0"/>
      <w:marRight w:val="0"/>
      <w:marTop w:val="0"/>
      <w:marBottom w:val="0"/>
      <w:divBdr>
        <w:top w:val="none" w:sz="0" w:space="0" w:color="auto"/>
        <w:left w:val="none" w:sz="0" w:space="0" w:color="auto"/>
        <w:bottom w:val="none" w:sz="0" w:space="0" w:color="auto"/>
        <w:right w:val="none" w:sz="0" w:space="0" w:color="auto"/>
      </w:divBdr>
    </w:div>
    <w:div w:id="910382103">
      <w:bodyDiv w:val="1"/>
      <w:marLeft w:val="0"/>
      <w:marRight w:val="0"/>
      <w:marTop w:val="0"/>
      <w:marBottom w:val="0"/>
      <w:divBdr>
        <w:top w:val="none" w:sz="0" w:space="0" w:color="auto"/>
        <w:left w:val="none" w:sz="0" w:space="0" w:color="auto"/>
        <w:bottom w:val="none" w:sz="0" w:space="0" w:color="auto"/>
        <w:right w:val="none" w:sz="0" w:space="0" w:color="auto"/>
      </w:divBdr>
    </w:div>
    <w:div w:id="956446076">
      <w:bodyDiv w:val="1"/>
      <w:marLeft w:val="0"/>
      <w:marRight w:val="0"/>
      <w:marTop w:val="0"/>
      <w:marBottom w:val="0"/>
      <w:divBdr>
        <w:top w:val="none" w:sz="0" w:space="0" w:color="auto"/>
        <w:left w:val="none" w:sz="0" w:space="0" w:color="auto"/>
        <w:bottom w:val="none" w:sz="0" w:space="0" w:color="auto"/>
        <w:right w:val="none" w:sz="0" w:space="0" w:color="auto"/>
      </w:divBdr>
    </w:div>
    <w:div w:id="972751182">
      <w:bodyDiv w:val="1"/>
      <w:marLeft w:val="0"/>
      <w:marRight w:val="0"/>
      <w:marTop w:val="0"/>
      <w:marBottom w:val="0"/>
      <w:divBdr>
        <w:top w:val="none" w:sz="0" w:space="0" w:color="auto"/>
        <w:left w:val="none" w:sz="0" w:space="0" w:color="auto"/>
        <w:bottom w:val="none" w:sz="0" w:space="0" w:color="auto"/>
        <w:right w:val="none" w:sz="0" w:space="0" w:color="auto"/>
      </w:divBdr>
    </w:div>
    <w:div w:id="1144085446">
      <w:bodyDiv w:val="1"/>
      <w:marLeft w:val="0"/>
      <w:marRight w:val="0"/>
      <w:marTop w:val="0"/>
      <w:marBottom w:val="0"/>
      <w:divBdr>
        <w:top w:val="none" w:sz="0" w:space="0" w:color="auto"/>
        <w:left w:val="none" w:sz="0" w:space="0" w:color="auto"/>
        <w:bottom w:val="none" w:sz="0" w:space="0" w:color="auto"/>
        <w:right w:val="none" w:sz="0" w:space="0" w:color="auto"/>
      </w:divBdr>
    </w:div>
    <w:div w:id="1209995493">
      <w:bodyDiv w:val="1"/>
      <w:marLeft w:val="0"/>
      <w:marRight w:val="0"/>
      <w:marTop w:val="0"/>
      <w:marBottom w:val="0"/>
      <w:divBdr>
        <w:top w:val="none" w:sz="0" w:space="0" w:color="auto"/>
        <w:left w:val="none" w:sz="0" w:space="0" w:color="auto"/>
        <w:bottom w:val="none" w:sz="0" w:space="0" w:color="auto"/>
        <w:right w:val="none" w:sz="0" w:space="0" w:color="auto"/>
      </w:divBdr>
      <w:divsChild>
        <w:div w:id="761292115">
          <w:marLeft w:val="0"/>
          <w:marRight w:val="0"/>
          <w:marTop w:val="0"/>
          <w:marBottom w:val="0"/>
          <w:divBdr>
            <w:top w:val="none" w:sz="0" w:space="0" w:color="auto"/>
            <w:left w:val="none" w:sz="0" w:space="0" w:color="auto"/>
            <w:bottom w:val="none" w:sz="0" w:space="0" w:color="auto"/>
            <w:right w:val="none" w:sz="0" w:space="0" w:color="auto"/>
          </w:divBdr>
        </w:div>
      </w:divsChild>
    </w:div>
    <w:div w:id="1259559885">
      <w:bodyDiv w:val="1"/>
      <w:marLeft w:val="0"/>
      <w:marRight w:val="0"/>
      <w:marTop w:val="0"/>
      <w:marBottom w:val="0"/>
      <w:divBdr>
        <w:top w:val="none" w:sz="0" w:space="0" w:color="auto"/>
        <w:left w:val="none" w:sz="0" w:space="0" w:color="auto"/>
        <w:bottom w:val="none" w:sz="0" w:space="0" w:color="auto"/>
        <w:right w:val="none" w:sz="0" w:space="0" w:color="auto"/>
      </w:divBdr>
    </w:div>
    <w:div w:id="1465350639">
      <w:bodyDiv w:val="1"/>
      <w:marLeft w:val="0"/>
      <w:marRight w:val="0"/>
      <w:marTop w:val="0"/>
      <w:marBottom w:val="0"/>
      <w:divBdr>
        <w:top w:val="none" w:sz="0" w:space="0" w:color="auto"/>
        <w:left w:val="none" w:sz="0" w:space="0" w:color="auto"/>
        <w:bottom w:val="none" w:sz="0" w:space="0" w:color="auto"/>
        <w:right w:val="none" w:sz="0" w:space="0" w:color="auto"/>
      </w:divBdr>
    </w:div>
    <w:div w:id="1824271638">
      <w:bodyDiv w:val="1"/>
      <w:marLeft w:val="0"/>
      <w:marRight w:val="0"/>
      <w:marTop w:val="0"/>
      <w:marBottom w:val="0"/>
      <w:divBdr>
        <w:top w:val="none" w:sz="0" w:space="0" w:color="auto"/>
        <w:left w:val="none" w:sz="0" w:space="0" w:color="auto"/>
        <w:bottom w:val="none" w:sz="0" w:space="0" w:color="auto"/>
        <w:right w:val="none" w:sz="0" w:space="0" w:color="auto"/>
      </w:divBdr>
    </w:div>
    <w:div w:id="2051689041">
      <w:bodyDiv w:val="1"/>
      <w:marLeft w:val="0"/>
      <w:marRight w:val="0"/>
      <w:marTop w:val="0"/>
      <w:marBottom w:val="0"/>
      <w:divBdr>
        <w:top w:val="none" w:sz="0" w:space="0" w:color="auto"/>
        <w:left w:val="none" w:sz="0" w:space="0" w:color="auto"/>
        <w:bottom w:val="none" w:sz="0" w:space="0" w:color="auto"/>
        <w:right w:val="none" w:sz="0" w:space="0" w:color="auto"/>
      </w:divBdr>
    </w:div>
    <w:div w:id="2101094677">
      <w:bodyDiv w:val="1"/>
      <w:marLeft w:val="0"/>
      <w:marRight w:val="0"/>
      <w:marTop w:val="0"/>
      <w:marBottom w:val="0"/>
      <w:divBdr>
        <w:top w:val="none" w:sz="0" w:space="0" w:color="auto"/>
        <w:left w:val="none" w:sz="0" w:space="0" w:color="auto"/>
        <w:bottom w:val="none" w:sz="0" w:space="0" w:color="auto"/>
        <w:right w:val="none" w:sz="0" w:space="0" w:color="auto"/>
      </w:divBdr>
      <w:divsChild>
        <w:div w:id="1468206107">
          <w:marLeft w:val="547"/>
          <w:marRight w:val="0"/>
          <w:marTop w:val="115"/>
          <w:marBottom w:val="0"/>
          <w:divBdr>
            <w:top w:val="none" w:sz="0" w:space="0" w:color="auto"/>
            <w:left w:val="none" w:sz="0" w:space="0" w:color="auto"/>
            <w:bottom w:val="none" w:sz="0" w:space="0" w:color="auto"/>
            <w:right w:val="none" w:sz="0" w:space="0" w:color="auto"/>
          </w:divBdr>
        </w:div>
      </w:divsChild>
    </w:div>
    <w:div w:id="2108849120">
      <w:bodyDiv w:val="1"/>
      <w:marLeft w:val="0"/>
      <w:marRight w:val="0"/>
      <w:marTop w:val="0"/>
      <w:marBottom w:val="0"/>
      <w:divBdr>
        <w:top w:val="none" w:sz="0" w:space="0" w:color="auto"/>
        <w:left w:val="none" w:sz="0" w:space="0" w:color="auto"/>
        <w:bottom w:val="none" w:sz="0" w:space="0" w:color="auto"/>
        <w:right w:val="none" w:sz="0" w:space="0" w:color="auto"/>
      </w:divBdr>
      <w:divsChild>
        <w:div w:id="1365212986">
          <w:marLeft w:val="0"/>
          <w:marRight w:val="0"/>
          <w:marTop w:val="0"/>
          <w:marBottom w:val="0"/>
          <w:divBdr>
            <w:top w:val="none" w:sz="0" w:space="0" w:color="auto"/>
            <w:left w:val="none" w:sz="0" w:space="0" w:color="auto"/>
            <w:bottom w:val="none" w:sz="0" w:space="0" w:color="auto"/>
            <w:right w:val="none" w:sz="0" w:space="0" w:color="auto"/>
          </w:divBdr>
          <w:divsChild>
            <w:div w:id="750928672">
              <w:marLeft w:val="0"/>
              <w:marRight w:val="0"/>
              <w:marTop w:val="0"/>
              <w:marBottom w:val="0"/>
              <w:divBdr>
                <w:top w:val="none" w:sz="0" w:space="0" w:color="auto"/>
                <w:left w:val="none" w:sz="0" w:space="0" w:color="auto"/>
                <w:bottom w:val="none" w:sz="0" w:space="0" w:color="auto"/>
                <w:right w:val="none" w:sz="0" w:space="0" w:color="auto"/>
              </w:divBdr>
              <w:divsChild>
                <w:div w:id="417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ais@ariceum-therapeutic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02/cncr.2479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j.zemedi.2015.01.001"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DEFAULT.xsl" StyleName="Unknown" Version="2006">
  <b:Source>
    <b:Tag>1bae39b5-fec5-413c-83cc-6a5a17a42247</b:Tag>
    <b:SourceType>JournalArticle</b:SourceType>
    <b:Year>2014</b:Year>
    <b:Author>
      <b:Author>
        <b:NameList>
          <b:Person>
            <b:First>Paganelli</b:First>
            <b:Last>Giovanni</b:Last>
          </b:Person>
          <b:Person>
            <b:First>Sansovini</b:First>
            <b:Last>Maddalena</b:Last>
          </b:Person>
          <b:Person>
            <b:First>Ambrosetti</b:First>
            <b:Last>Alice</b:Last>
          </b:Person>
          <b:Person>
            <b:First>Severi</b:First>
            <b:Last>Stefano</b:Last>
          </b:Person>
          <b:Person>
            <b:First>Monti</b:First>
            <b:Last>Manuela</b:Last>
          </b:Person>
          <b:Person>
            <b:First>Scarpi</b:First>
            <b:Last>Emanuela</b:Last>
          </b:Person>
          <b:Person>
            <b:First>Donati</b:First>
            <b:Last>Caterina</b:Last>
          </b:Person>
          <b:Person>
            <b:First>Ianniello</b:First>
            <b:Last>Annarita</b:Last>
          </b:Person>
          <b:Person>
            <b:First>Matteucci</b:First>
            <b:Last>Federica</b:Last>
          </b:Person>
          <b:Person>
            <b:First>Amadori</b:First>
            <b:Last>Dino</b:Last>
          </b:Person>
        </b:NameList>
      </b:Author>
    </b:Author>
    <b:Pages>1845-1851</b:Pages>
    <b:Volume>41</b:Volume>
    <b:StandardNumber>10</b:StandardNumber>
    <b:Day>1</b:Day>
    <b:Month>10</b:Month>
    <b:DOI>10.1007/s00259-014-2735-5</b:DOI>
    <b:Title>177 Lu-Dota-octreotate radionuclide therapy of advanced gastrointestinal neuroendocrine tumors: results from a phase II study</b:Title>
    <b:JournalName>European Journal of Nuclear Medicine and Molecular Imaging</b:JournalName>
    <b:URL>https://doi.org/10.1007/s00259-014-2735-5</b:URL>
    <b:RefOrder>1</b:RefOrder>
  </b:Source>
  <b:Source>
    <b:Tag>adaa3a74-7ff3-4754-9e2e-2e97e0e9d6ed</b:Tag>
    <b:SourceType>JournalArticle</b:SourceType>
    <b:Year>2013</b:Year>
    <b:Author>
      <b:Author>
        <b:NameList>
          <b:Person>
            <b:First>Sansovini</b:First>
            <b:Last>M.</b:Last>
          </b:Person>
          <b:Person>
            <b:First>Severi</b:First>
            <b:Last>S.</b:Last>
          </b:Person>
          <b:Person>
            <b:First>Ambrosetti</b:First>
            <b:Last>A.</b:Last>
          </b:Person>
          <b:Person>
            <b:First>Monti</b:First>
            <b:Last>M.</b:Last>
          </b:Person>
          <b:Person>
            <b:First>Nanni</b:First>
            <b:Last>O.</b:Last>
          </b:Person>
          <b:Person>
            <b:First>Sarnelli</b:First>
            <b:Last>A.</b:Last>
          </b:Person>
          <b:Person>
            <b:First>Bodei</b:First>
            <b:Last>L.</b:Last>
          </b:Person>
          <b:Person>
            <b:First>Garaboldi</b:First>
            <b:Last>L.</b:Last>
          </b:Person>
          <b:Person>
            <b:First>Bartolomei</b:First>
            <b:Last>M.</b:Last>
          </b:Person>
          <b:Person>
            <b:First>Paganelli</b:First>
            <b:Last>G.</b:Last>
          </b:Person>
        </b:NameList>
      </b:Author>
    </b:Author>
    <b:Pages>347-354</b:Pages>
    <b:Volume>97</b:Volume>
    <b:StandardNumber>4</b:StandardNumber>
    <b:DOI>10.1159/000348394</b:DOI>
    <b:Title>Treatment with the Radiolabelled Somatostatin Analog &lt;sup&gt;177&lt;/sup&gt;Lu-DOTATATE for Advanced Pancreatic Neuroendocrine Tumors</b:Title>
    <b:JournalName>Neuroendocrinology</b:JournalName>
    <b:URL>https://www.karger.com/DOI/10.1159/000348394</b:URL>
    <b:RefOrder>2</b:RefOrder>
  </b:Source>
  <b:Source>
    <b:Tag>a82ce7f4-f0b2-4417-a4f5-844bff206c97</b:Tag>
    <b:SourceType>JournalArticle</b:SourceType>
    <b:Year>2017</b:Year>
    <b:Author>
      <b:Author>
        <b:NameList>
          <b:Person>
            <b:First>Strosberg</b:First>
            <b:Last>Jonathan</b:Last>
          </b:Person>
          <b:Person>
            <b:First>El-Haddad</b:First>
            <b:Last>Ghassan</b:Last>
          </b:Person>
          <b:Person>
            <b:First>Wolin</b:First>
            <b:Last>Edward</b:Last>
          </b:Person>
          <b:Person>
            <b:First>Hendifar</b:First>
            <b:Last>Andrew</b:Last>
          </b:Person>
          <b:Person>
            <b:First>Yao</b:First>
            <b:Last>James</b:Last>
          </b:Person>
          <b:Person>
            <b:First>Chasen</b:First>
            <b:Last>Beth</b:Last>
          </b:Person>
          <b:Person>
            <b:First>Mittra</b:First>
            <b:Last>Erik</b:Last>
          </b:Person>
          <b:Person>
            <b:First>Kunz</b:First>
            <b:Last>Pamela L.</b:Last>
          </b:Person>
          <b:Person>
            <b:First>Kulke</b:First>
            <b:Last>Matthew H.</b:Last>
          </b:Person>
          <b:Person>
            <b:First>Jacene</b:First>
            <b:Last>Heather</b:Last>
          </b:Person>
          <b:Person>
            <b:First>Bushnell</b:First>
            <b:Last>David</b:Last>
          </b:Person>
          <b:Person>
            <b:First>O’Dorisio</b:First>
            <b:Last>Thomas M.</b:Last>
          </b:Person>
          <b:Person>
            <b:First>Baum</b:First>
            <b:Last>Richard P.</b:Last>
          </b:Person>
          <b:Person>
            <b:First>Kulkarni</b:First>
            <b:Last>Harshad R.</b:Last>
          </b:Person>
          <b:Person>
            <b:First>Caplin</b:First>
            <b:Last>Martyn</b:Last>
          </b:Person>
          <b:Person>
            <b:First>Lebtahi</b:First>
            <b:Last>Rachida</b:Last>
          </b:Person>
          <b:Person>
            <b:First>Hobday</b:First>
            <b:Last>Timothy</b:Last>
          </b:Person>
          <b:Person>
            <b:First>Delpassand</b:First>
            <b:Last>Ebrahim</b:Last>
          </b:Person>
          <b:Person>
            <b:First>Van</b:First>
            <b:Last>Cutsem Eric</b:Last>
          </b:Person>
          <b:Person>
            <b:First>Benson</b:First>
            <b:Last>Al</b:Last>
          </b:Person>
          <b:Person>
            <b:First>Srirajaskanthan</b:First>
            <b:Last>Rajaventhan</b:Last>
          </b:Person>
          <b:Person>
            <b:First>Pavel</b:First>
            <b:Last>Marianne</b:Last>
          </b:Person>
          <b:Person>
            <b:First>Mora</b:First>
            <b:Last>Jaime</b:Last>
          </b:Person>
          <b:Person>
            <b:First>Berlin</b:First>
            <b:Last>Jordan</b:Last>
          </b:Person>
          <b:Person>
            <b:First>Grande</b:First>
            <b:Last>Enrique</b:Last>
          </b:Person>
          <b:Person>
            <b:First>Reed</b:First>
            <b:Last>Nicholas</b:Last>
          </b:Person>
          <b:Person>
            <b:First>Seregni</b:First>
            <b:Last>Ettore</b:Last>
          </b:Person>
          <b:Person>
            <b:First>Öberg</b:First>
            <b:Last>Kjell</b:Last>
          </b:Person>
          <b:Person>
            <b:First>Lopera</b:First>
            <b:Last>Sierra Maribel</b:Last>
          </b:Person>
          <b:Person>
            <b:First>Santoro</b:First>
            <b:Last>Paola</b:Last>
          </b:Person>
          <b:Person>
            <b:First>Thevenet</b:First>
            <b:Last>Thomas</b:Last>
          </b:Person>
          <b:Person>
            <b:First>Erion</b:First>
            <b:Last>Jack L.</b:Last>
          </b:Person>
          <b:Person>
            <b:First>Ruszniewski</b:First>
            <b:Last>Philippe</b:Last>
          </b:Person>
          <b:Person>
            <b:First>Kwekkeboom</b:First>
            <b:Last>Dik</b:Last>
          </b:Person>
          <b:Person>
            <b:First>Krenning</b:First>
            <b:Last>Eric</b:Last>
          </b:Person>
        </b:NameList>
      </b:Author>
    </b:Author>
    <b:Pages>125-135</b:Pages>
    <b:Volume>376</b:Volume>
    <b:StandardNumber>2</b:StandardNumber>
    <b:DOI>10.1056/NEJMoa1607427</b:DOI>
    <b:Title>Phase 3 Trial of 177Lu-Dotatate for Midgut Neuroendocrine Tumors</b:Title>
    <b:JournalName>New England Journal of Medicine</b:JournalName>
    <b:URL>https://www.nejm.org/doi/full/10.1056/NEJMoa1607427</b:URL>
    <b:RefOrder>3</b:RefOrder>
  </b:Source>
  <b:Source>
    <b:Tag>a4541896-6bf2-491a-a384-f6fbc98690e4</b:Tag>
    <b:SourceType>JournalArticle</b:SourceType>
    <b:Year>2014</b:Year>
    <b:Author>
      <b:Author>
        <b:NameList>
          <b:Person>
            <b:First>Hoskin</b:First>
            <b:Last>P.</b:Last>
          </b:Person>
          <b:Person>
            <b:First>Sartor</b:First>
            <b:Last>O.</b:Last>
          </b:Person>
          <b:Person>
            <b:First>O'Sullivan</b:First>
            <b:Last>J. M.</b:Last>
          </b:Person>
          <b:Person>
            <b:First>Johannessen</b:First>
            <b:Last>D. C.</b:Last>
          </b:Person>
          <b:Person>
            <b:First>Helle</b:First>
            <b:Last>S. I.</b:Last>
          </b:Person>
          <b:Person>
            <b:First>Logue</b:First>
            <b:Last>J.</b:Last>
          </b:Person>
          <b:Person>
            <b:First>Bottomley</b:First>
            <b:Last>D.</b:Last>
          </b:Person>
          <b:Person>
            <b:First>Nilsson</b:First>
            <b:Last>S.</b:Last>
          </b:Person>
          <b:Person>
            <b:First>Vogelzang</b:First>
            <b:Last>N. J.</b:Last>
          </b:Person>
          <b:Person>
            <b:First>Fang</b:First>
            <b:Last>F.</b:Last>
          </b:Person>
          <b:Person>
            <b:First>Wahba</b:First>
            <b:Last>M.</b:Last>
          </b:Person>
          <b:Person>
            <b:First>Aksnes</b:First>
            <b:Last>A. K.</b:Last>
          </b:Person>
          <b:Person>
            <b:First>Parker</b:First>
            <b:Last>C.</b:Last>
          </b:Person>
        </b:NameList>
      </b:Author>
    </b:Author>
    <b:PlacePublished>Mount Vernon Cancer Centre, Northwood, Middlesex, UK. Electronic address: peterhoskin@nhs.net. Tulane Cancer Center, New Orleans, LA, USA. Centre for Cancer Research and Cell Biology, Queen's University, Belfast, UK. Ullevål University Hospital, Oslo, Norway. Haukeland University Hospital, Bergen, Norway. Christie Hospital, Manchester, UK. St James's University Hospital, Leeds, UK. Karolinska University Hospital, Stockholm, Sweden. Comprehensive Cancer Centers of Nevada, Las Vegas, NV, USA. Bayer HealthCare Pharmaceuticals, Whippany, NJ, USA. Algeta ASA (Bayer), Oslo, Norway. The Royal Marsden NHS Foundation Trust and Institute of Cancer Research, Sutton, Surrey, UK.</b:PlacePublished>
    <b:Pages>1397-406</b:Pages>
    <b:Volume>15</b:Volume>
    <b:StandardNumber>12</b:StandardNumber>
    <b:Month>Nov</b:Month>
    <b:DOI>10.1016/s1470-2045(14)70474-7</b:DOI>
    <b:Title>Efficacy and safety of radium-223 dichloride in patients with castration-resistant prostate cancer and symptomatic bone metastases, with or without previous docetaxel use: a prespecified subgroup analysis from the randomised, double-blind, phase 3 ALSYMPCA trial</b:Title>
    <b:JournalName>Lancet Oncol</b:JournalName>
    <b:Day>17</b:Day>
    <b:RefOrder>4</b:RefOrder>
  </b:Source>
  <b:Source>
    <b:Tag>dbb5747a-d750-4121-b759-c2f1701142d8</b:Tag>
    <b:SourceType>JournalArticle</b:SourceType>
    <b:Year>2021</b:Year>
    <b:Author>
      <b:Author>
        <b:NameList>
          <b:Person>
            <b:First>Sartor</b:First>
            <b:Last>O.</b:Last>
          </b:Person>
          <b:Person>
            <b:First>de</b:First>
            <b:Last>Bono J.</b:Last>
          </b:Person>
          <b:Person>
            <b:First>Chi</b:First>
            <b:Last>K. N.</b:Last>
          </b:Person>
          <b:Person>
            <b:First>Fizazi</b:First>
            <b:Last>K.</b:Last>
          </b:Person>
          <b:Person>
            <b:First>Herrmann</b:First>
            <b:Last>K.</b:Last>
          </b:Person>
          <b:Person>
            <b:First>Rahbar</b:First>
            <b:Last>K.</b:Last>
          </b:Person>
          <b:Person>
            <b:First>Tagawa</b:First>
            <b:Last>S. T.</b:Last>
          </b:Person>
          <b:Person>
            <b:First>Nordquist</b:First>
            <b:Last>L. T.</b:Last>
          </b:Person>
          <b:Person>
            <b:First>Vaishampayan</b:First>
            <b:Last>N.</b:Last>
          </b:Person>
          <b:Person>
            <b:First>El-Haddad</b:First>
            <b:Last>G.</b:Last>
          </b:Person>
          <b:Person>
            <b:First>Park</b:First>
            <b:Last>C. H.</b:Last>
          </b:Person>
          <b:Person>
            <b:First>Beer</b:First>
            <b:Last>T. M.</b:Last>
          </b:Person>
          <b:Person>
            <b:First>Armour</b:First>
            <b:Last>A.</b:Last>
          </b:Person>
          <b:Person>
            <b:First>Pérez-Contreras</b:First>
            <b:Last>W. J.</b:Last>
          </b:Person>
          <b:Person>
            <b:First>DeSilvio</b:First>
            <b:Last>M.</b:Last>
          </b:Person>
          <b:Person>
            <b:First>Kpamegan</b:First>
            <b:Last>E.</b:Last>
          </b:Person>
          <b:Person>
            <b:First>Gericke</b:First>
            <b:Last>G.</b:Last>
          </b:Person>
          <b:Person>
            <b:First>Messmann</b:First>
            <b:Last>R. A.</b:Last>
          </b:Person>
          <b:Person>
            <b:First>Morris</b:First>
            <b:Last>M. J.</b:Last>
          </b:Person>
          <b:Person>
            <b:First>Krause</b:First>
            <b:Last>B. J.</b:Last>
          </b:Person>
        </b:NameList>
      </b:Author>
    </b:Author>
    <b:PlacePublished>From the School of Medicine, Tulane University, New Orleans (O.S.); the Institute of Cancer Research and Royal Marsden Hospital, London (J.B.); the British Columbia Cancer Agency, Vancouver, Canada (K.N.C.); Gustave Roussy Institute, Paris-Saclay University, Villejuif, France (K.F.); the University of Duisberg-Essen and German Cancer Consortium, University Hospital Essen, Essen (K.H.), University Hospital Münster, Münster (K.R.), and Rostock University Medical Center, Rostock (B.J.K.) - all in Germany; Weill Cornell Medicine (S.T.T.) and Memorial Sloan Kettering Cancer Center (M.J.M.) - both in New York; the Urology Cancer Center, Omaha, NE (L.T.N.); the School of Medicine, Wayne State University, Detroit (N.V.); Moffitt Cancer Center and Research Institute, Tampa, FL (G.E.-H.); Norton Cancer Institute, Louisville, KY (C.H.P.); Knight Cancer Institute, Oregon Health and Science University, Portland (T.M.B.); Endocyte (a Novartis company), West Lafayette, IN (A.A.); Novartis Pharmaceuticals, East Hanover, NJ (W.J.P.-C., M.D., E.K., R.A.M.); and Novartis Pharma, Basel, Switzerland (G.G.).</b:PlacePublished>
    <b:Pages>1091-1103</b:Pages>
    <b:Volume>385</b:Volume>
    <b:StandardNumber>12</b:StandardNumber>
    <b:Day>23</b:Day>
    <b:Month>6</b:Month>
    <b:DOI>10.1056/NEJMoa2107322</b:DOI>
    <b:Title>Lutetium-177-PSMA-617 for Metastatic Castration-Resistant Prostate Cancer</b:Title>
    <b:JournalName>N Engl J Med</b:JournalName>
    <b:RefOrder>5</b:RefOrder>
  </b:Source>
  <b:Source>
    <b:Tag>965c3b6d-cbc9-40df-b684-e16f11445dec</b:Tag>
    <b:SourceType>JournalArticle</b:SourceType>
    <b:Year>2021</b:Year>
    <b:Author>
      <b:Author>
        <b:NameList>
          <b:Person>
            <b:First>Maghsoomi</b:First>
            <b:Last>Zohreh</b:Last>
          </b:Person>
          <b:Person>
            <b:First>Emami</b:First>
            <b:Last>Zahra</b:Last>
          </b:Person>
          <b:Person>
            <b:First>Malboosbaf</b:First>
            <b:Last>Ramin</b:Last>
          </b:Person>
          <b:Person>
            <b:First>Malek</b:First>
            <b:Last>Mojtaba</b:Last>
          </b:Person>
          <b:Person>
            <b:First>Khamseh</b:First>
            <b:Last>Mohammad</b:Last>
          </b:Person>
        </b:NameList>
      </b:Author>
    </b:Author>
    <b:Volume>21</b:Volume>
    <b:Day>20</b:Day>
    <b:Month>5</b:Month>
    <b:DOI>10.1186/s12885-021-08257-x</b:DOI>
    <b:Title>Efficacy and safety of peptide receptor radionuclide therapy in advanced radioiodine-refractory differentiated thyroid cancer and metastatic medullary thyroid cancer: a systematic review</b:Title>
    <b:JournalName>BMC Cancer</b:JournalName>
    <b:RefOrder>6</b:RefOrder>
  </b:Source>
  <b:Source>
    <b:Tag>b0f75092-78b9-4750-97e4-9a7242ec0c40</b:Tag>
    <b:SourceType>JournalArticle</b:SourceType>
    <b:Year>2022</b:Year>
    <b:Author>
      <b:Author>
        <b:NameList>
          <b:Person>
            <b:First>Inaki</b:First>
            <b:Last>A.</b:Last>
          </b:Person>
          <b:Person>
            <b:First>Shiga</b:First>
            <b:Last>T.</b:Last>
          </b:Person>
          <b:Person>
            <b:First>Tsushima</b:First>
            <b:Last>Y.</b:Last>
          </b:Person>
          <b:Person>
            <b:First>Jinguji</b:First>
            <b:Last>M.</b:Last>
          </b:Person>
          <b:Person>
            <b:First>Wakabayashi</b:First>
            <b:Last>H.</b:Last>
          </b:Person>
          <b:Person>
            <b:First>Kayano</b:First>
            <b:Last>D.</b:Last>
          </b:Person>
          <b:Person>
            <b:First>Akatani</b:First>
            <b:Last>N.</b:Last>
          </b:Person>
          <b:Person>
            <b:First>Yamase</b:First>
            <b:Last>T.</b:Last>
          </b:Person>
          <b:Person>
            <b:First>Kunita</b:First>
            <b:Last>Y.</b:Last>
          </b:Person>
          <b:Person>
            <b:First>Watanabe</b:First>
            <b:Last>S.</b:Last>
          </b:Person>
          <b:Person>
            <b:First>Hiromasa</b:First>
            <b:Last>T.</b:Last>
          </b:Person>
          <b:Person>
            <b:First>Mori</b:First>
            <b:Last>H.</b:Last>
          </b:Person>
          <b:Person>
            <b:First>Hirata</b:First>
            <b:Last>K.</b:Last>
          </b:Person>
          <b:Person>
            <b:First>Watanabe</b:First>
            <b:Last>S.</b:Last>
          </b:Person>
          <b:Person>
            <b:First>Higuchi</b:First>
            <b:Last>T.</b:Last>
          </b:Person>
          <b:Person>
            <b:First>Tomonaga</b:First>
            <b:Last>H.</b:Last>
          </b:Person>
          <b:Person>
            <b:First>Kinuya</b:First>
            <b:Last>S.</b:Last>
          </b:Person>
        </b:NameList>
      </b:Author>
    </b:Author>
    <b:PlacePublished>Department of Nuclear Medicine, Kanazawa University Hospital, 13-1 Takara-machi, Kanazawa, Ishikawa, 920-8641, Japan. henri@staff.kanazawa-u.ac.jp. Department of Clinical Research and Trial, Advanced Clinical Research Center, Fukushima Global Medical Science Center, Fukushima Medical University, 1-banchi Hikarigaoka, Fukushima, Fukushima, 960-1295, Japan. Department of Diagnostic Radiology and Nuclear Medicine, Gunma University Graduate School of Medicine, 3-39-15 Showa-machi, Maebashi, Gunma, 371-8511, Japan. Department of Radiology, Kagoshima University Graduate School of Medical and Dental Sciences, 8-35-1 Sakuragaoka, Kagoshima City, Kagoshima, 890-8544, Japan. Department of Nuclear Medicine, Kanazawa University Hospital, 13-1 Takara-machi, Kanazawa, Ishikawa, 920-8641, Japan. Department of Functional Imaging and Artificial Intelligence, Kanazawa University, 13-1 Takara-machi, Kanazawa, Ishikawa, 920-8641, Japan. Department of Diagnostic Imaging, Hokkaido University Graduate School of Medicine, 5-chome Kita-14-jou, Kita-ku, Sapporo, Hokkaido, 060-8648, Japan.</b:PlacePublished>
    <b:Pages>267-278</b:Pages>
    <b:Volume>36</b:Volume>
    <b:StandardNumber>3</b:StandardNumber>
    <b:Month>Mar</b:Month>
    <b:DOI>10.1007/s12149-021-01699-0</b:DOI>
    <b:Title>An open-label, single-arm, multi-center, phase II clinical trial of single-dose [(131)I]meta-iodobenzylguanidine therapy for patients with refractory pheochromocytoma and paraganglioma</b:Title>
    <b:JournalName>Ann Nucl Med</b:JournalName>
    <b:Day>6</b:Day>
    <b:RefOrder>7</b:RefOrder>
  </b:Source>
  <b:Source>
    <b:Tag>c66bf149-1dae-42e2-b093-2d1430a895b7</b:Tag>
    <b:SourceType>JournalArticle</b:SourceType>
    <b:Year>2020</b:Year>
    <b:Author>
      <b:Author>
        <b:NameList>
          <b:Person>
            <b:First>Chicheportiche</b:First>
            <b:Last>Alexandre</b:Last>
          </b:Person>
          <b:Person>
            <b:First>Ben-Haim</b:First>
            <b:Last>Simona</b:Last>
          </b:Person>
          <b:Person>
            <b:First>Grozinsky-Glasberg</b:First>
            <b:Last>Simona</b:Last>
          </b:Person>
          <b:Person>
            <b:First>Oleinikov</b:First>
            <b:Last>Kira</b:Last>
          </b:Person>
          <b:Person>
            <b:First>Meirovitz</b:First>
            <b:Last>Amichay</b:Last>
          </b:Person>
          <b:Person>
            <b:First>Gross</b:First>
            <b:Last>David J.</b:Last>
          </b:Person>
          <b:Person>
            <b:First>Godefroy</b:First>
            <b:Last>Jeremy</b:Last>
          </b:Person>
        </b:NameList>
      </b:Author>
    </b:Author>
    <b:Pages>5</b:Pages>
    <b:Volume>7</b:Volume>
    <b:StandardNumber>1</b:StandardNumber>
    <b:Day>23</b:Day>
    <b:Month>1</b:Month>
    <b:DOI>10.1186/s40658-020-0273-8</b:DOI>
    <b:Title>Dosimetry after peptide receptor radionuclide therapy: impact of reduced number of post-treatment studies on absorbed dose calculation and on patient management</b:Title>
    <b:JournalName>EJNMMI Physics</b:JournalName>
    <b:URL>https://doi.org/10.1186/s40658-020-0273-8</b:URL>
    <b:RefOrder>8</b:RefOrder>
  </b:Source>
  <b:Source>
    <b:Tag>54a2ae1c-6a66-4bc5-809c-6253a6e2251d</b:Tag>
    <b:SourceType>JournalArticle</b:SourceType>
    <b:Year>1991</b:Year>
    <b:Author>
      <b:Author>
        <b:NameList>
          <b:Person>
            <b:First>Emami</b:First>
            <b:Last>B.</b:Last>
          </b:Person>
          <b:Person>
            <b:First>Lyman</b:First>
            <b:Last>J.</b:Last>
          </b:Person>
          <b:Person>
            <b:First>Brown</b:First>
            <b:Last>A.</b:Last>
          </b:Person>
          <b:Person>
            <b:First>Cola</b:First>
            <b:Last>L.</b:Last>
          </b:Person>
          <b:Person>
            <b:First>Goitein</b:First>
            <b:Last>M.</b:Last>
          </b:Person>
          <b:Person>
            <b:First>Munzenrider</b:First>
            <b:Last>J. E.</b:Last>
          </b:Person>
          <b:Person>
            <b:First>Shank</b:First>
            <b:Last>B.</b:Last>
          </b:Person>
          <b:Person>
            <b:First>Solin</b:First>
            <b:Last>L. J.</b:Last>
          </b:Person>
          <b:Person>
            <b:First>Wesson</b:First>
            <b:Last>M.</b:Last>
          </b:Person>
        </b:NameList>
      </b:Author>
    </b:Author>
    <b:Pages>109-122</b:Pages>
    <b:Volume>21</b:Volume>
    <b:StandardNumber>1</b:StandardNumber>
    <b:Publisher>Elsevier</b:Publisher>
    <b:DOI>10.1016/0360-3016(91)90171-Y</b:DOI>
    <b:DayAccessed>28</b:DayAccessed>
    <b:MonthAccessed>6</b:MonthAccessed>
    <b:YearAccessed>2022</b:YearAccessed>
    <b:Title>Tolerance of normal tissue to therapeutic irradiation</b:Title>
    <b:JournalName>International Journal of Radiation Oncology, Biology, Physics</b:JournalName>
    <b:URL>https://doi.org/10.1016/0360-3016(91)90171-Y</b:URL>
    <b:RefOrder>9</b:RefOrder>
  </b:Source>
  <b:Source>
    <b:Tag>2b9af8c9-1f69-4354-a958-7abe38c3842f</b:Tag>
    <b:SourceType>JournalArticle</b:SourceType>
    <b:Year>2020</b:Year>
    <b:Author>
      <b:Author>
        <b:NameList>
          <b:Person>
            <b:First>Freedman</b:First>
            <b:Last>Nanette</b:Last>
          </b:Person>
          <b:Person>
            <b:First>Sandström</b:First>
            <b:Last>Mattias</b:Last>
          </b:Person>
          <b:Person>
            <b:First>Kuten</b:First>
            <b:Last>Jonathan</b:Last>
          </b:Person>
          <b:Person>
            <b:First>Shtraus</b:First>
            <b:Last>Natan</b:Last>
          </b:Person>
          <b:Person>
            <b:First>Ospovat</b:First>
            <b:Last>Inna</b:Last>
          </b:Person>
          <b:Person>
            <b:First>Schlocker</b:First>
            <b:Last>Albert</b:Last>
          </b:Person>
          <b:Person>
            <b:First>Even-Sapir</b:First>
            <b:Last>Einat</b:Last>
          </b:Person>
        </b:NameList>
      </b:Author>
    </b:Author>
    <b:Pages>26</b:Pages>
    <b:Volume>7</b:Volume>
    <b:StandardNumber>1</b:StandardNumber>
    <b:Day>11</b:Day>
    <b:Month>5</b:Month>
    <b:DOI>10.1186/s40658-020-00293-z</b:DOI>
    <b:Title>Personalized radiation dosimetry for PRRT—how many scans are really required?</b:Title>
    <b:JournalName>EJNMMI Physics</b:JournalName>
    <b:URL>https://doi.org/10.1186/s40658-020-00293-z</b:URL>
    <b:RefOrder>10</b:RefOrder>
  </b:Source>
  <b:Source>
    <b:Tag>291665b1-d616-4c5d-9878-88d47414423d</b:Tag>
    <b:SourceType>JournalArticle</b:SourceType>
    <b:Year>1984</b:Year>
    <b:Author>
      <b:Author>
        <b:NameList>
          <b:Person>
            <b:First>ICRP</b:First>
          </b:Person>
        </b:NameList>
      </b:Author>
    </b:Author>
    <b:Pages>1-33</b:Pages>
    <b:Volume>14</b:Volume>
    <b:Title>Nonstochastic effects of ionizing radiation. ICRP Publication 41.</b:Title>
    <b:JournalName>Ann ICRP. </b:JournalName>
    <b:RefOrder>11</b:RefOrder>
  </b:Source>
  <b:Source>
    <b:Tag>687f88bf-f7a4-411a-b0dc-bdec6105e732</b:Tag>
    <b:SourceType>JournalArticle</b:SourceType>
    <b:Year>2020</b:Year>
    <b:Author>
      <b:Author>
        <b:NameList>
          <b:Person>
            <b:First>Jahn</b:First>
            <b:Last>U.</b:Last>
          </b:Person>
          <b:Person>
            <b:First>Ilan</b:First>
            <b:Last>E.</b:Last>
          </b:Person>
          <b:Person>
            <b:First>Sandström</b:First>
            <b:Last>M.</b:Last>
          </b:Person>
          <b:Person>
            <b:First>Garske-Román</b:First>
            <b:Last>U.</b:Last>
          </b:Person>
          <b:Person>
            <b:First>Lubberink</b:First>
            <b:Last>M.</b:Last>
          </b:Person>
          <b:Person>
            <b:First>Sundin</b:First>
            <b:Last>A.</b:Last>
          </b:Person>
        </b:NameList>
      </b:Author>
    </b:Author>
    <b:Pages>662-670</b:Pages>
    <b:Volume>110</b:Volume>
    <b:StandardNumber>7-8</b:StandardNumber>
    <b:DOI>10.1159/000504001</b:DOI>
    <b:Title>177Lu-DOTATATE Peptide Receptor Radionuclide Therapy: Dose Response in Small Intestinal Neuroendocrine Tumors</b:Title>
    <b:JournalName>Neuroendocrinology</b:JournalName>
    <b:URL>https://www.karger.com/DOI/10.1159/000504001</b:URL>
    <b:RefOrder>12</b:RefOrder>
  </b:Source>
  <b:Source>
    <b:Tag>46a235ef-a42d-485f-8cfc-73c7e55c23dd</b:Tag>
    <b:SourceType>JournalArticle</b:SourceType>
    <b:Year>2008</b:Year>
    <b:Author>
      <b:Author>
        <b:NameList>
          <b:Person>
            <b:First>Lassmann</b:First>
            <b:Last>Michael</b:Last>
          </b:Person>
          <b:Person>
            <b:First>Hänscheid</b:First>
            <b:Last>Heribert</b:Last>
          </b:Person>
          <b:Person>
            <b:First>Chiesa</b:First>
            <b:Last>Carlo</b:Last>
          </b:Person>
          <b:Person>
            <b:First>Hindorf</b:First>
            <b:Last>Cecilia</b:Last>
          </b:Person>
          <b:Person>
            <b:First>Flux</b:First>
            <b:Last>Glenn</b:Last>
          </b:Person>
          <b:Person>
            <b:First>Luster</b:First>
            <b:Last>Markus</b:Last>
          </b:Person>
        </b:NameList>
      </b:Author>
    </b:Author>
    <b:Pages>1405</b:Pages>
    <b:Volume>35</b:Volume>
    <b:StandardNumber>7</b:StandardNumber>
    <b:Day>20</b:Day>
    <b:Month>5</b:Month>
    <b:DOI>10.1007/s00259-008-0761-x</b:DOI>
    <b:Title>EANM Dosimetry Committee series on standard operational procedures for pre-therapeutic dosimetry I: blood and bone marrow dosimetry in differentiated thyroid cancer therapy</b:Title>
    <b:JournalName>European Journal of Nuclear Medicine and Molecular Imaging</b:JournalName>
    <b:URL>https://doi.org/10.1007/s00259-008-0761-x</b:URL>
    <b:RefOrder>13</b:RefOrder>
  </b:Source>
  <b:Source>
    <b:Tag>0b12f536-71e9-4f4e-8c4d-c77d87de3b7a</b:Tag>
    <b:SourceType>JournalArticle</b:SourceType>
    <b:Year>2018</b:Year>
    <b:Author>
      <b:Author>
        <b:NameList>
          <b:Person>
            <b:First>Lassmann</b:First>
            <b:Last>Michael</b:Last>
          </b:Person>
          <b:Person>
            <b:First>Eberlein</b:First>
            <b:Last>Uta</b:Last>
          </b:Person>
        </b:NameList>
      </b:Author>
    </b:Author>
    <b:Pages>1494</b:Pages>
    <b:Volume>59</b:Volume>
    <b:StandardNumber>10</b:StandardNumber>
    <b:DOI>10.2967/jnumed.117.206649</b:DOI>
    <b:Title>The Relevance of Dosimetry in Precision Medicine</b:Title>
    <b:JournalName>Journal of Nuclear Medicine</b:JournalName>
    <b:URL>http://jnm.snmjournals.org/content/59/10/1494.abstract</b:URL>
    <b:RefOrder>14</b:RefOrder>
  </b:Source>
  <b:Source>
    <b:Tag>285ad8d5-18ce-461e-bfd7-cab637ef4a70</b:Tag>
    <b:SourceType>JournalArticle</b:SourceType>
    <b:Year>2019</b:Year>
    <b:Author>
      <b:Author>
        <b:NameList>
          <b:Person>
            <b:First>Hagmarker</b:First>
            <b:Last>Linn</b:Last>
          </b:Person>
          <b:Person>
            <b:First>Svensson</b:First>
            <b:Last>Johanna</b:Last>
          </b:Person>
          <b:Person>
            <b:First>Rydén</b:First>
            <b:Last>Tobias</b:Last>
          </b:Person>
          <b:Person>
            <b:First>van</b:First>
            <b:Last>Essen Martijn</b:Last>
          </b:Person>
          <b:Person>
            <b:First>Sundlöv</b:First>
            <b:Last>Anna</b:Last>
          </b:Person>
          <b:Person>
            <b:First>Gleisner</b:First>
            <b:Last>Katarina Sjögreen</b:Last>
          </b:Person>
          <b:Person>
            <b:First>Gjertsson</b:First>
            <b:Last>Peter</b:Last>
          </b:Person>
          <b:Person>
            <b:First>Bernhardt</b:First>
            <b:Last>Peter</b:Last>
          </b:Person>
        </b:NameList>
      </b:Author>
    </b:Author>
    <b:Pages>1406</b:Pages>
    <b:Volume>60</b:Volume>
    <b:StandardNumber>10</b:StandardNumber>
    <b:DOI>10.2967/jnumed.118.225235</b:DOI>
    <b:Title>Bone Marrow Absorbed Doses and Correlations with Hematologic Response During &amp;lt;sup&amp;gt;177&amp;lt;/sup&amp;gt;Lu-DOTATATE Treatments Are Influenced by Image-Based Dosimetry Method and Presence of Skeletal Metastases</b:Title>
    <b:JournalName>Journal of Nuclear Medicine</b:JournalName>
    <b:URL>http://jnm.snmjournals.org/content/60/10/1406.abstract</b:URL>
    <b:RefOrder>15</b:RefOrder>
  </b:Source>
  <b:Source>
    <b:Tag>a773ae25-602b-44cb-ad30-15eb41beb201</b:Tag>
    <b:SourceType>JournalArticle</b:SourceType>
    <b:Year>2015</b:Year>
    <b:Author>
      <b:Author>
        <b:NameList>
          <b:Person>
            <b:First>Ilan</b:First>
            <b:Last>Ezgi</b:Last>
          </b:Person>
          <b:Person>
            <b:First>Sandström</b:First>
            <b:Last>Mattias</b:Last>
          </b:Person>
          <b:Person>
            <b:First>Wassberg</b:First>
            <b:Last>Cecilia</b:Last>
          </b:Person>
          <b:Person>
            <b:First>Sundin</b:First>
            <b:Last>Anders</b:Last>
          </b:Person>
          <b:Person>
            <b:First>Garske–Román</b:First>
            <b:Last>Ulrike</b:Last>
          </b:Person>
          <b:Person>
            <b:First>Eriksson</b:First>
            <b:Last>Barbro</b:Last>
          </b:Person>
          <b:Person>
            <b:First>Granberg</b:First>
            <b:Last>Dan</b:Last>
          </b:Person>
          <b:Person>
            <b:First>Lubberink</b:First>
            <b:Last>Mark</b:Last>
          </b:Person>
        </b:NameList>
      </b:Author>
    </b:Author>
    <b:Pages>177</b:Pages>
    <b:Volume>56</b:Volume>
    <b:StandardNumber>2</b:StandardNumber>
    <b:DOI>10.2967/jnumed.114.148437</b:DOI>
    <b:Title>Dose Response of Pancreatic Neuroendocrine Tumors Treated with Peptide Receptor Radionuclide Therapy Using &amp;lt;sup&amp;gt;177&amp;lt;/sup&amp;gt;Lu-DOTATATE</b:Title>
    <b:JournalName>Journal of Nuclear Medicine</b:JournalName>
    <b:URL>http://jnm.snmjournals.org/content/56/2/177.abstract</b:URL>
    <b:RefOrder>16</b:RefOrder>
  </b:Source>
  <b:Source>
    <b:Tag>3a5e568a-c2ce-48f2-9d68-08c3b78ba3f6</b:Tag>
    <b:SourceType>JournalArticle</b:SourceType>
    <b:Year>2020</b:Year>
    <b:Author>
      <b:Author>
        <b:NameList>
          <b:Person>
            <b:First>Eychenne</b:First>
            <b:Last>R.</b:Last>
          </b:Person>
          <b:Person>
            <b:First>Bouvry</b:First>
            <b:Last>C.</b:Last>
          </b:Person>
          <b:Person>
            <b:First>Bourgeois</b:First>
            <b:Last>M.</b:Last>
          </b:Person>
          <b:Person>
            <b:First>Loyer</b:First>
            <b:Last>P.</b:Last>
          </b:Person>
          <b:Person>
            <b:First>Benoist</b:First>
            <b:Last>E.</b:Last>
          </b:Person>
          <b:Person>
            <b:First>Lepareur</b:First>
            <b:Last>N.</b:Last>
          </b:Person>
        </b:NameList>
      </b:Author>
    </b:Author>
    <b:PlacePublished>UPS, CNRS, SPCMIB (Laboratoire de Synthèse et Physico-Chimie de Molécules d'Intérêt Biologique)-UMR 5068, Université de Toulouse, F-31062 Toulouse, France. Groupement d'Intérêt Public ARRONAX, 1 Rue Aronnax, F-44817 Saint Herblain, France. CNRS, CRCINA (Centre de Recherche en Cancérologie et Immunologie Nantes-Angers)-UMR 1232, ERL 6001, Inserm, Université de Nantes, F-44000 Nantes, France. Comprehensive Cancer Center Eugène Marquis, Rennes, F-35000, France. CNRS, ISCR (Institut des Sciences Chimiques de Rennes)-UMR 6226, Univ Rennes, F-35000 Rennes, France. INRAE, Institut NUMECAN (Nutrition, Métabolismes et Cancer)-UMR_A 1341, UMR_S 1241, Inserm, Univ Rennes, F-35000 Rennes, France.</b:PlacePublished>
    <b:Volume>25</b:Volume>
    <b:StandardNumber>17</b:StandardNumber>
    <b:Month>Sep 2</b:Month>
    <b:DOI>10.3390/molecules25174012</b:DOI>
    <b:Title>Overview of Radiolabeled Somatostatin Analogs for Cancer Imaging and Therapy</b:Title>
    <b:JournalName>Molecules</b:JournalName>
    <b:Day>2</b:Day>
    <b:RefOrder>17</b:RefOrder>
  </b:Source>
  <b:Source>
    <b:Tag>457bd06b-1de4-44cb-aea6-6968e6ab6376</b:Tag>
    <b:SourceType>JournalArticle</b:SourceType>
    <b:Year>2020</b:Year>
    <b:Author>
      <b:Author>
        <b:NameList>
          <b:Person>
            <b:First>Zhang</b:First>
            <b:Last>Jie</b:Last>
          </b:Person>
          <b:Person>
            <b:First>Song</b:First>
            <b:Last>Qi</b:Last>
          </b:Person>
          <b:Person>
            <b:First>Cai</b:First>
            <b:Last>Liang</b:Last>
          </b:Person>
          <b:Person>
            <b:First>Xie</b:First>
            <b:Last>Ying</b:Last>
          </b:Person>
          <b:Person>
            <b:First>Chen</b:First>
            <b:Last>Yue</b:Last>
          </b:Person>
        </b:NameList>
      </b:Author>
    </b:Author>
    <b:Pages>1533-1543</b:Pages>
    <b:Volume>146</b:Volume>
    <b:StandardNumber>6</b:StandardNumber>
    <b:Day>1</b:Day>
    <b:Month>6</b:Month>
    <b:DOI>10.1007/s00432-020-03181-2</b:DOI>
    <b:Title>The efficacy of 177Lu-DOTATATE peptide receptor radionuclide therapy (PRRT) in patients with metastatic neuroendocrine tumours: a systematic review and meta-analysis</b:Title>
    <b:JournalName>Journal of Cancer Research and Clinical Oncology</b:JournalName>
    <b:URL>https://doi.org/10.1007/s00432-020-03181-2</b:URL>
    <b:RefOrder>18</b:RefOrder>
  </b:Source>
  <b:Source>
    <b:Tag>21acab3a-08d3-49bb-87c0-2c74a0fa8b87</b:Tag>
    <b:SourceType>JournalArticle</b:SourceType>
    <b:Year>2006</b:Year>
    <b:Author>
      <b:Author>
        <b:NameList>
          <b:Person>
            <b:First>Ginj</b:First>
            <b:Last>M.</b:Last>
          </b:Person>
          <b:Person>
            <b:First>Zhang</b:First>
            <b:Last>H.</b:Last>
          </b:Person>
          <b:Person>
            <b:First>Waser</b:First>
            <b:Last>B.</b:Last>
          </b:Person>
          <b:Person>
            <b:First>Cescato</b:First>
            <b:Last>R.</b:Last>
          </b:Person>
          <b:Person>
            <b:First>Wild</b:First>
            <b:Last>D.</b:Last>
          </b:Person>
          <b:Person>
            <b:First>Wang</b:First>
            <b:Last>X.</b:Last>
          </b:Person>
          <b:Person>
            <b:First>Erchegyi</b:First>
            <b:Last>J.</b:Last>
          </b:Person>
          <b:Person>
            <b:First>Rivier</b:First>
            <b:Last>J.</b:Last>
          </b:Person>
          <b:Person>
            <b:First>Mäcke</b:First>
            <b:Last>H. R.</b:Last>
          </b:Person>
          <b:Person>
            <b:First>Reubi</b:First>
            <b:Last>J. C.</b:Last>
          </b:Person>
        </b:NameList>
      </b:Author>
    </b:Author>
    <b:PlacePublished>Division of Radiological Chemistry, Institute of Nuclear Medicine, Department of Radiology, University Hospital Basel, Petersgraben 4, CH-4031 Basel, Switzerland.</b:PlacePublished>
    <b:Pages>16436-41</b:Pages>
    <b:Volume>103</b:Volume>
    <b:StandardNumber>44</b:StandardNumber>
    <b:Day>20</b:Day>
    <b:Month>10</b:Month>
    <b:DOI>10.1073/pnas.0607761103</b:DOI>
    <b:Title>Radiolabeled somatostatin receptor antagonists are preferable to agonists for in vivo peptide receptor targeting of tumors</b:Title>
    <b:JournalName>Proc Natl Acad Sci U S A</b:JournalName>
    <b:RefOrder>19</b:RefOrder>
  </b:Source>
  <b:Source>
    <b:Tag>fcc13c4b-26fd-4cbe-aed9-ed954024612b</b:Tag>
    <b:SourceType>JournalArticle</b:SourceType>
    <b:Year>2022</b:Year>
    <b:Author>
      <b:Author>
        <b:NameList>
          <b:Person>
            <b:First>Fani</b:First>
            <b:Last>M.</b:Last>
          </b:Person>
          <b:Person>
            <b:First>Mansi</b:First>
            <b:Last>R.</b:Last>
          </b:Person>
          <b:Person>
            <b:First>Nicolas</b:First>
            <b:Last>G. P.</b:Last>
          </b:Person>
          <b:Person>
            <b:First>Wild</b:First>
            <b:Last>D.</b:Last>
          </b:Person>
        </b:NameList>
      </b:Author>
    </b:Author>
    <b:PlacePublished>Division of Radiopharmaceutical Chemistry, University Hospital Basel, 4031 Basel, Switzerland. Division of Nuclear Medicine, University Hospital Basel, 4031 Basel, Switzerland. ENETS Center of Excellence for Neuroendocrine and Endocrine Tumors, University Hospital Basel, 4031 Basel, Switzerland.</b:PlacePublished>
    <b:Volume>14</b:Volume>
    <b:StandardNumber>5</b:StandardNumber>
    <b:Day>24</b:Day>
    <b:Month>2</b:Month>
    <b:DOI>10.3390/cancers14051172</b:DOI>
    <b:Title>Radiolabeled Somatostatin Analogs-A Continuously Evolving Class of Radiopharmaceuticals</b:Title>
    <b:JournalName>Cancers (Basel)</b:JournalName>
    <b:RefOrder>20</b:RefOrder>
  </b:Source>
  <b:Source>
    <b:Tag>47666d60-a7cf-4b67-abf8-c4882dfe5ae9</b:Tag>
    <b:SourceType>JournalArticle</b:SourceType>
    <b:Year>2016</b:Year>
    <b:Author>
      <b:Author>
        <b:NameList>
          <b:Person>
            <b:First>Beykan</b:First>
            <b:Last>Seval</b:Last>
          </b:Person>
          <b:Person>
            <b:First>Dam</b:First>
            <b:Last>Jan S.</b:Last>
          </b:Person>
          <b:Person>
            <b:First>Eberlein</b:First>
            <b:Last>Uta</b:Last>
          </b:Person>
          <b:Person>
            <b:First>Kaufmann</b:First>
            <b:Last>Jens</b:Last>
          </b:Person>
          <b:Person>
            <b:First>Kjærgaard</b:First>
            <b:Last>Benedict</b:Last>
          </b:Person>
          <b:Person>
            <b:First>Jødal</b:First>
            <b:Last>Lars</b:Last>
          </b:Person>
          <b:Person>
            <b:First>Bouterfa</b:First>
            <b:Last>Hakim</b:Last>
          </b:Person>
          <b:Person>
            <b:First>Bejot</b:First>
            <b:Last>Romain</b:Last>
          </b:Person>
          <b:Person>
            <b:First>Lassmann</b:First>
            <b:Last>Michael</b:Last>
          </b:Person>
          <b:Person>
            <b:First>Jensen</b:First>
            <b:Last>Svend Borup</b:Last>
          </b:Person>
        </b:NameList>
      </b:Author>
    </b:Author>
    <b:Pages>50</b:Pages>
    <b:Volume>6</b:Volume>
    <b:StandardNumber>1</b:StandardNumber>
    <b:Day>13</b:Day>
    <b:Month>6</b:Month>
    <b:DOI>10.1186/s13550-016-0204-9</b:DOI>
    <b:Title>177Lu-OPS201 targeting somatostatin receptors: in vivo biodistribution and dosimetry in a pig model</b:Title>
    <b:JournalName>EJNMMI Research</b:JournalName>
    <b:URL>https://doi.org/10.1186/s13550-016-0204-9</b:URL>
    <b:RefOrder>21</b:RefOrder>
  </b:Source>
  <b:Source>
    <b:Tag>cd7e198c-bb9c-4bad-ba37-700cd581046f</b:Tag>
    <b:SourceType>JournalArticle</b:SourceType>
    <b:Year>2014</b:Year>
    <b:Author>
      <b:Author>
        <b:NameList>
          <b:Person>
            <b:First>Wild</b:First>
            <b:Last>Damian</b:Last>
          </b:Person>
          <b:Person>
            <b:First>Fani</b:First>
            <b:Last>Melpomeni</b:Last>
          </b:Person>
          <b:Person>
            <b:First>Fischer</b:First>
            <b:Last>Richard</b:Last>
          </b:Person>
          <b:Person>
            <b:First>Del</b:First>
            <b:Last>Pozzo Luigi</b:Last>
          </b:Person>
          <b:Person>
            <b:First>Kaul</b:First>
            <b:Last>Felix</b:Last>
          </b:Person>
          <b:Person>
            <b:First>Krebs</b:First>
            <b:Last>Simone</b:Last>
          </b:Person>
          <b:Person>
            <b:First>Fischer</b:First>
            <b:Last>Richard</b:Last>
          </b:Person>
          <b:Person>
            <b:First>Rivier</b:First>
            <b:Last>Jean E. F.</b:Last>
          </b:Person>
          <b:Person>
            <b:First>Reubi</b:First>
            <b:Last>Jean Claude</b:Last>
          </b:Person>
          <b:Person>
            <b:First>Maecke</b:First>
            <b:Last>Helmut R.</b:Last>
          </b:Person>
          <b:Person>
            <b:First>Weber</b:First>
            <b:Last>Wolfgang A.</b:Last>
          </b:Person>
        </b:NameList>
      </b:Author>
    </b:Author>
    <b:Pages>1248</b:Pages>
    <b:Volume>55</b:Volume>
    <b:StandardNumber>8</b:StandardNumber>
    <b:DOI>10.2967/jnumed.114.138834</b:DOI>
    <b:Title>Comparison of Somatostatin Receptor Agonist and Antagonist for Peptide Receptor Radionuclide Therapy: A Pilot Study</b:Title>
    <b:JournalName>Journal of Nuclear Medicine</b:JournalName>
    <b:URL>http://jnm.snmjournals.org/content/55/8/1248.abstract</b:URL>
    <b:RefOrder>22</b:RefOrder>
  </b:Source>
  <b:Source>
    <b:Tag>d7767ed7-b5f9-4bed-a78a-aa184b893d29</b:Tag>
    <b:SourceType>JournalArticle</b:SourceType>
    <b:Year>2019</b:Year>
    <b:Author>
      <b:Author>
        <b:NameList>
          <b:Person>
            <b:First>Reidy-Lagunes</b:First>
            <b:Last>Diane</b:Last>
          </b:Person>
          <b:Person>
            <b:First>Pandit-Taskar</b:First>
            <b:Last>Neeta</b:Last>
          </b:Person>
          <b:Person>
            <b:First>O'Donoghue</b:First>
            <b:Last>Joseph A.</b:Last>
          </b:Person>
          <b:Person>
            <b:First>Krebs</b:First>
            <b:Last>Simone</b:Last>
          </b:Person>
          <b:Person>
            <b:First>Staton</b:First>
            <b:Last>Kevin D.</b:Last>
          </b:Person>
          <b:Person>
            <b:First>Lyashchenko</b:First>
            <b:Last>Serge K.</b:Last>
          </b:Person>
          <b:Person>
            <b:First>Lewis</b:First>
            <b:Last>Jason S.</b:Last>
          </b:Person>
          <b:Person>
            <b:First>Raj</b:First>
            <b:Last>Nitya</b:Last>
          </b:Person>
          <b:Person>
            <b:First>Gönen</b:First>
            <b:Last>Mithat</b:Last>
          </b:Person>
          <b:Person>
            <b:First>Lohrmann</b:First>
            <b:Last>Christian</b:Last>
          </b:Person>
          <b:Person>
            <b:First>Bodei</b:First>
            <b:Last>Lisa</b:Last>
          </b:Person>
          <b:Person>
            <b:First>Weber</b:First>
            <b:Last>Wolfgang A.</b:Last>
          </b:Person>
        </b:NameList>
      </b:Author>
    </b:Author>
    <b:Pages>6939-6947</b:Pages>
    <b:Volume>25</b:Volume>
    <b:StandardNumber>23</b:StandardNumber>
    <b:DOI>10.1158/1078-0432.Ccr-19-1026</b:DOI>
    <b:DayAccessed>28</b:DayAccessed>
    <b:MonthAccessed>6</b:MonthAccessed>
    <b:YearAccessed>2022</b:YearAccessed>
    <b:Title>Phase I Trial of Well-Differentiated Neuroendocrine Tumors (NETs) with Radiolabeled Somatostatin Antagonist 177Lu-Satoreotide Tetraxetan</b:Title>
    <b:JournalName>Clinical Cancer Research</b:JournalName>
    <b:URL>https://doi.org/10.1158/1078-0432.CCR-19-1026</b:URL>
    <b:RefOrder>23</b:RefOrder>
  </b:Source>
  <b:Source>
    <b:Tag>3a08c403-a74b-44e3-859e-2c6c088ad528</b:Tag>
    <b:SourceType>JournalArticle</b:SourceType>
    <b:Year>2023</b:Year>
    <b:Author>
      <b:Author>
        <b:NameList>
          <b:Person>
            <b:First>Wild</b:First>
            <b:Last>D.</b:Last>
          </b:Person>
          <b:Person>
            <b:First>Grønbæk</b:First>
            <b:Last>H.  Navalkissoor S.  Haug A. </b:Last>
          </b:Person>
          <b:Person>
            <b:First>Nicolas</b:First>
            <b:Last>G. P. </b:Last>
          </b:Person>
          <b:Person>
            <b:First>Pais</b:First>
            <b:Last>B.</b:Last>
          </b:Person>
          <b:Person>
            <b:First>Ansquer</b:First>
            <b:Last>C. </b:Last>
          </b:Person>
          <b:Person>
            <b:First>Beauregard</b:First>
            <b:Last>JM. McEwan S. </b:Last>
          </b:Person>
          <b:Person>
            <b:First>Pennestri</b:First>
            <b:Last>D.</b:Last>
          </b:Person>
          <b:Person>
            <b:First>Volteau</b:First>
            <b:Last>M. </b:Last>
          </b:Person>
          <b:Person>
            <b:First>Lenzo</b:First>
            <b:Last>NP. </b:Last>
          </b:Person>
          <b:Person>
            <b:First>Hicks</b:First>
            <b:Last>RJ.</b:Last>
          </b:Person>
        </b:NameList>
      </b:Author>
    </b:Author>
    <b:Title>A phase I/II study of the safety and efficacy of 177Lu-satoreotide tetraxetan in advanced somatostatin receptor-positive neuroendocrine tumours</b:Title>
    <b:JournalName>Clinical Cancer Research</b:JournalName>
    <b:RefOrder>24</b:RefOrder>
  </b:Source>
  <b:Source>
    <b:Tag>47e798e4-4b41-4e8a-877d-2473588adddb</b:Tag>
    <b:SourceType>JournalArticle</b:SourceType>
    <b:Year>2013</b:Year>
    <b:Author>
      <b:Author>
        <b:NameList>
          <b:Person>
            <b:First>Bodei</b:First>
            <b:Last>L.</b:Last>
          </b:Person>
          <b:Person>
            <b:First>Mueller-Brand</b:First>
            <b:Last>J.</b:Last>
          </b:Person>
          <b:Person>
            <b:First>Pavel</b:First>
            <b:Last>M. E.</b:Last>
          </b:Person>
          <b:Person>
            <b:First>Baum</b:First>
            <b:Last>R. P.</b:Last>
          </b:Person>
          <b:Person>
            <b:First>Hörsch</b:First>
            <b:Last>D.</b:Last>
          </b:Person>
          <b:Person>
            <b:First>O’Dorisio</b:First>
            <b:Last>M. S.</b:Last>
          </b:Person>
          <b:Person>
            <b:First>O’Dorisiol</b:First>
            <b:Last>T. M.</b:Last>
          </b:Person>
          <b:Person>
            <b:First>Howe</b:First>
            <b:Last>J. R.</b:Last>
          </b:Person>
          <b:Person>
            <b:First>Cremonesi</b:First>
            <b:Last>M.</b:Last>
          </b:Person>
          <b:Person>
            <b:First>Kwekkeboom</b:First>
            <b:Last>D. J.</b:Last>
          </b:Person>
          <b:Person>
            <b:First>Zaknun</b:First>
            <b:Last>John J.</b:Last>
          </b:Person>
        </b:NameList>
      </b:Author>
    </b:Author>
    <b:Pages>800-816</b:Pages>
    <b:Volume>40</b:Volume>
    <b:StandardNumber>5</b:StandardNumber>
    <b:Day>1</b:Day>
    <b:Month>5</b:Month>
    <b:DOI>10.1007/s00259-012-2330-6</b:DOI>
    <b:Title>The joint IAEA, EANM, and SNMMI practical guidance on peptide receptor radionuclide therapy (PRRNT) in neuroendocrine tumours</b:Title>
    <b:JournalName>European Journal of Nuclear Medicine and Molecular Imaging</b:JournalName>
    <b:URL>https://doi.org/10.1007/s00259-012-2330-6</b:URL>
    <b:RefOrder>25</b:RefOrder>
  </b:Source>
  <b:Source>
    <b:Tag>e9809cf2-b040-4b96-bf70-09576c34ff99</b:Tag>
    <b:SourceType>JournalArticle</b:SourceType>
    <b:Year>2015</b:Year>
    <b:Author>
      <b:Author>
        <b:NameList>
          <b:Person>
            <b:First>Kletting</b:First>
            <b:Last>Peter</b:Last>
          </b:Person>
          <b:Person>
            <b:First>Schimmel</b:First>
            <b:Last>Sebastian</b:Last>
          </b:Person>
          <b:Person>
            <b:First>Hänscheid</b:First>
            <b:Last>Heribert</b:Last>
          </b:Person>
          <b:Person>
            <b:First>Luster</b:First>
            <b:Last>Markus</b:Last>
          </b:Person>
          <b:Person>
            <b:First>Fernández</b:First>
            <b:Last>Maria</b:Last>
          </b:Person>
          <b:Person>
            <b:First>Nosske</b:First>
            <b:Last>Dietmar</b:Last>
          </b:Person>
          <b:Person>
            <b:First>Lassmann</b:First>
            <b:Last>Michael</b:Last>
          </b:Person>
          <b:Person>
            <b:First>Glatting</b:First>
            <b:Last>Gerhard</b:Last>
          </b:Person>
        </b:NameList>
      </b:Author>
    </b:Author>
    <b:Pages>264-274</b:Pages>
    <b:Volume>25</b:Volume>
    <b:StandardNumber>3</b:StandardNumber>
    <b:Day>1</b:Day>
    <b:Month>9</b:Month>
    <b:DOI>https://doi.org/10.1016/j.zemedi.2015.01.001</b:DOI>
    <b:Title>The NUKDOS software for treatment planning in molecular radiotherapy</b:Title>
    <b:JournalName>Zeitschrift für Medizinische Physik</b:JournalName>
    <b:URL>https://www.sciencedirect.com/science/article/pii/S0939388915000021</b:URL>
    <b:RefOrder>26</b:RefOrder>
  </b:Source>
  <b:Source>
    <b:Tag>a587bfe5-a889-4edd-8129-0e244ff4071f</b:Tag>
    <b:SourceType>JournalArticle</b:SourceType>
    <b:Year>2010</b:Year>
    <b:Author>
      <b:Author>
        <b:NameList>
          <b:Person>
            <b:First>Hindorf</b:First>
            <b:Last>Cecilia</b:Last>
          </b:Person>
          <b:Person>
            <b:First>Glatting</b:First>
            <b:Last>Gerhard</b:Last>
          </b:Person>
          <b:Person>
            <b:First>Chiesa</b:First>
            <b:Last>Carlo</b:Last>
          </b:Person>
          <b:Person>
            <b:First>Lindén</b:First>
            <b:Last>Ola</b:Last>
          </b:Person>
          <b:Person>
            <b:First>Flux</b:First>
            <b:Last>Glenn</b:Last>
          </b:Person>
        </b:NameList>
      </b:Author>
    </b:Author>
    <b:Pages>1238-1250</b:Pages>
    <b:Volume>37</b:Volume>
    <b:StandardNumber>6</b:StandardNumber>
    <b:Day>1</b:Day>
    <b:Month>6</b:Month>
    <b:DOI>10.1007/s00259-010-1422-4</b:DOI>
    <b:Title>EANM Dosimetry Committee guidelines for bone marrow and whole-body dosimetry</b:Title>
    <b:JournalName>European Journal of Nuclear Medicine and Molecular Imaging</b:JournalName>
    <b:URL>https://doi.org/10.1007/s00259-010-1422-4</b:URL>
    <b:RefOrder>27</b:RefOrder>
  </b:Source>
  <b:Source>
    <b:Tag>89aa5a35-945d-41ab-a364-a4f4e9563412</b:Tag>
    <b:SourceType>JournalArticle</b:SourceType>
    <b:Year>2007</b:Year>
    <b:Author>
      <b:Author>
        <b:NameList>
          <b:Person>
            <b:First>Traino</b:First>
            <b:Last>A. C.</b:Last>
          </b:Person>
          <b:Person>
            <b:First>Ferrari</b:First>
            <b:Last>M.</b:Last>
          </b:Person>
          <b:Person>
            <b:First>Cremonesi</b:First>
            <b:Last>M.</b:Last>
          </b:Person>
          <b:Person>
            <b:First>Stabin</b:First>
            <b:Last>M. G.</b:Last>
          </b:Person>
        </b:NameList>
      </b:Author>
    </b:Author>
    <b:Pages>5231-5248</b:Pages>
    <b:Volume>52</b:Volume>
    <b:StandardNumber>17</b:StandardNumber>
    <b:Day>15</b:Day>
    <b:Month>8</b:Month>
    <b:Publisher>IOP Publishing</b:Publisher>
    <b:DOI>10.1088/0031-9155/52/17/009</b:DOI>
    <b:Title>Influence of total-body mass on the scaling of&lt;i&gt;S&lt;/i&gt;-factors for patient-specific, blood-based red-marrow dosimetry</b:Title>
    <b:JournalName>Physics in Medicine and Biology</b:JournalName>
    <b:URL>http://dx.doi.org/10.1088/0031-9155/52/17/009</b:URL>
    <b:RefOrder>28</b:RefOrder>
  </b:Source>
  <b:Source>
    <b:Tag>8ff00104-bf49-4d44-9ed4-488fc20cd64c</b:Tag>
    <b:SourceType>JournalArticle</b:SourceType>
    <b:Year>2005</b:Year>
    <b:Author>
      <b:Author>
        <b:NameList>
          <b:Person>
            <b:First>Stabin</b:First>
            <b:Last>M. G.</b:Last>
          </b:Person>
          <b:Person>
            <b:First>Sparks</b:First>
            <b:Last>R. B.</b:Last>
          </b:Person>
          <b:Person>
            <b:First>Crowe</b:First>
            <b:Last>E.</b:Last>
          </b:Person>
        </b:NameList>
      </b:Author>
    </b:Author>
    <b:PlacePublished>Department of Radiology and Radiological Sciences, Vanderbilt University, 1161 21st Avenue S., Nashville, TN 37232-2675, USA. michael.g.stabin@vanderbilt.edu</b:PlacePublished>
    <b:Pages>1023-7</b:Pages>
    <b:Volume>46</b:Volume>
    <b:StandardNumber>6</b:StandardNumber>
    <b:Month>Jun</b:Month>
    <b:Title>OLINDA/EXM: the second-generation personal computer software for internal dose assessment in nuclear medicine</b:Title>
    <b:JournalName>J Nucl Med</b:JournalName>
    <b:RefOrder>29</b:RefOrder>
  </b:Source>
  <b:Source>
    <b:Tag>d5e5d69b-0a3f-4b97-8ccf-7965c36c61c2</b:Tag>
    <b:SourceType>JournalArticle</b:SourceType>
    <b:Year>2021</b:Year>
    <b:Author>
      <b:Author>
        <b:NameList>
          <b:Person>
            <b:First>Baum</b:First>
            <b:Last>Richard P.</b:Last>
          </b:Person>
          <b:Person>
            <b:First>Zhang</b:First>
            <b:Last>Jingjing</b:Last>
          </b:Person>
          <b:Person>
            <b:First>Schuchardt</b:First>
            <b:Last>Christiane</b:Last>
          </b:Person>
          <b:Person>
            <b:First>Müller</b:First>
            <b:Last>Dirk</b:Last>
          </b:Person>
          <b:Person>
            <b:First>Mäcke</b:First>
            <b:Last>Helmut</b:Last>
          </b:Person>
        </b:NameList>
      </b:Author>
    </b:Author>
    <b:Pages>1571</b:Pages>
    <b:Volume>62</b:Volume>
    <b:StandardNumber>11</b:StandardNumber>
    <b:DOI>10.2967/jnumed.120.258889</b:DOI>
    <b:Title>First-in-Humans Study of the SSTR Antagonist &amp;lt;sup&amp;gt;177&amp;lt;/sup&amp;gt;Lu-DOTA-LM3 for Peptide Receptor Radionuclide Therapy in Patients with Metastatic Neuroendocrine Neoplasms: Dosimetry, Safety, and Efficacy</b:Title>
    <b:JournalName>Journal of Nuclear Medicine</b:JournalName>
    <b:URL>http://jnm.snmjournals.org/content/62/11/1571.abstract</b:URL>
    <b:RefOrder>30</b:RefOrder>
  </b:Source>
  <b:Source>
    <b:Tag>fb9474e6-fda9-4e28-b2f2-7813600987e5</b:Tag>
    <b:SourceType>InternetSite</b:SourceType>
    <b:Year>2017</b:Year>
    <b:Author>
      <b:Author>
        <b:NameList>
          <b:Person>
            <b:First>European</b:First>
            <b:Last>Medcines Agency</b:Last>
          </b:Person>
        </b:NameList>
      </b:Author>
    </b:Author>
    <b:Volume>2022</b:Volume>
    <b:Title>Assessment report EMA/506460/2017: Lutathera</b:Title>
    <b:URL>https://www.ema.europa.eu/en/documents/assessment-report/lutathera-epar-public-assessment-report_en.pdf</b:URL>
    <b:DayAccessed>28</b:DayAccessed>
    <b:MonthAccessed>5</b:MonthAccessed>
    <b:YearAccessed>2022</b:YearAccessed>
    <b:RefOrder>31</b:RefOrder>
  </b:Source>
  <b:Source>
    <b:Tag>39562569-2dbe-4a9c-a43f-2747975f2ec1</b:Tag>
    <b:SourceType>InternetSite</b:SourceType>
    <b:Year>2020</b:Year>
    <b:Author>
      <b:Author>
        <b:NameList>
          <b:Person>
            <b:First>Health</b:First>
            <b:Last>Sciences Authority</b:Last>
          </b:Person>
        </b:NameList>
      </b:Author>
    </b:Author>
    <b:Volume>2022</b:Volume>
    <b:Title>Summary Report of Benefit-Risk Assessment: Lutathera</b:Title>
    <b:URL>https://www.hsa.gov.sg/docs/default-source/hprg-tpb/summary-reports/lutathera_summary-report_01june2020.pdf</b:URL>
    <b:DayAccessed>28</b:DayAccessed>
    <b:MonthAccessed>6</b:MonthAccessed>
    <b:YearAccessed>2022</b:YearAccessed>
    <b:RefOrder>32</b:RefOrder>
  </b:Source>
  <b:Source>
    <b:Tag>bcd579ab-7f0c-4a64-ae77-a57bb9d09790</b:Tag>
    <b:SourceType>JournalArticle</b:SourceType>
    <b:Year>2018</b:Year>
    <b:Author>
      <b:Author>
        <b:NameList>
          <b:Person>
            <b:First>Beykan</b:First>
            <b:Last>S. </b:Last>
          </b:Person>
          <b:Person>
            <b:First>Eberlein</b:First>
            <b:Last>U. </b:Last>
          </b:Person>
          <b:Person>
            <b:First>Werner</b:First>
            <b:Last>R. A. </b:Last>
          </b:Person>
          <b:Person>
            <b:First>Lapa</b:First>
            <b:Last>C.</b:Last>
          </b:Person>
          <b:Person>
            <b:First>Buck</b:First>
            <b:Last>A. K.</b:Last>
          </b:Person>
          <b:Person>
            <b:First>Kudlich</b:First>
            <b:Last>T.</b:Last>
          </b:Person>
          <b:Person>
            <b:First>Lassmann</b:First>
            <b:Last>M.</b:Last>
          </b:Person>
        </b:NameList>
      </b:Author>
    </b:Author>
    <b:Pages>S33</b:Pages>
    <b:Volume>45</b:Volume>
    <b:Title>OP-081 Patient-specific dosimetry of 177Lu-DOTATATE peptide receptor radionuclide therapy with high activities</b:Title>
    <b:JournalName>European Journal of Nuclear Medicine and Molecular Imaging</b:JournalName>
    <b:RefOrder>33</b:RefOrder>
  </b:Source>
  <b:Source>
    <b:Tag>6f00a711-59c5-4145-a458-c88ad7777d26</b:Tag>
    <b:SourceType>JournalArticle</b:SourceType>
    <b:Year>2018</b:Year>
    <b:Author>
      <b:Author>
        <b:NameList>
          <b:Person>
            <b:First>Garske-Román</b:First>
            <b:Last>Ulrike</b:Last>
          </b:Person>
          <b:Person>
            <b:First>Sandström</b:First>
            <b:Last>Mattias</b:Last>
          </b:Person>
          <b:Person>
            <b:First>Fröss</b:First>
            <b:Last>Baron Katarzyna</b:Last>
          </b:Person>
          <b:Person>
            <b:First>Lundin</b:First>
            <b:Last>Lars</b:Last>
          </b:Person>
          <b:Person>
            <b:First>Hellman</b:First>
            <b:Last>Per</b:Last>
          </b:Person>
          <b:Person>
            <b:First>Welin</b:First>
            <b:Last>Staffan</b:Last>
          </b:Person>
          <b:Person>
            <b:First>Johansson</b:First>
            <b:Last>Silvia</b:Last>
          </b:Person>
          <b:Person>
            <b:First>Khan</b:First>
            <b:Last>Tanweera</b:Last>
          </b:Person>
          <b:Person>
            <b:First>Lundqvist</b:First>
            <b:Last>Hans</b:Last>
          </b:Person>
          <b:Person>
            <b:First>Eriksson</b:First>
            <b:Last>Barbro</b:Last>
          </b:Person>
          <b:Person>
            <b:First>Sundin</b:First>
            <b:Last>Anders</b:Last>
          </b:Person>
          <b:Person>
            <b:First>Granberg</b:First>
            <b:Last>Dan</b:Last>
          </b:Person>
        </b:NameList>
      </b:Author>
    </b:Author>
    <b:Pages>970-988</b:Pages>
    <b:Volume>45</b:Volume>
    <b:StandardNumber>6</b:StandardNumber>
    <b:Day>1</b:Day>
    <b:Month>6</b:Month>
    <b:DOI>10.1007/s00259-018-3945-z</b:DOI>
    <b:Title>Prospective observational study of 177Lu-DOTA-octreotate therapy in 200 patients with advanced metastasized neuroendocrine tumours (NETs): feasibility and impact of a dosimetry-guided study protocol on outcome and toxicity</b:Title>
    <b:JournalName>European Journal of Nuclear Medicine and Molecular Imaging</b:JournalName>
    <b:URL>https://doi.org/10.1007/s00259-018-3945-z</b:URL>
    <b:RefOrder>34</b:RefOrder>
  </b:Source>
  <b:Source>
    <b:Tag>93f511d0-6c34-41c5-80e4-70cfbc3fa92c</b:Tag>
    <b:SourceType>JournalArticle</b:SourceType>
    <b:Year>2018</b:Year>
    <b:Author>
      <b:Author>
        <b:NameList>
          <b:Person>
            <b:First>Bergsma</b:First>
            <b:Last>Hendrik</b:Last>
          </b:Person>
          <b:Person>
            <b:First>van</b:First>
            <b:Last>Lom Kirsten</b:Last>
          </b:Person>
          <b:Person>
            <b:First>Raaijmakers</b:First>
            <b:Last>Marc H. G. P.</b:Last>
          </b:Person>
          <b:Person>
            <b:First>Konijnenberg</b:First>
            <b:Last>M.</b:Last>
          </b:Person>
          <b:Person>
            <b:First>Kam</b:First>
            <b:Last>B. L. Boen L. R.</b:Last>
          </b:Person>
          <b:Person>
            <b:First>Teunissen</b:First>
            <b:Last>Jaap J. M.</b:Last>
          </b:Person>
          <b:Person>
            <b:First>de</b:First>
            <b:Last>Herder Wouter W.</b:Last>
          </b:Person>
          <b:Person>
            <b:First>Krenning</b:First>
            <b:Last>Eric P.</b:Last>
          </b:Person>
          <b:Person>
            <b:First>Kwekkeboom</b:First>
            <b:Last>Dik J.</b:Last>
          </b:Person>
        </b:NameList>
      </b:Author>
    </b:Author>
    <b:Pages>452</b:Pages>
    <b:Volume>59</b:Volume>
    <b:StandardNumber>3</b:StandardNumber>
    <b:DOI>10.2967/jnumed.117.189712</b:DOI>
    <b:Title>Persistent Hematologic Dysfunction after Peptide Receptor Radionuclide Therapy with &amp;lt;sup&amp;gt;177&amp;lt;/sup&amp;gt;Lu-DOTATATE: Incidence, Course, and Predicting Factors in Patients with Gastroenteropancreatic Neuroendocrine Tumors</b:Title>
    <b:JournalName>Journal of Nuclear Medicine</b:JournalName>
    <b:URL>http://jnm.snmjournals.org/content/59/3/452.abstract</b:URL>
    <b:RefOrder>35</b:RefOrder>
  </b:Source>
  <b:Source>
    <b:Tag>165496bf-0aaa-4530-bb6d-c076fa052cd8</b:Tag>
    <b:SourceType>JournalArticle</b:SourceType>
    <b:Year>2009</b:Year>
    <b:Author>
      <b:Author>
        <b:NameList>
          <b:Person>
            <b:First>Forrer</b:First>
            <b:Last>Flavio</b:Last>
          </b:Person>
          <b:Person>
            <b:First>Krenning</b:First>
            <b:Last>Eric P.</b:Last>
          </b:Person>
          <b:Person>
            <b:First>Kooij</b:First>
            <b:Last>Peter P.</b:Last>
          </b:Person>
          <b:Person>
            <b:First>Bernard</b:First>
            <b:Last>Bert F.</b:Last>
          </b:Person>
          <b:Person>
            <b:First>Konijnenberg</b:First>
            <b:Last>Mark</b:Last>
          </b:Person>
          <b:Person>
            <b:First>Bakker</b:First>
            <b:Last>Willem H.</b:Last>
          </b:Person>
          <b:Person>
            <b:First>Teunissen</b:First>
            <b:Last>Jaap J. M.</b:Last>
          </b:Person>
          <b:Person>
            <b:First>de</b:First>
            <b:Last>Jong Marion</b:Last>
          </b:Person>
          <b:Person>
            <b:First>van</b:First>
            <b:Last>Lom Kirsten</b:Last>
          </b:Person>
          <b:Person>
            <b:First>de</b:First>
            <b:Last>Herder Wouter W.</b:Last>
          </b:Person>
          <b:Person>
            <b:First>Kwekkeboom</b:First>
            <b:Last>Dik J.</b:Last>
          </b:Person>
        </b:NameList>
      </b:Author>
    </b:Author>
    <b:Pages>1138</b:Pages>
    <b:Volume>36</b:Volume>
    <b:StandardNumber>7</b:StandardNumber>
    <b:Day>27</b:Day>
    <b:Month>2</b:Month>
    <b:DOI>10.1007/s00259-009-1072-6</b:DOI>
    <b:Title>Bone marrow dosimetry in peptide receptor radionuclide therapy with [177Lu-DOTA0,Tyr3]octreotate</b:Title>
    <b:JournalName>European Journal of Nuclear Medicine and Molecular Imaging</b:JournalName>
    <b:URL>https://doi.org/10.1007/s00259-009-1072-6</b:URL>
    <b:RefOrder>36</b:RefOrder>
  </b:Source>
  <b:Source>
    <b:Tag>0592c328-6c18-4bec-8eda-acb676e4eacc</b:Tag>
    <b:SourceType>JournalArticle</b:SourceType>
    <b:Year>2019</b:Year>
    <b:Author>
      <b:Author>
        <b:NameList>
          <b:Person>
            <b:First>Das</b:First>
            <b:Last>Satya</b:Last>
          </b:Person>
          <b:Person>
            <b:First>Al-Toubah</b:First>
            <b:Last>Taymeyah</b:Last>
          </b:Person>
          <b:Person>
            <b:First>El-Haddad</b:First>
            <b:Last>Ghassan</b:Last>
          </b:Person>
          <b:Person>
            <b:First>Strosberg</b:First>
            <b:Last>Jonathan</b:Last>
          </b:Person>
        </b:NameList>
      </b:Author>
    </b:Author>
    <b:Pages>1023-1031</b:Pages>
    <b:Volume>13</b:Volume>
    <b:StandardNumber>11</b:StandardNumber>
    <b:Day>2</b:Day>
    <b:Month>11</b:Month>
    <b:Publisher>Taylor &amp; Francis</b:Publisher>
    <b:DOI>10.1080/17474124.2019.1685381</b:DOI>
    <b:Title>177Lu-DOTATATE for the treatment of gastroenteropancreatic neuroendocrine tumors</b:Title>
    <b:JournalName>Expert Review of Gastroenterology &amp; Hepatology</b:JournalName>
    <b:URL>https://doi.org/10.1080/17474124.2019.1685381</b:URL>
    <b:RefOrder>37</b:RefOrder>
  </b:Source>
  <b:Source>
    <b:Tag>2d755b7f-08bb-4b35-aba0-486ffcd87683</b:Tag>
    <b:SourceType>InternetSite</b:SourceType>
    <b:Year>2017</b:Year>
    <b:Author>
      <b:Author>
        <b:NameList>
          <b:Person>
            <b:First>Food</b:First>
            <b:Last>and Drug Administration</b:Last>
          </b:Person>
        </b:NameList>
      </b:Author>
    </b:Author>
    <b:Volume>2022</b:Volume>
    <b:Title>NDA 208700</b:Title>
    <b:URL>https://www.accessdata.fda.gov/drugsatfda_docs/nda/2018/208700Orig1s000OtherR..pdf</b:URL>
    <b:DayAccessed>28</b:DayAccessed>
    <b:MonthAccessed>6</b:MonthAccessed>
    <b:YearAccessed>2022</b:YearAccessed>
    <b:RefOrder>38</b:RefOrder>
  </b:Source>
  <b:Source>
    <b:Tag>626d5e48-67b1-4e9f-8f4a-710cf671bd66</b:Tag>
    <b:SourceType>JournalArticle</b:SourceType>
    <b:Year>2019</b:Year>
    <b:Author>
      <b:Author>
        <b:NameList>
          <b:Person>
            <b:First>Mansi</b:First>
            <b:Last>Rosalba</b:Last>
          </b:Person>
          <b:Person>
            <b:First>Fani</b:First>
            <b:Last>Melpomeni</b:Last>
          </b:Person>
        </b:NameList>
      </b:Author>
    </b:Author>
    <b:Pages>635-645</b:Pages>
    <b:Volume>62</b:Volume>
    <b:StandardNumber>10</b:StandardNumber>
    <b:Day>1</b:Day>
    <b:Month>8</b:Month>
    <b:Publisher>John Wiley &amp; Sons, Ltd</b:Publisher>
    <b:DOI>https://doi.org/10.1002/jlcr.3755</b:DOI>
    <b:DayAccessed>28</b:DayAccessed>
    <b:MonthAccessed>6</b:MonthAccessed>
    <b:YearAccessed>2022</b:YearAccessed>
    <b:Title>Design and development of the theranostic pair 177Lu-OPS201/68Ga-OPS202 for targeting somatostatin receptor expressing tumors</b:Title>
    <b:JournalName>Journal of Labelled Compounds and Radiopharmaceuticals</b:JournalName>
    <b:URL>https://doi.org/10.1002/jlcr.3755</b:URL>
    <b:RefOrder>39</b:RefOrder>
  </b:Source>
  <b:Source>
    <b:Tag>5d2b5f75-0a59-458f-b1fa-4ccb848ee4df</b:Tag>
    <b:SourceType>JournalArticle</b:SourceType>
    <b:Year>2017</b:Year>
    <b:Author>
      <b:Author>
        <b:NameList>
          <b:Person>
            <b:First>Blakkisrud</b:First>
            <b:Last>Johan</b:Last>
          </b:Person>
          <b:Person>
            <b:First>Løndalen</b:First>
            <b:Last>Ayca</b:Last>
          </b:Person>
          <b:Person>
            <b:First>Dahle</b:First>
            <b:Last>Jostein</b:Last>
          </b:Person>
          <b:Person>
            <b:First>Turner</b:First>
            <b:Last>Simon</b:Last>
          </b:Person>
          <b:Person>
            <b:First>Holte</b:First>
            <b:Last>Harald</b:Last>
          </b:Person>
          <b:Person>
            <b:First>Kolstad</b:First>
            <b:Last>Arne</b:Last>
          </b:Person>
          <b:Person>
            <b:First>Stokke</b:First>
            <b:Last>Caroline</b:Last>
          </b:Person>
        </b:NameList>
      </b:Author>
    </b:Author>
    <b:Pages>55</b:Pages>
    <b:Volume>58</b:Volume>
    <b:StandardNumber>1</b:StandardNumber>
    <b:DOI>10.2967/jnumed.116.180471</b:DOI>
    <b:Title>Red Marrow–Absorbed Dose for Non-Hodgkin Lymphoma Patients Treated with &amp;lt;sup&amp;gt;177&amp;lt;/sup&amp;gt;Lu-Lilotomab Satetraxetan, a Novel Anti-CD37 Antibody–Radionuclide Conjugate</b:Title>
    <b:JournalName>Journal of Nuclear Medicine</b:JournalName>
    <b:URL>http://jnm.snmjournals.org/content/58/1/55.abstract</b:URL>
    <b:RefOrder>40</b:RefOrder>
  </b:Source>
  <b:Source>
    <b:Tag>26721518-0f24-4d90-bd06-df8cdc657822</b:Tag>
    <b:SourceType>JournalArticle</b:SourceType>
    <b:Year>2010</b:Year>
    <b:Author>
      <b:Author>
        <b:NameList>
          <b:Person>
            <b:First>Ferrer</b:First>
            <b:Last>Ludovic</b:Last>
          </b:Person>
          <b:Person>
            <b:First>Kraeber-Bodéré</b:First>
            <b:Last>Françoise</b:Last>
          </b:Person>
          <b:Person>
            <b:First>Bodet-Milin</b:First>
            <b:Last>Caroline</b:Last>
          </b:Person>
          <b:Person>
            <b:First>Rousseau</b:First>
            <b:Last>Caroline</b:Last>
          </b:Person>
          <b:Person>
            <b:First>Gouill</b:First>
            <b:Last>Stephen Le</b:Last>
          </b:Person>
          <b:Person>
            <b:First>Wegener</b:First>
            <b:Last>William A.</b:Last>
          </b:Person>
          <b:Person>
            <b:First>Goldenberg</b:First>
            <b:Last>David M.</b:Last>
          </b:Person>
          <b:Person>
            <b:First>Bardiès</b:First>
            <b:Last>Manuel</b:Last>
          </b:Person>
        </b:NameList>
      </b:Author>
    </b:Author>
    <b:Pages>1093-1100</b:Pages>
    <b:Volume>116</b:Volume>
    <b:StandardNumber>S4</b:StandardNumber>
    <b:DOI>https://doi.org/10.1002/cncr.24797</b:DOI>
    <b:Title>Three methods assessing red marrow dosimetry in lymphoma patients treated with radioimmunotherapy</b:Title>
    <b:JournalName>Cancer</b:JournalName>
    <b:URL>https://acsjournals.onlinelibrary.wiley.com/doi/abs/10.1002/cncr.24797</b:URL>
    <b:RefOrder>41</b:RefOrder>
  </b:Source>
  <b:Source>
    <b:Tag>166d1e2a-1951-4975-8311-532b874f2277</b:Tag>
    <b:SourceType>JournalArticle</b:SourceType>
    <b:Year>2011</b:Year>
    <b:Author>
      <b:Author>
        <b:NameList>
          <b:Person>
            <b:First>Lassmann</b:First>
            <b:Last>M.</b:Last>
          </b:Person>
          <b:Person>
            <b:First>Chiesa</b:First>
            <b:Last>C.</b:Last>
          </b:Person>
          <b:Person>
            <b:First>Flux</b:First>
            <b:Last>G.</b:Last>
          </b:Person>
          <b:Person>
            <b:First>Bardiès</b:First>
            <b:Last>M.</b:Last>
          </b:Person>
        </b:NameList>
      </b:Author>
    </b:Author>
    <b:Pages>192-200</b:Pages>
    <b:Volume>38</b:Volume>
    <b:StandardNumber>1</b:StandardNumber>
    <b:Day>1</b:Day>
    <b:Month>1</b:Month>
    <b:DOI>10.1007/s00259-010-1549-3</b:DOI>
    <b:Title>EANM Dosimetry Committee guidance document: good practice of clinical dosimetry reporting</b:Title>
    <b:JournalName>European Journal of Nuclear Medicine and Molecular Imaging</b:JournalName>
    <b:URL>https://doi.org/10.1007/s00259-010-1549-3</b:URL>
    <b:RefOrder>42</b:RefOrder>
  </b:Source>
  <b:Source>
    <b:Tag>8a9116f6-a0e9-4bf8-ac0a-ba55db3d9405</b:Tag>
    <b:SourceType>JournalArticle</b:SourceType>
    <b:Year>2020</b:Year>
    <b:Author>
      <b:Author>
        <b:NameList>
          <b:Person>
            <b:First>Zhang</b:First>
            <b:Last>Jie</b:Last>
          </b:Person>
          <b:Person>
            <b:First>Song</b:First>
            <b:Last>Qi</b:Last>
          </b:Person>
          <b:Person>
            <b:First>Cai</b:First>
            <b:Last>Liang</b:Last>
          </b:Person>
          <b:Person>
            <b:First>Xie</b:First>
            <b:Last>Ying</b:Last>
          </b:Person>
          <b:Person>
            <b:First>Chen</b:First>
            <b:Last>Yue</b:Last>
          </b:Person>
        </b:NameList>
      </b:Author>
    </b:Author>
    <b:Pages>1533-1543</b:Pages>
    <b:Volume>146</b:Volume>
    <b:StandardNumber>6</b:StandardNumber>
    <b:Day>1</b:Day>
    <b:Month>6</b:Month>
    <b:DOI>10.1007/s00432-020-03181-2</b:DOI>
    <b:Title>The efficacy of 177Lu-DOTATATE peptide receptor radionuclide therapy (PRRT) in patients with metastatic neuroendocrine tumours: a systematic review and meta-analysis</b:Title>
    <b:JournalName>Journal of Cancer Research and Clinical Oncology</b:JournalName>
    <b:URL>https://doi.org/10.1007/s00432-020-03181-2</b:URL>
    <b:RefOrder>43</b:RefOrder>
  </b:Source>
  <b:Source>
    <b:Tag>fe516ce3-8f77-4cb3-90ac-dffa95aa5bf5</b:Tag>
    <b:SourceType>JournalArticle</b:SourceType>
    <b:Year>2021</b:Year>
    <b:Author>
      <b:Author>
        <b:NameList>
          <b:Person>
            <b:First>Sartor</b:First>
            <b:Last>O.</b:Last>
          </b:Person>
          <b:Person>
            <b:First>de</b:First>
            <b:Last>Bono J.</b:Last>
          </b:Person>
          <b:Person>
            <b:First>Chi</b:First>
            <b:Last>K. N.</b:Last>
          </b:Person>
          <b:Person>
            <b:First>Fizazi</b:First>
            <b:Last>K.</b:Last>
          </b:Person>
          <b:Person>
            <b:First>Herrmann</b:First>
            <b:Last>K.</b:Last>
          </b:Person>
          <b:Person>
            <b:First>Rahbar</b:First>
            <b:Last>K.</b:Last>
          </b:Person>
          <b:Person>
            <b:First>Tagawa</b:First>
            <b:Last>S. T.</b:Last>
          </b:Person>
          <b:Person>
            <b:First>Nordquist</b:First>
            <b:Last>L. T.</b:Last>
          </b:Person>
          <b:Person>
            <b:First>Vaishampayan</b:First>
            <b:Last>N.</b:Last>
          </b:Person>
          <b:Person>
            <b:First>El-Haddad</b:First>
            <b:Last>G.</b:Last>
          </b:Person>
          <b:Person>
            <b:First>Park</b:First>
            <b:Last>C. H.</b:Last>
          </b:Person>
          <b:Person>
            <b:First>Beer</b:First>
            <b:Last>T. M.</b:Last>
          </b:Person>
          <b:Person>
            <b:First>Armour</b:First>
            <b:Last>A.</b:Last>
          </b:Person>
          <b:Person>
            <b:First>Pérez-Contreras</b:First>
            <b:Last>W. J.</b:Last>
          </b:Person>
          <b:Person>
            <b:First>DeSilvio</b:First>
            <b:Last>M.</b:Last>
          </b:Person>
          <b:Person>
            <b:First>Kpamegan</b:First>
            <b:Last>E.</b:Last>
          </b:Person>
          <b:Person>
            <b:First>Gericke</b:First>
            <b:Last>G.</b:Last>
          </b:Person>
          <b:Person>
            <b:First>Messmann</b:First>
            <b:Last>R. A.</b:Last>
          </b:Person>
          <b:Person>
            <b:First>Morris</b:First>
            <b:Last>M. J.</b:Last>
          </b:Person>
          <b:Person>
            <b:First>Krause</b:First>
            <b:Last>B. J.</b:Last>
          </b:Person>
        </b:NameList>
      </b:Author>
    </b:Author>
    <b:PlacePublished>From the School of Medicine, Tulane University, New Orleans (O.S.); the Institute of Cancer Research and Royal Marsden Hospital, London (J.B.); the British Columbia Cancer Agency, Vancouver, Canada (K.N.C.); Gustave Roussy Institute, Paris-Saclay University, Villejuif, France (K.F.); the University of Duisberg-Essen and German Cancer Consortium, University Hospital Essen, Essen (K.H.), University Hospital Münster, Münster (K.R.), and Rostock University Medical Center, Rostock (B.J.K.) - all in Germany; Weill Cornell Medicine (S.T.T.) and Memorial Sloan Kettering Cancer Center (M.J.M.) - both in New York; the Urology Cancer Center, Omaha, NE (L.T.N.); the School of Medicine, Wayne State University, Detroit (N.V.); Moffitt Cancer Center and Research Institute, Tampa, FL (G.E.-H.); Norton Cancer Institute, Louisville, KY (C.H.P.); Knight Cancer Institute, Oregon Health and Science University, Portland (T.M.B.); Endocyte (a Novartis company), West Lafayette, IN (A.A.); Novartis Pharmaceuticals, East Hanover, NJ (W.J.P.-C., M.D., E.K., R.A.M.); and Novartis Pharma, Basel, Switzerland (G.G.).</b:PlacePublished>
    <b:Pages>1091-1103</b:Pages>
    <b:Volume>385</b:Volume>
    <b:StandardNumber>12</b:StandardNumber>
    <b:Day>23</b:Day>
    <b:Month>6</b:Month>
    <b:DOI>10.1056/NEJMoa2107322</b:DOI>
    <b:Title>Lutetium-177-PSMA-617 for Metastatic Castration-Resistant Prostate Cancer</b:Title>
    <b:JournalName>N Engl J Med</b:JournalName>
    <b:RefOrder>44</b:RefOrder>
  </b:Source>
  <b:Source>
    <b:Tag>93aba929-8090-4453-a98e-cd5122a07fc7</b:Tag>
    <b:SourceType>JournalArticle</b:SourceType>
    <b:Year>2021</b:Year>
    <b:Author>
      <b:Author>
        <b:NameList>
          <b:Person>
            <b:First>Maghsoomi</b:First>
            <b:Last>Zohreh</b:Last>
          </b:Person>
          <b:Person>
            <b:First>Emami</b:First>
            <b:Last>Zahra</b:Last>
          </b:Person>
          <b:Person>
            <b:First>Malboosbaf</b:First>
            <b:Last>Ramin</b:Last>
          </b:Person>
          <b:Person>
            <b:First>Malek</b:First>
            <b:Last>Mojtaba</b:Last>
          </b:Person>
          <b:Person>
            <b:First>Khamseh</b:First>
            <b:Last>Mohammad</b:Last>
          </b:Person>
        </b:NameList>
      </b:Author>
    </b:Author>
    <b:Volume>21</b:Volume>
    <b:Day>20</b:Day>
    <b:Month>5</b:Month>
    <b:DOI>10.1186/s12885-021-08257-x</b:DOI>
    <b:Title>Efficacy and safety of peptide receptor radionuclide therapy in advanced radioiodine-refractory differentiated thyroid cancer and metastatic medullary thyroid cancer: a systematic review</b:Title>
    <b:JournalName>BMC Cancer</b:JournalName>
    <b:RefOrder>45</b:RefOrder>
  </b:Source>
  <b:Source>
    <b:Tag>e5fbc8c8-7698-4273-915f-aeb9e5cd70f0</b:Tag>
    <b:SourceType>JournalArticle</b:SourceType>
    <b:Year>2020</b:Year>
    <b:Author>
      <b:Author>
        <b:NameList>
          <b:Person>
            <b:First>Chicheportiche</b:First>
            <b:Last>Alexandre</b:Last>
          </b:Person>
          <b:Person>
            <b:First>Ben-Haim</b:First>
            <b:Last>Simona</b:Last>
          </b:Person>
          <b:Person>
            <b:First>Grozinsky-Glasberg</b:First>
            <b:Last>Simona</b:Last>
          </b:Person>
          <b:Person>
            <b:First>Oleinikov</b:First>
            <b:Last>Kira</b:Last>
          </b:Person>
          <b:Person>
            <b:First>Meirovitz</b:First>
            <b:Last>Amichay</b:Last>
          </b:Person>
          <b:Person>
            <b:First>Gross</b:First>
            <b:Last>David J.</b:Last>
          </b:Person>
          <b:Person>
            <b:First>Godefroy</b:First>
            <b:Last>Jeremy</b:Last>
          </b:Person>
        </b:NameList>
      </b:Author>
    </b:Author>
    <b:Pages>5</b:Pages>
    <b:Volume>7</b:Volume>
    <b:StandardNumber>1</b:StandardNumber>
    <b:Day>23</b:Day>
    <b:Month>1</b:Month>
    <b:DOI>10.1186/s40658-020-0273-8</b:DOI>
    <b:Title>Dosimetry after peptide receptor radionuclide therapy: impact of reduced number of post-treatment studies on absorbed dose calculation and on patient management</b:Title>
    <b:JournalName>EJNMMI Physics</b:JournalName>
    <b:URL>https://doi.org/10.1186/s40658-020-0273-8</b:URL>
    <b:RefOrder>46</b:RefOrder>
  </b:Source>
  <b:Source>
    <b:Tag>37f97c64-1a2d-4b1d-aa8d-cc4c45af01c9</b:Tag>
    <b:SourceType>JournalArticle</b:SourceType>
    <b:Year>1991</b:Year>
    <b:Author>
      <b:Author>
        <b:NameList>
          <b:Person>
            <b:First>Emami</b:First>
            <b:Last>B.</b:Last>
          </b:Person>
          <b:Person>
            <b:First>Lyman</b:First>
            <b:Last>J.</b:Last>
          </b:Person>
          <b:Person>
            <b:First>Brown</b:First>
            <b:Last>A.</b:Last>
          </b:Person>
          <b:Person>
            <b:First>Cola</b:First>
            <b:Last>L.</b:Last>
          </b:Person>
          <b:Person>
            <b:First>Goitein</b:First>
            <b:Last>M.</b:Last>
          </b:Person>
          <b:Person>
            <b:First>Munzenrider</b:First>
            <b:Last>J. E.</b:Last>
          </b:Person>
          <b:Person>
            <b:First>Shank</b:First>
            <b:Last>B.</b:Last>
          </b:Person>
          <b:Person>
            <b:First>Solin</b:First>
            <b:Last>L. J.</b:Last>
          </b:Person>
          <b:Person>
            <b:First>Wesson</b:First>
            <b:Last>M.</b:Last>
          </b:Person>
        </b:NameList>
      </b:Author>
    </b:Author>
    <b:Pages>109-122</b:Pages>
    <b:Volume>21</b:Volume>
    <b:StandardNumber>1</b:StandardNumber>
    <b:Publisher>Elsevier</b:Publisher>
    <b:DOI>10.1016/0360-3016(91)90171-Y</b:DOI>
    <b:DayAccessed>28</b:DayAccessed>
    <b:MonthAccessed>6</b:MonthAccessed>
    <b:YearAccessed>2022</b:YearAccessed>
    <b:Title>Tolerance of normal tissue to therapeutic irradiation</b:Title>
    <b:JournalName>International Journal of Radiation Oncology, Biology, Physics</b:JournalName>
    <b:URL>https://doi.org/10.1016/0360-3016(91)90171-Y</b:URL>
    <b:RefOrder>47</b:RefOrder>
  </b:Source>
  <b:Source>
    <b:Tag>1a475dbb-172d-4057-a0fc-f88728da4437</b:Tag>
    <b:SourceType>JournalArticle</b:SourceType>
    <b:Year>2020</b:Year>
    <b:Author>
      <b:Author>
        <b:NameList>
          <b:Person>
            <b:First>Freedman</b:First>
            <b:Last>Nanette</b:Last>
          </b:Person>
          <b:Person>
            <b:First>Sandström</b:First>
            <b:Last>Mattias</b:Last>
          </b:Person>
          <b:Person>
            <b:First>Kuten</b:First>
            <b:Last>Jonathan</b:Last>
          </b:Person>
          <b:Person>
            <b:First>Shtraus</b:First>
            <b:Last>Natan</b:Last>
          </b:Person>
          <b:Person>
            <b:First>Ospovat</b:First>
            <b:Last>Inna</b:Last>
          </b:Person>
          <b:Person>
            <b:First>Schlocker</b:First>
            <b:Last>Albert</b:Last>
          </b:Person>
          <b:Person>
            <b:First>Even-Sapir</b:First>
            <b:Last>Einat</b:Last>
          </b:Person>
        </b:NameList>
      </b:Author>
    </b:Author>
    <b:Pages>26</b:Pages>
    <b:Volume>7</b:Volume>
    <b:StandardNumber>1</b:StandardNumber>
    <b:Day>11</b:Day>
    <b:Month>5</b:Month>
    <b:DOI>10.1186/s40658-020-00293-z</b:DOI>
    <b:Title>Personalized radiation dosimetry for PRRT—how many scans are really required?</b:Title>
    <b:JournalName>EJNMMI Physics</b:JournalName>
    <b:URL>https://doi.org/10.1186/s40658-020-00293-z</b:URL>
    <b:RefOrder>48</b:RefOrder>
  </b:Source>
  <b:Source>
    <b:Tag>1660f59f-5c34-4663-9a87-09a4e2aff0ad</b:Tag>
    <b:SourceType>JournalArticle</b:SourceType>
    <b:Year>1984</b:Year>
    <b:Author>
      <b:Author>
        <b:NameList>
          <b:Person>
            <b:First>ICRP</b:First>
          </b:Person>
        </b:NameList>
      </b:Author>
    </b:Author>
    <b:Pages>1-33</b:Pages>
    <b:Volume>14</b:Volume>
    <b:Title>Nonstochastic effects of ionizing radiation. ICRP Publication 41.</b:Title>
    <b:JournalName>Ann ICRP. </b:JournalName>
    <b:RefOrder>49</b:RefOrder>
  </b:Source>
  <b:Source>
    <b:Tag>bbcfae95-00f1-4a57-8994-1dc865b4c09d</b:Tag>
    <b:SourceType>JournalArticle</b:SourceType>
    <b:Year>2020</b:Year>
    <b:Author>
      <b:Author>
        <b:NameList>
          <b:Person>
            <b:First>Jahn</b:First>
            <b:Last>U.</b:Last>
          </b:Person>
          <b:Person>
            <b:First>Ilan</b:First>
            <b:Last>E.</b:Last>
          </b:Person>
          <b:Person>
            <b:First>Sandström</b:First>
            <b:Last>M.</b:Last>
          </b:Person>
          <b:Person>
            <b:First>Garske-Román</b:First>
            <b:Last>U.</b:Last>
          </b:Person>
          <b:Person>
            <b:First>Lubberink</b:First>
            <b:Last>M.</b:Last>
          </b:Person>
          <b:Person>
            <b:First>Sundin</b:First>
            <b:Last>A.</b:Last>
          </b:Person>
        </b:NameList>
      </b:Author>
    </b:Author>
    <b:Pages>662-670</b:Pages>
    <b:Volume>110</b:Volume>
    <b:StandardNumber>7-8</b:StandardNumber>
    <b:DOI>10.1159/000504001</b:DOI>
    <b:Title>177Lu-DOTATATE Peptide Receptor Radionuclide Therapy: Dose Response in Small Intestinal Neuroendocrine Tumors</b:Title>
    <b:JournalName>Neuroendocrinology</b:JournalName>
    <b:URL>https://www.karger.com/DOI/10.1159/000504001</b:URL>
    <b:RefOrder>50</b:RefOrder>
  </b:Source>
  <b:Source>
    <b:Tag>76450a06-2e9d-4c02-8346-076eb86a4b43</b:Tag>
    <b:SourceType>JournalArticle</b:SourceType>
    <b:Year>2008</b:Year>
    <b:Author>
      <b:Author>
        <b:NameList>
          <b:Person>
            <b:First>Lassmann</b:First>
            <b:Last>Michael</b:Last>
          </b:Person>
          <b:Person>
            <b:First>Hänscheid</b:First>
            <b:Last>Heribert</b:Last>
          </b:Person>
          <b:Person>
            <b:First>Chiesa</b:First>
            <b:Last>Carlo</b:Last>
          </b:Person>
          <b:Person>
            <b:First>Hindorf</b:First>
            <b:Last>Cecilia</b:Last>
          </b:Person>
          <b:Person>
            <b:First>Flux</b:First>
            <b:Last>Glenn</b:Last>
          </b:Person>
          <b:Person>
            <b:First>Luster</b:First>
            <b:Last>Markus</b:Last>
          </b:Person>
        </b:NameList>
      </b:Author>
    </b:Author>
    <b:Pages>1405</b:Pages>
    <b:Volume>35</b:Volume>
    <b:StandardNumber>7</b:StandardNumber>
    <b:Day>20</b:Day>
    <b:Month>5</b:Month>
    <b:DOI>10.1007/s00259-008-0761-x</b:DOI>
    <b:Title>EANM Dosimetry Committee series on standard operational procedures for pre-therapeutic dosimetry I: blood and bone marrow dosimetry in differentiated thyroid cancer therapy</b:Title>
    <b:JournalName>European Journal of Nuclear Medicine and Molecular Imaging</b:JournalName>
    <b:URL>https://doi.org/10.1007/s00259-008-0761-x</b:URL>
    <b:RefOrder>51</b:RefOrder>
  </b:Source>
  <b:Source>
    <b:Tag>5bbf81b2-b13c-4dea-9a58-d08356d1881a</b:Tag>
    <b:SourceType>JournalArticle</b:SourceType>
    <b:Year>2016</b:Year>
    <b:Author>
      <b:Author>
        <b:NameList>
          <b:Person>
            <b:First>Bergsma</b:First>
            <b:Last>Hendrik</b:Last>
          </b:Person>
          <b:Person>
            <b:First>Konijnenberg</b:First>
            <b:Last>Mark W.</b:Last>
          </b:Person>
          <b:Person>
            <b:First>van</b:First>
            <b:Last>der Zwan Wouter A.</b:Last>
          </b:Person>
          <b:Person>
            <b:First>Kam</b:First>
            <b:Last>Boen L. R.</b:Last>
          </b:Person>
          <b:Person>
            <b:First>Teunissen</b:First>
            <b:Last>Jaap J. M.</b:Last>
          </b:Person>
          <b:Person>
            <b:First>Kooij</b:First>
            <b:Last>Peter P.</b:Last>
          </b:Person>
          <b:Person>
            <b:First>Mauff</b:First>
            <b:Last>Katya A. L.</b:Last>
          </b:Person>
          <b:Person>
            <b:First>Krenning</b:First>
            <b:Last>Eric P.</b:Last>
          </b:Person>
          <b:Person>
            <b:First>Kwekkeboom</b:First>
            <b:Last>Dik J.</b:Last>
          </b:Person>
        </b:NameList>
      </b:Author>
    </b:Author>
    <b:Pages>1802-1811</b:Pages>
    <b:Volume>43</b:Volume>
    <b:StandardNumber>10</b:StandardNumber>
    <b:Day>1</b:Day>
    <b:Month>9</b:Month>
    <b:DOI>10.1007/s00259-016-3382-9</b:DOI>
    <b:Title>Nephrotoxicity after PRRT with 177Lu-DOTA-octreotate</b:Title>
    <b:JournalName>European Journal of Nuclear Medicine and Molecular Imaging</b:JournalName>
    <b:URL>https://doi.org/10.1007/s00259-016-3382-9</b:URL>
    <b:RefOrder>52</b:RefOrder>
  </b:Source>
  <b:Source>
    <b:Tag>74e8856f-c868-4a24-a1f5-79a3135e3964</b:Tag>
    <b:SourceType>JournalArticle</b:SourceType>
    <b:Year>2018</b:Year>
    <b:Author>
      <b:Author>
        <b:NameList>
          <b:Person>
            <b:First>Lassmann</b:First>
            <b:Last>Michael</b:Last>
          </b:Person>
          <b:Person>
            <b:First>Eberlein</b:First>
            <b:Last>Uta</b:Last>
          </b:Person>
        </b:NameList>
      </b:Author>
    </b:Author>
    <b:Pages>1494</b:Pages>
    <b:Volume>59</b:Volume>
    <b:StandardNumber>10</b:StandardNumber>
    <b:DOI>10.2967/jnumed.117.206649</b:DOI>
    <b:Title>The Relevance of Dosimetry in Precision Medicine</b:Title>
    <b:JournalName>Journal of Nuclear Medicine</b:JournalName>
    <b:URL>http://jnm.snmjournals.org/content/59/10/1494.abstract</b:URL>
    <b:RefOrder>53</b:RefOrder>
  </b:Source>
  <b:Source>
    <b:Tag>b943b289-de39-4312-a17b-2b83b5983660</b:Tag>
    <b:SourceType>JournalArticle</b:SourceType>
    <b:Year>2019</b:Year>
    <b:Author>
      <b:Author>
        <b:NameList>
          <b:Person>
            <b:First>Hagmarker</b:First>
            <b:Last>Linn</b:Last>
          </b:Person>
          <b:Person>
            <b:First>Svensson</b:First>
            <b:Last>Johanna</b:Last>
          </b:Person>
          <b:Person>
            <b:First>Rydén</b:First>
            <b:Last>Tobias</b:Last>
          </b:Person>
          <b:Person>
            <b:First>van</b:First>
            <b:Last>Essen Martijn</b:Last>
          </b:Person>
          <b:Person>
            <b:First>Sundlöv</b:First>
            <b:Last>Anna</b:Last>
          </b:Person>
          <b:Person>
            <b:First>Gleisner</b:First>
            <b:Last>Katarina Sjögreen</b:Last>
          </b:Person>
          <b:Person>
            <b:First>Gjertsson</b:First>
            <b:Last>Peter</b:Last>
          </b:Person>
          <b:Person>
            <b:First>Bernhardt</b:First>
            <b:Last>Peter</b:Last>
          </b:Person>
        </b:NameList>
      </b:Author>
    </b:Author>
    <b:Pages>1406</b:Pages>
    <b:Volume>60</b:Volume>
    <b:StandardNumber>10</b:StandardNumber>
    <b:DOI>10.2967/jnumed.118.225235</b:DOI>
    <b:Title>Bone Marrow Absorbed Doses and Correlations with Hematologic Response During &amp;lt;sup&amp;gt;177&amp;lt;/sup&amp;gt;Lu-DOTATATE Treatments Are Influenced by Image-Based Dosimetry Method and Presence of Skeletal Metastases</b:Title>
    <b:JournalName>Journal of Nuclear Medicine</b:JournalName>
    <b:URL>http://jnm.snmjournals.org/content/60/10/1406.abstract</b:URL>
    <b:RefOrder>54</b:RefOrder>
  </b:Source>
  <b:Source>
    <b:Tag>381879eb-bfb5-494a-96a0-ec85c3b2e956</b:Tag>
    <b:SourceType>JournalArticle</b:SourceType>
    <b:Year>2015</b:Year>
    <b:Author>
      <b:Author>
        <b:NameList>
          <b:Person>
            <b:First>Ilan</b:First>
            <b:Last>Ezgi</b:Last>
          </b:Person>
          <b:Person>
            <b:First>Sandström</b:First>
            <b:Last>Mattias</b:Last>
          </b:Person>
          <b:Person>
            <b:First>Wassberg</b:First>
            <b:Last>Cecilia</b:Last>
          </b:Person>
          <b:Person>
            <b:First>Sundin</b:First>
            <b:Last>Anders</b:Last>
          </b:Person>
          <b:Person>
            <b:First>Garske–Román</b:First>
            <b:Last>Ulrike</b:Last>
          </b:Person>
          <b:Person>
            <b:First>Eriksson</b:First>
            <b:Last>Barbro</b:Last>
          </b:Person>
          <b:Person>
            <b:First>Granberg</b:First>
            <b:Last>Dan</b:Last>
          </b:Person>
          <b:Person>
            <b:First>Lubberink</b:First>
            <b:Last>Mark</b:Last>
          </b:Person>
        </b:NameList>
      </b:Author>
    </b:Author>
    <b:Pages>177</b:Pages>
    <b:Volume>56</b:Volume>
    <b:StandardNumber>2</b:StandardNumber>
    <b:DOI>10.2967/jnumed.114.148437</b:DOI>
    <b:Title>Dose Response of Pancreatic Neuroendocrine Tumors Treated with Peptide Receptor Radionuclide Therapy Using &amp;lt;sup&amp;gt;177&amp;lt;/sup&amp;gt;Lu-DOTATATE</b:Title>
    <b:JournalName>Journal of Nuclear Medicine</b:JournalName>
    <b:URL>http://jnm.snmjournals.org/content/56/2/177.abstract</b:URL>
    <b:RefOrder>55</b:RefOrder>
  </b:Source>
  <b:Source>
    <b:Tag>cf054a0a-d15f-4b77-924f-871930444c60</b:Tag>
    <b:SourceType>JournalArticle</b:SourceType>
    <b:Year>2016</b:Year>
    <b:Author>
      <b:Author>
        <b:NameList>
          <b:Person>
            <b:First>Beykan</b:First>
            <b:Last>Seval</b:Last>
          </b:Person>
          <b:Person>
            <b:First>Dam</b:First>
            <b:Last>Jan S.</b:Last>
          </b:Person>
          <b:Person>
            <b:First>Eberlein</b:First>
            <b:Last>Uta</b:Last>
          </b:Person>
          <b:Person>
            <b:First>Kaufmann</b:First>
            <b:Last>Jens</b:Last>
          </b:Person>
          <b:Person>
            <b:First>Kjærgaard</b:First>
            <b:Last>Benedict</b:Last>
          </b:Person>
          <b:Person>
            <b:First>Jødal</b:First>
            <b:Last>Lars</b:Last>
          </b:Person>
          <b:Person>
            <b:First>Bouterfa</b:First>
            <b:Last>Hakim</b:Last>
          </b:Person>
          <b:Person>
            <b:First>Bejot</b:First>
            <b:Last>Romain</b:Last>
          </b:Person>
          <b:Person>
            <b:First>Lassmann</b:First>
            <b:Last>Michael</b:Last>
          </b:Person>
          <b:Person>
            <b:First>Jensen</b:First>
            <b:Last>Svend Borup</b:Last>
          </b:Person>
        </b:NameList>
      </b:Author>
    </b:Author>
    <b:Pages>50</b:Pages>
    <b:Volume>6</b:Volume>
    <b:StandardNumber>1</b:StandardNumber>
    <b:Day>13</b:Day>
    <b:Month>6</b:Month>
    <b:DOI>10.1186/s13550-016-0204-9</b:DOI>
    <b:Title>177Lu-OPS201 targeting somatostatin receptors: in vivo biodistribution and dosimetry in a pig model</b:Title>
    <b:JournalName>EJNMMI Research</b:JournalName>
    <b:URL>https://doi.org/10.1186/s13550-016-0204-9</b:URL>
    <b:RefOrder>56</b:RefOrder>
  </b:Source>
  <b:Source>
    <b:Tag>10beeaf3-23bf-48c8-8882-968a5a570a46</b:Tag>
    <b:SourceType>JournalArticle</b:SourceType>
    <b:Year>2014</b:Year>
    <b:Author>
      <b:Author>
        <b:NameList>
          <b:Person>
            <b:First>Wild</b:First>
            <b:Last>Damian</b:Last>
          </b:Person>
          <b:Person>
            <b:First>Fani</b:First>
            <b:Last>Melpomeni</b:Last>
          </b:Person>
          <b:Person>
            <b:First>Fischer</b:First>
            <b:Last>Richard</b:Last>
          </b:Person>
          <b:Person>
            <b:First>Del</b:First>
            <b:Last>Pozzo Luigi</b:Last>
          </b:Person>
          <b:Person>
            <b:First>Kaul</b:First>
            <b:Last>Felix</b:Last>
          </b:Person>
          <b:Person>
            <b:First>Krebs</b:First>
            <b:Last>Simone</b:Last>
          </b:Person>
          <b:Person>
            <b:First>Fischer</b:First>
            <b:Last>Richard</b:Last>
          </b:Person>
          <b:Person>
            <b:First>Rivier</b:First>
            <b:Last>Jean E. F.</b:Last>
          </b:Person>
          <b:Person>
            <b:First>Reubi</b:First>
            <b:Last>Jean Claude</b:Last>
          </b:Person>
          <b:Person>
            <b:First>Maecke</b:First>
            <b:Last>Helmut R.</b:Last>
          </b:Person>
          <b:Person>
            <b:First>Weber</b:First>
            <b:Last>Wolfgang A.</b:Last>
          </b:Person>
        </b:NameList>
      </b:Author>
    </b:Author>
    <b:Pages>1248</b:Pages>
    <b:Volume>55</b:Volume>
    <b:StandardNumber>8</b:StandardNumber>
    <b:DOI>10.2967/jnumed.114.138834</b:DOI>
    <b:Title>Comparison of Somatostatin Receptor Agonist and Antagonist for Peptide Receptor Radionuclide Therapy: A Pilot Study</b:Title>
    <b:JournalName>Journal of Nuclear Medicine</b:JournalName>
    <b:URL>http://jnm.snmjournals.org/content/55/8/1248.abstract</b:URL>
    <b:RefOrder>57</b:RefOrder>
  </b:Source>
  <b:Source>
    <b:Tag>92d4aa38-d0f2-432e-aa2f-68791f6a96f3</b:Tag>
    <b:SourceType>JournalArticle</b:SourceType>
    <b:Year>2019</b:Year>
    <b:Author>
      <b:Author>
        <b:NameList>
          <b:Person>
            <b:First>Reidy-Lagunes</b:First>
            <b:Last>Diane</b:Last>
          </b:Person>
          <b:Person>
            <b:First>Pandit-Taskar</b:First>
            <b:Last>Neeta</b:Last>
          </b:Person>
          <b:Person>
            <b:First>O'Donoghue</b:First>
            <b:Last>Joseph A.</b:Last>
          </b:Person>
          <b:Person>
            <b:First>Krebs</b:First>
            <b:Last>Simone</b:Last>
          </b:Person>
          <b:Person>
            <b:First>Staton</b:First>
            <b:Last>Kevin D.</b:Last>
          </b:Person>
          <b:Person>
            <b:First>Lyashchenko</b:First>
            <b:Last>Serge K.</b:Last>
          </b:Person>
          <b:Person>
            <b:First>Lewis</b:First>
            <b:Last>Jason S.</b:Last>
          </b:Person>
          <b:Person>
            <b:First>Raj</b:First>
            <b:Last>Nitya</b:Last>
          </b:Person>
          <b:Person>
            <b:First>Gönen</b:First>
            <b:Last>Mithat</b:Last>
          </b:Person>
          <b:Person>
            <b:First>Lohrmann</b:First>
            <b:Last>Christian</b:Last>
          </b:Person>
          <b:Person>
            <b:First>Bodei</b:First>
            <b:Last>Lisa</b:Last>
          </b:Person>
          <b:Person>
            <b:First>Weber</b:First>
            <b:Last>Wolfgang A.</b:Last>
          </b:Person>
        </b:NameList>
      </b:Author>
    </b:Author>
    <b:Pages>6939-6947</b:Pages>
    <b:Volume>25</b:Volume>
    <b:StandardNumber>23</b:StandardNumber>
    <b:DOI>10.1158/1078-0432.Ccr-19-1026</b:DOI>
    <b:DayAccessed>28</b:DayAccessed>
    <b:MonthAccessed>6</b:MonthAccessed>
    <b:YearAccessed>2022</b:YearAccessed>
    <b:Title>Phase I Trial of Well-Differentiated Neuroendocrine Tumors (NETs) with Radiolabeled Somatostatin Antagonist 177Lu-Satoreotide Tetraxetan</b:Title>
    <b:JournalName>Clinical Cancer Research</b:JournalName>
    <b:URL>https://doi.org/10.1158/1078-0432.CCR-19-1026</b:URL>
    <b:RefOrder>58</b:RefOrder>
  </b:Source>
  <b:Source>
    <b:Tag>034a9039-0a6e-4531-af92-0da153fb247c</b:Tag>
    <b:SourceType>JournalArticle</b:SourceType>
    <b:Year>2022</b:Year>
    <b:Author>
      <b:Author>
        <b:NameList>
          <b:Person>
            <b:First>Wild</b:First>
            <b:Last>D.</b:Last>
          </b:Person>
          <b:Person>
            <b:First>Grønbæk</b:First>
            <b:Last>H.  Navalkissoor S.  Haug A. </b:Last>
          </b:Person>
          <b:Person>
            <b:First>Nicolas</b:First>
            <b:Last>G. P. </b:Last>
          </b:Person>
          <b:Person>
            <b:First>Pais</b:First>
            <b:Last>B.</b:Last>
          </b:Person>
          <b:Person>
            <b:First>Ansquer</b:First>
            <b:Last>C. </b:Last>
          </b:Person>
          <b:Person>
            <b:First>Beauregard</b:First>
            <b:Last>JM. McEwan S. </b:Last>
          </b:Person>
          <b:Person>
            <b:First>Pennestri</b:First>
            <b:Last>D.</b:Last>
          </b:Person>
          <b:Person>
            <b:First>Volteau</b:First>
            <b:Last>M. </b:Last>
          </b:Person>
          <b:Person>
            <b:First>Lenzo</b:First>
            <b:Last>NP. </b:Last>
          </b:Person>
          <b:Person>
            <b:First>Hicks</b:First>
            <b:Last>RJ.</b:Last>
          </b:Person>
        </b:NameList>
      </b:Author>
    </b:Author>
    <b:Title>Safety and efficacy of 177Lu-satoreotide tetraxetan in advanced somatostatin receptor-positive neuroendocrine tumours: an interim analysis of an international, open-label, phase I/II study</b:Title>
    <b:JournalName>Journal of Clinical Oncology</b:JournalName>
    <b:RefOrder>59</b:RefOrder>
  </b:Source>
  <b:Source>
    <b:Tag>fbdc5eea-8252-4f26-8c9f-51d17a498d32</b:Tag>
    <b:SourceType>JournalArticle</b:SourceType>
    <b:Year>2013</b:Year>
    <b:Author>
      <b:Author>
        <b:NameList>
          <b:Person>
            <b:First>Zaknun</b:First>
            <b:Last>John J.</b:Last>
          </b:Person>
          <b:Person>
            <b:First>Bodei</b:First>
            <b:Last>L.</b:Last>
          </b:Person>
          <b:Person>
            <b:First>Mueller-Brand</b:First>
            <b:Last>J.</b:Last>
          </b:Person>
          <b:Person>
            <b:First>Pavel</b:First>
            <b:Last>M. E.</b:Last>
          </b:Person>
          <b:Person>
            <b:First>Baum</b:First>
            <b:Last>R. P.</b:Last>
          </b:Person>
          <b:Person>
            <b:First>Hörsch</b:First>
            <b:Last>D.</b:Last>
          </b:Person>
          <b:Person>
            <b:First>O’Dorisio</b:First>
            <b:Last>M. S.</b:Last>
          </b:Person>
          <b:Person>
            <b:First>O’Dorisiol</b:First>
            <b:Last>T. M.</b:Last>
          </b:Person>
          <b:Person>
            <b:First>Howe</b:First>
            <b:Last>J. R.</b:Last>
          </b:Person>
          <b:Person>
            <b:First>Cremonesi</b:First>
            <b:Last>M.</b:Last>
          </b:Person>
          <b:Person>
            <b:First>Kwekkeboom</b:First>
            <b:Last>D. J.</b:Last>
          </b:Person>
        </b:NameList>
      </b:Author>
    </b:Author>
    <b:Pages>800-816</b:Pages>
    <b:Volume>40</b:Volume>
    <b:StandardNumber>5</b:StandardNumber>
    <b:Day>1</b:Day>
    <b:Month>5</b:Month>
    <b:DOI>10.1007/s00259-012-2330-6</b:DOI>
    <b:Title>The joint IAEA, EANM, and SNMMI practical guidance on peptide receptor radionuclide therapy (PRRNT) in neuroendocrine tumours</b:Title>
    <b:JournalName>European Journal of Nuclear Medicine and Molecular Imaging</b:JournalName>
    <b:URL>https://doi.org/10.1007/s00259-012-2330-6</b:URL>
    <b:RefOrder>60</b:RefOrder>
  </b:Source>
  <b:Source>
    <b:Tag>0bedaa69-b97b-441c-b825-a5d7998ad927</b:Tag>
    <b:SourceType>JournalArticle</b:SourceType>
    <b:Year>2011</b:Year>
    <b:Author>
      <b:Author>
        <b:NameList>
          <b:Person>
            <b:First>Lassmann</b:First>
            <b:Last>M.</b:Last>
          </b:Person>
          <b:Person>
            <b:First>Chiesa</b:First>
            <b:Last>C.</b:Last>
          </b:Person>
          <b:Person>
            <b:First>Flux</b:First>
            <b:Last>G.</b:Last>
          </b:Person>
          <b:Person>
            <b:First>Bardiès</b:First>
            <b:Last>M.</b:Last>
          </b:Person>
        </b:NameList>
      </b:Author>
    </b:Author>
    <b:Pages>192-200</b:Pages>
    <b:Volume>38</b:Volume>
    <b:StandardNumber>1</b:StandardNumber>
    <b:Day>1</b:Day>
    <b:Month>1</b:Month>
    <b:DOI>10.1007/s00259-010-1549-3</b:DOI>
    <b:Title>EANM Dosimetry Committee guidance document: good practice of clinical dosimetry reporting</b:Title>
    <b:JournalName>European Journal of Nuclear Medicine and Molecular Imaging</b:JournalName>
    <b:URL>https://doi.org/10.1007/s00259-010-1549-3</b:URL>
    <b:RefOrder>61</b:RefOrder>
  </b:Source>
  <b:Source>
    <b:Tag>9f38f109-8e39-4309-a49f-dd00faf20d77</b:Tag>
    <b:SourceType>JournalArticle</b:SourceType>
    <b:Year>2010</b:Year>
    <b:Author>
      <b:Author>
        <b:NameList>
          <b:Person>
            <b:First>Hindorf</b:First>
            <b:Last>Cecilia</b:Last>
          </b:Person>
          <b:Person>
            <b:First>Glatting</b:First>
            <b:Last>Gerhard</b:Last>
          </b:Person>
          <b:Person>
            <b:First>Chiesa</b:First>
            <b:Last>Carlo</b:Last>
          </b:Person>
          <b:Person>
            <b:First>Lindén</b:First>
            <b:Last>Ola</b:Last>
          </b:Person>
          <b:Person>
            <b:First>Flux</b:First>
            <b:Last>Glenn</b:Last>
          </b:Person>
        </b:NameList>
      </b:Author>
    </b:Author>
    <b:Pages>1238-1250</b:Pages>
    <b:Volume>37</b:Volume>
    <b:StandardNumber>6</b:StandardNumber>
    <b:Day>1</b:Day>
    <b:Month>6</b:Month>
    <b:DOI>10.1007/s00259-010-1422-4</b:DOI>
    <b:Title>EANM Dosimetry Committee guidelines for bone marrow and whole-body dosimetry</b:Title>
    <b:JournalName>European Journal of Nuclear Medicine and Molecular Imaging</b:JournalName>
    <b:URL>https://doi.org/10.1007/s00259-010-1422-4</b:URL>
    <b:RefOrder>62</b:RefOrder>
  </b:Source>
  <b:Source>
    <b:Tag>b866095a-c8c3-4b28-b046-5bf82ccc18fa</b:Tag>
    <b:SourceType>JournalArticle</b:SourceType>
    <b:Year>2007</b:Year>
    <b:Author>
      <b:Author>
        <b:NameList>
          <b:Person>
            <b:First>Traino</b:First>
            <b:Last>A. C.</b:Last>
          </b:Person>
          <b:Person>
            <b:First>Ferrari</b:First>
            <b:Last>M.</b:Last>
          </b:Person>
          <b:Person>
            <b:First>Cremonesi</b:First>
            <b:Last>M.</b:Last>
          </b:Person>
          <b:Person>
            <b:First>Stabin</b:First>
            <b:Last>M. G.</b:Last>
          </b:Person>
        </b:NameList>
      </b:Author>
    </b:Author>
    <b:Pages>5231-5248</b:Pages>
    <b:Volume>52</b:Volume>
    <b:StandardNumber>17</b:StandardNumber>
    <b:Day>15</b:Day>
    <b:Month>8</b:Month>
    <b:Publisher>IOP Publishing</b:Publisher>
    <b:DOI>10.1088/0031-9155/52/17/009</b:DOI>
    <b:Title>Influence of total-body mass on the scaling of&lt;i&gt;S&lt;/i&gt;-factors for patient-specific, blood-based red-marrow dosimetry</b:Title>
    <b:JournalName>Physics in Medicine and Biology</b:JournalName>
    <b:URL>http://dx.doi.org/10.1088/0031-9155/52/17/009</b:URL>
    <b:RefOrder>63</b:RefOrder>
  </b:Source>
  <b:Source>
    <b:Tag>84f723c0-fa82-4fc1-a4b6-74e53289fc28</b:Tag>
    <b:SourceType>InternetSite</b:SourceType>
    <b:Year>2017</b:Year>
    <b:Author>
      <b:Author>
        <b:NameList>
          <b:Person>
            <b:First>European</b:First>
            <b:Last>Medcines Agency</b:Last>
          </b:Person>
        </b:NameList>
      </b:Author>
    </b:Author>
    <b:Volume>2022</b:Volume>
    <b:Title>Assessment report EMA/506460/2017: Lutathera</b:Title>
    <b:URL>https://www.ema.europa.eu/en/documents/assessment-report/lutathera-epar-public-assessment-report_en.pdf</b:URL>
    <b:DayAccessed>28</b:DayAccessed>
    <b:MonthAccessed>5</b:MonthAccessed>
    <b:YearAccessed>2022</b:YearAccessed>
    <b:RefOrder>64</b:RefOrder>
  </b:Source>
  <b:Source>
    <b:Tag>23370788-0c01-42b6-adcd-341607255c21</b:Tag>
    <b:SourceType>JournalArticle</b:SourceType>
    <b:Year>2019</b:Year>
    <b:Author>
      <b:Author>
        <b:NameList>
          <b:Person>
            <b:First>Das</b:First>
            <b:Last>Satya</b:Last>
          </b:Person>
          <b:Person>
            <b:First>Al-Toubah</b:First>
            <b:Last>Taymeyah</b:Last>
          </b:Person>
          <b:Person>
            <b:First>El-Haddad</b:First>
            <b:Last>Ghassan</b:Last>
          </b:Person>
          <b:Person>
            <b:First>Strosberg</b:First>
            <b:Last>Jonathan</b:Last>
          </b:Person>
        </b:NameList>
      </b:Author>
    </b:Author>
    <b:Pages>1023-1031</b:Pages>
    <b:Volume>13</b:Volume>
    <b:StandardNumber>11</b:StandardNumber>
    <b:Day>2</b:Day>
    <b:Month>11</b:Month>
    <b:Publisher>Taylor &amp; Francis</b:Publisher>
    <b:DOI>10.1080/17474124.2019.1685381</b:DOI>
    <b:Title>177Lu-DOTATATE for the treatment of gastroenteropancreatic neuroendocrine tumors</b:Title>
    <b:JournalName>Expert Review of Gastroenterology &amp; Hepatology</b:JournalName>
    <b:URL>https://doi.org/10.1080/17474124.2019.1685381</b:URL>
    <b:RefOrder>65</b:RefOrder>
  </b:Source>
  <b:Source>
    <b:Tag>f347b1bc-7401-473f-a68c-1c502297b4b5</b:Tag>
    <b:SourceType>InternetSite</b:SourceType>
    <b:Year>2017</b:Year>
    <b:Author>
      <b:Author>
        <b:NameList>
          <b:Person>
            <b:First>Food</b:First>
            <b:Last>and Drug Administration</b:Last>
          </b:Person>
        </b:NameList>
      </b:Author>
    </b:Author>
    <b:Volume>2022</b:Volume>
    <b:Title>NDA 208700</b:Title>
    <b:URL>https://www.accessdata.fda.gov/drugsatfda_docs/nda/2018/208700Orig1s000OtherR..pdf</b:URL>
    <b:DayAccessed>28</b:DayAccessed>
    <b:MonthAccessed>6</b:MonthAccessed>
    <b:YearAccessed>2022</b:YearAccessed>
    <b:RefOrder>66</b:RefOrder>
  </b:Source>
  <b:Source>
    <b:Tag>968699bf-7775-48a7-9f99-bd844d885766</b:Tag>
    <b:SourceType>JournalArticle</b:SourceType>
    <b:Year>2019</b:Year>
    <b:Author>
      <b:Author>
        <b:NameList>
          <b:Person>
            <b:First>Mansi</b:First>
            <b:Last>Rosalba</b:Last>
          </b:Person>
          <b:Person>
            <b:First>Fani</b:First>
            <b:Last>Melpomeni</b:Last>
          </b:Person>
        </b:NameList>
      </b:Author>
    </b:Author>
    <b:Pages>635-645</b:Pages>
    <b:Volume>62</b:Volume>
    <b:StandardNumber>10</b:StandardNumber>
    <b:Day>1</b:Day>
    <b:Month>8</b:Month>
    <b:Publisher>John Wiley &amp; Sons, Ltd</b:Publisher>
    <b:DOI>https://doi.org/10.1002/jlcr.3755</b:DOI>
    <b:DayAccessed>28</b:DayAccessed>
    <b:MonthAccessed>6</b:MonthAccessed>
    <b:YearAccessed>2022</b:YearAccessed>
    <b:Title>Design and development of the theranostic pair 177Lu-OPS201/68Ga-OPS202 for targeting somatostatin receptor expressing tumors</b:Title>
    <b:JournalName>Journal of Labelled Compounds and Radiopharmaceuticals</b:JournalName>
    <b:URL>https://doi.org/10.1002/jlcr.3755</b:URL>
    <b:RefOrder>67</b:RefOrder>
  </b:Source>
  <b:Source>
    <b:Tag>4d67f825-b76d-4c59-8505-0e5e449be917</b:Tag>
    <b:SourceType>JournalArticle</b:SourceType>
    <b:Year>2021</b:Year>
    <b:Author>
      <b:Author>
        <b:NameList>
          <b:Person>
            <b:First>Baum</b:First>
            <b:Last>Richard P.</b:Last>
          </b:Person>
          <b:Person>
            <b:First>Zhang</b:First>
            <b:Last>Jingjing</b:Last>
          </b:Person>
          <b:Person>
            <b:First>Schuchardt</b:First>
            <b:Last>Christiane</b:Last>
          </b:Person>
          <b:Person>
            <b:First>Müller</b:First>
            <b:Last>Dirk</b:Last>
          </b:Person>
          <b:Person>
            <b:First>Mäcke</b:First>
            <b:Last>Helmut</b:Last>
          </b:Person>
        </b:NameList>
      </b:Author>
    </b:Author>
    <b:Pages>1571</b:Pages>
    <b:Volume>62</b:Volume>
    <b:StandardNumber>11</b:StandardNumber>
    <b:DOI>10.2967/jnumed.120.258889</b:DOI>
    <b:Title>First-in-Humans Study of the SSTR Antagonist &amp;lt;sup&amp;gt;177&amp;lt;/sup&amp;gt;Lu-DOTA-LM3 for Peptide Receptor Radionuclide Therapy in Patients with Metastatic Neuroendocrine Neoplasms: Dosimetry, Safety, and Efficacy</b:Title>
    <b:JournalName>Journal of Nuclear Medicine</b:JournalName>
    <b:URL>http://jnm.snmjournals.org/content/62/11/1571.abstract</b:URL>
    <b:RefOrder>68</b:RefOrder>
  </b:Source>
  <b:Source>
    <b:Tag>c0c3eda3-eb0d-4daf-b073-f4de4976e276</b:Tag>
    <b:SourceType>InternetSite</b:SourceType>
    <b:Year>2020</b:Year>
    <b:Author>
      <b:Author>
        <b:NameList>
          <b:Person>
            <b:First>Health</b:First>
            <b:Last>Sciences Authority</b:Last>
          </b:Person>
        </b:NameList>
      </b:Author>
    </b:Author>
    <b:Volume>2022</b:Volume>
    <b:Title>Summary Report of Benefit-Risk Assessment: Lutathera</b:Title>
    <b:URL>https://www.hsa.gov.sg/docs/default-source/hprg-tpb/summary-reports/lutathera_summary-report_01june2020.pdf</b:URL>
    <b:DayAccessed>28</b:DayAccessed>
    <b:MonthAccessed>6</b:MonthAccessed>
    <b:YearAccessed>2022</b:YearAccessed>
    <b:RefOrder>69</b:RefOrder>
  </b:Source>
  <b:Source>
    <b:Tag>4930af14-b5ee-4899-a3ac-78c6f8013307</b:Tag>
    <b:SourceType>JournalArticle</b:SourceType>
    <b:Year>2018</b:Year>
    <b:Author>
      <b:Author>
        <b:NameList>
          <b:Person>
            <b:First>Beykan</b:First>
            <b:Last>S. </b:Last>
          </b:Person>
          <b:Person>
            <b:First>Eberlein</b:First>
            <b:Last>U. </b:Last>
          </b:Person>
          <b:Person>
            <b:First>Werner</b:First>
            <b:Last>R. A. </b:Last>
          </b:Person>
          <b:Person>
            <b:First>Lapa</b:First>
            <b:Last>C.</b:Last>
          </b:Person>
          <b:Person>
            <b:First>Buck</b:First>
            <b:Last>A. K.</b:Last>
          </b:Person>
          <b:Person>
            <b:First>Kudlich</b:First>
            <b:Last>T.</b:Last>
          </b:Person>
          <b:Person>
            <b:First>Lassmann</b:First>
            <b:Last>M.</b:Last>
          </b:Person>
        </b:NameList>
      </b:Author>
    </b:Author>
    <b:Pages>S33</b:Pages>
    <b:Volume>45</b:Volume>
    <b:Title>OP-081 Patient-specific dosimetry of 177Lu-DOTATATE peptide receptor radionuclide therapy with high activities</b:Title>
    <b:JournalName>European Journal of Nuclear Medicine and Molecular Imaging</b:JournalName>
    <b:RefOrder>70</b:RefOrder>
  </b:Source>
  <b:Source>
    <b:Tag>da9620c7-e5b1-4d81-bd11-20cf313bed99</b:Tag>
    <b:SourceType>JournalArticle</b:SourceType>
    <b:Year>2018</b:Year>
    <b:Author>
      <b:Author>
        <b:NameList>
          <b:Person>
            <b:First>Garske-Román</b:First>
            <b:Last>Ulrike</b:Last>
          </b:Person>
          <b:Person>
            <b:First>Sandström</b:First>
            <b:Last>Mattias</b:Last>
          </b:Person>
          <b:Person>
            <b:First>Fröss</b:First>
            <b:Last>Baron Katarzyna</b:Last>
          </b:Person>
          <b:Person>
            <b:First>Lundin</b:First>
            <b:Last>Lars</b:Last>
          </b:Person>
          <b:Person>
            <b:First>Hellman</b:First>
            <b:Last>Per</b:Last>
          </b:Person>
          <b:Person>
            <b:First>Welin</b:First>
            <b:Last>Staffan</b:Last>
          </b:Person>
          <b:Person>
            <b:First>Johansson</b:First>
            <b:Last>Silvia</b:Last>
          </b:Person>
          <b:Person>
            <b:First>Khan</b:First>
            <b:Last>Tanweera</b:Last>
          </b:Person>
          <b:Person>
            <b:First>Lundqvist</b:First>
            <b:Last>Hans</b:Last>
          </b:Person>
          <b:Person>
            <b:First>Eriksson</b:First>
            <b:Last>Barbro</b:Last>
          </b:Person>
          <b:Person>
            <b:First>Sundin</b:First>
            <b:Last>Anders</b:Last>
          </b:Person>
          <b:Person>
            <b:First>Granberg</b:First>
            <b:Last>Dan</b:Last>
          </b:Person>
        </b:NameList>
      </b:Author>
    </b:Author>
    <b:Pages>970-988</b:Pages>
    <b:Volume>45</b:Volume>
    <b:StandardNumber>6</b:StandardNumber>
    <b:Day>1</b:Day>
    <b:Month>6</b:Month>
    <b:DOI>10.1007/s00259-018-3945-z</b:DOI>
    <b:Title>Prospective observational study of 177Lu-DOTA-octreotate therapy in 200 patients with advanced metastasized neuroendocrine tumours (NETs): feasibility and impact of a dosimetry-guided study protocol on outcome and toxicity</b:Title>
    <b:JournalName>European Journal of Nuclear Medicine and Molecular Imaging</b:JournalName>
    <b:URL>https://doi.org/10.1007/s00259-018-3945-z</b:URL>
    <b:RefOrder>71</b:RefOrder>
  </b:Source>
  <b:Source>
    <b:Tag>151f9a6b-b76c-4b62-852f-cb0dadda0ae9</b:Tag>
    <b:SourceType>JournalArticle</b:SourceType>
    <b:Year>2018</b:Year>
    <b:Author>
      <b:Author>
        <b:NameList>
          <b:Person>
            <b:First>Bergsma</b:First>
            <b:Last>Hendrik</b:Last>
          </b:Person>
          <b:Person>
            <b:First>van</b:First>
            <b:Last>Lom Kirsten</b:Last>
          </b:Person>
          <b:Person>
            <b:First>Raaijmakers</b:First>
            <b:Last>Marc H. G. P.</b:Last>
          </b:Person>
          <b:Person>
            <b:First>Konijnenberg</b:First>
            <b:Last>M.</b:Last>
          </b:Person>
          <b:Person>
            <b:First>Kam</b:First>
            <b:Last>B. L. Boen L. R.</b:Last>
          </b:Person>
          <b:Person>
            <b:First>Teunissen</b:First>
            <b:Last>Jaap J. M.</b:Last>
          </b:Person>
          <b:Person>
            <b:First>de</b:First>
            <b:Last>Herder Wouter W.</b:Last>
          </b:Person>
          <b:Person>
            <b:First>Krenning</b:First>
            <b:Last>Eric P.</b:Last>
          </b:Person>
          <b:Person>
            <b:First>Kwekkeboom</b:First>
            <b:Last>Dik J.</b:Last>
          </b:Person>
        </b:NameList>
      </b:Author>
    </b:Author>
    <b:Pages>452</b:Pages>
    <b:Volume>59</b:Volume>
    <b:StandardNumber>3</b:StandardNumber>
    <b:DOI>10.2967/jnumed.117.189712</b:DOI>
    <b:Title>Persistent Hematologic Dysfunction after Peptide Receptor Radionuclide Therapy with &amp;lt;sup&amp;gt;177&amp;lt;/sup&amp;gt;Lu-DOTATATE: Incidence, Course, and Predicting Factors in Patients with Gastroenteropancreatic Neuroendocrine Tumors</b:Title>
    <b:JournalName>Journal of Nuclear Medicine</b:JournalName>
    <b:URL>http://jnm.snmjournals.org/content/59/3/452.abstract</b:URL>
    <b:RefOrder>72</b:RefOrder>
  </b:Source>
  <b:Source>
    <b:Tag>35ea67ee-e007-4775-82b5-4bcd5c6a43c7</b:Tag>
    <b:SourceType>JournalArticle</b:SourceType>
    <b:Year>2009</b:Year>
    <b:Author>
      <b:Author>
        <b:NameList>
          <b:Person>
            <b:First>Forrer</b:First>
            <b:Last>Flavio</b:Last>
          </b:Person>
          <b:Person>
            <b:First>Krenning</b:First>
            <b:Last>Eric P.</b:Last>
          </b:Person>
          <b:Person>
            <b:First>Kooij</b:First>
            <b:Last>Peter P.</b:Last>
          </b:Person>
          <b:Person>
            <b:First>Bernard</b:First>
            <b:Last>Bert F.</b:Last>
          </b:Person>
          <b:Person>
            <b:First>Konijnenberg</b:First>
            <b:Last>Mark</b:Last>
          </b:Person>
          <b:Person>
            <b:First>Bakker</b:First>
            <b:Last>Willem H.</b:Last>
          </b:Person>
          <b:Person>
            <b:First>Teunissen</b:First>
            <b:Last>Jaap J. M.</b:Last>
          </b:Person>
          <b:Person>
            <b:First>de</b:First>
            <b:Last>Jong Marion</b:Last>
          </b:Person>
          <b:Person>
            <b:First>van</b:First>
            <b:Last>Lom Kirsten</b:Last>
          </b:Person>
          <b:Person>
            <b:First>de</b:First>
            <b:Last>Herder Wouter W.</b:Last>
          </b:Person>
          <b:Person>
            <b:First>Kwekkeboom</b:First>
            <b:Last>Dik J.</b:Last>
          </b:Person>
        </b:NameList>
      </b:Author>
    </b:Author>
    <b:Pages>1138</b:Pages>
    <b:Volume>36</b:Volume>
    <b:StandardNumber>7</b:StandardNumber>
    <b:Day>27</b:Day>
    <b:Month>2</b:Month>
    <b:DOI>10.1007/s00259-009-1072-6</b:DOI>
    <b:Title>Bone marrow dosimetry in peptide receptor radionuclide therapy with [177Lu-DOTA0,Tyr3]octreotate</b:Title>
    <b:JournalName>European Journal of Nuclear Medicine and Molecular Imaging</b:JournalName>
    <b:URL>https://doi.org/10.1007/s00259-009-1072-6</b:URL>
    <b:RefOrder>73</b:RefOrder>
  </b:Source>
  <b:Source>
    <b:Tag>1cfdf96b-eeaa-4a83-9544-ece33a1ed709</b:Tag>
    <b:SourceType>JournalArticle</b:SourceType>
    <b:Year>2015</b:Year>
    <b:Author>
      <b:Author>
        <b:NameList>
          <b:Person>
            <b:First>Kletting</b:First>
            <b:Last>Peter</b:Last>
          </b:Person>
          <b:Person>
            <b:First>Schimmel</b:First>
            <b:Last>Sebastian</b:Last>
          </b:Person>
          <b:Person>
            <b:First>Hänscheid</b:First>
            <b:Last>Heribert</b:Last>
          </b:Person>
          <b:Person>
            <b:First>Luster</b:First>
            <b:Last>Markus</b:Last>
          </b:Person>
          <b:Person>
            <b:First>Fernández</b:First>
            <b:Last>Maria</b:Last>
          </b:Person>
          <b:Person>
            <b:First>Nosske</b:First>
            <b:Last>Dietmar</b:Last>
          </b:Person>
          <b:Person>
            <b:First>Lassmann</b:First>
            <b:Last>Michael</b:Last>
          </b:Person>
          <b:Person>
            <b:First>Glatting</b:First>
            <b:Last>Gerhard</b:Last>
          </b:Person>
        </b:NameList>
      </b:Author>
    </b:Author>
    <b:Pages>264-274</b:Pages>
    <b:Volume>25</b:Volume>
    <b:StandardNumber>3</b:StandardNumber>
    <b:Day>1</b:Day>
    <b:Month>9</b:Month>
    <b:DOI>https://doi.org/10.1016/j.zemedi.2015.01.001</b:DOI>
    <b:Title>The NUKDOS software for treatment planning in molecular radiotherapy</b:Title>
    <b:JournalName>Zeitschrift für Medizinische Physik</b:JournalName>
    <b:URL>https://www.sciencedirect.com/science/article/pii/S0939388915000021</b:URL>
    <b:RefOrder>74</b:RefOrder>
  </b:Source>
  <b:Source>
    <b:Tag>c8d729d2-4995-4ea9-8e0a-b82f7d189712</b:Tag>
    <b:SourceType>JournalArticle</b:SourceType>
    <b:Year>2017</b:Year>
    <b:Author>
      <b:Author>
        <b:NameList>
          <b:Person>
            <b:First>Blakkisrud</b:First>
            <b:Last>Johan</b:Last>
          </b:Person>
          <b:Person>
            <b:First>Løndalen</b:First>
            <b:Last>Ayca</b:Last>
          </b:Person>
          <b:Person>
            <b:First>Dahle</b:First>
            <b:Last>Jostein</b:Last>
          </b:Person>
          <b:Person>
            <b:First>Turner</b:First>
            <b:Last>Simon</b:Last>
          </b:Person>
          <b:Person>
            <b:First>Holte</b:First>
            <b:Last>Harald</b:Last>
          </b:Person>
          <b:Person>
            <b:First>Kolstad</b:First>
            <b:Last>Arne</b:Last>
          </b:Person>
          <b:Person>
            <b:First>Stokke</b:First>
            <b:Last>Caroline</b:Last>
          </b:Person>
        </b:NameList>
      </b:Author>
    </b:Author>
    <b:Pages>55</b:Pages>
    <b:Volume>58</b:Volume>
    <b:StandardNumber>1</b:StandardNumber>
    <b:DOI>10.2967/jnumed.116.180471</b:DOI>
    <b:Title>Red Marrow–Absorbed Dose for Non-Hodgkin Lymphoma Patients Treated with &amp;lt;sup&amp;gt;177&amp;lt;/sup&amp;gt;Lu-Lilotomab Satetraxetan, a Novel Anti-CD37 Antibody–Radionuclide Conjugate</b:Title>
    <b:JournalName>Journal of Nuclear Medicine</b:JournalName>
    <b:URL>http://jnm.snmjournals.org/content/58/1/55.abstract</b:URL>
    <b:RefOrder>75</b:RefOrder>
  </b:Source>
  <b:Source>
    <b:Tag>875fe0b6-4319-4221-ab08-9cba262fce74</b:Tag>
    <b:SourceType>JournalArticle</b:SourceType>
    <b:Year>2010</b:Year>
    <b:Author>
      <b:Author>
        <b:NameList>
          <b:Person>
            <b:First>Ferrer</b:First>
            <b:Last>Ludovic</b:Last>
          </b:Person>
          <b:Person>
            <b:First>Kraeber-Bodéré</b:First>
            <b:Last>Françoise</b:Last>
          </b:Person>
          <b:Person>
            <b:First>Bodet-Milin</b:First>
            <b:Last>Caroline</b:Last>
          </b:Person>
          <b:Person>
            <b:First>Rousseau</b:First>
            <b:Last>Caroline</b:Last>
          </b:Person>
          <b:Person>
            <b:First>Gouill</b:First>
            <b:Last>Stephen Le</b:Last>
          </b:Person>
          <b:Person>
            <b:First>Wegener</b:First>
            <b:Last>William A.</b:Last>
          </b:Person>
          <b:Person>
            <b:First>Goldenberg</b:First>
            <b:Last>David M.</b:Last>
          </b:Person>
          <b:Person>
            <b:First>Bardiès</b:First>
            <b:Last>Manuel</b:Last>
          </b:Person>
        </b:NameList>
      </b:Author>
    </b:Author>
    <b:Pages>1093-1100</b:Pages>
    <b:Volume>116</b:Volume>
    <b:StandardNumber>S4</b:StandardNumber>
    <b:DOI>https://doi.org/10.1002/cncr.24797</b:DOI>
    <b:Title>Three methods assessing red marrow dosimetry in lymphoma patients treated with radioimmunotherapy</b:Title>
    <b:JournalName>Cancer</b:JournalName>
    <b:URL>https://acsjournals.onlinelibrary.wiley.com/doi/abs/10.1002/cncr.24797</b:URL>
    <b:RefOrder>76</b:RefOrder>
  </b:Source>
</b:Sources>
</file>

<file path=customXml/itemProps1.xml><?xml version="1.0" encoding="utf-8"?>
<ds:datastoreItem xmlns:ds="http://schemas.openxmlformats.org/officeDocument/2006/customXml" ds:itemID="{F40C3824-F258-4995-993A-C9E5375873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2892</Words>
  <Characters>16486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Erin Clarkson</cp:lastModifiedBy>
  <cp:revision>3</cp:revision>
  <dcterms:created xsi:type="dcterms:W3CDTF">2024-02-12T17:25:00Z</dcterms:created>
  <dcterms:modified xsi:type="dcterms:W3CDTF">2024-03-20T09:03:00Z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Title">
    <vt:lpwstr>References</vt:lpwstr>
  </property>
  <property fmtid="{D5CDD505-2E9C-101B-9397-08002B2CF9AE}" pid="3" name="SelectedBibliographyStyleName">
    <vt:lpwstr>Vancouver</vt:lpwstr>
  </property>
</Properties>
</file>