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BA05B" w14:textId="477DDEDB" w:rsidR="00383E48" w:rsidRPr="00EC0C76" w:rsidRDefault="00383E48" w:rsidP="00EC0C76">
      <w:pPr>
        <w:pStyle w:val="Title"/>
        <w:spacing w:line="480" w:lineRule="auto"/>
        <w:rPr>
          <w:rFonts w:ascii="Times New Roman" w:hAnsi="Times New Roman" w:cs="Times New Roman"/>
          <w:b/>
          <w:bCs/>
          <w:sz w:val="28"/>
          <w:szCs w:val="28"/>
          <w:lang w:val="en-US"/>
        </w:rPr>
      </w:pPr>
      <w:r w:rsidRPr="00383E48">
        <w:rPr>
          <w:rFonts w:ascii="Times New Roman" w:hAnsi="Times New Roman" w:cs="Times New Roman"/>
          <w:b/>
          <w:bCs/>
          <w:sz w:val="28"/>
          <w:szCs w:val="28"/>
          <w:lang w:val="en-US"/>
        </w:rPr>
        <w:t>Supplementary Materials</w:t>
      </w:r>
    </w:p>
    <w:p w14:paraId="5075BA24" w14:textId="24383643" w:rsidR="007B0E93" w:rsidRDefault="007B0E93" w:rsidP="00EC0C76">
      <w:pPr>
        <w:spacing w:line="480" w:lineRule="auto"/>
        <w:rPr>
          <w:lang w:val="en-US"/>
        </w:rPr>
      </w:pPr>
      <w:r>
        <w:rPr>
          <w:rFonts w:ascii="Times New Roman" w:hAnsi="Times New Roman" w:cs="Times New Roman"/>
          <w:b/>
          <w:bCs/>
          <w:sz w:val="24"/>
          <w:szCs w:val="24"/>
          <w:lang w:val="en-US"/>
        </w:rPr>
        <w:t>1. MRI acquisition</w:t>
      </w:r>
    </w:p>
    <w:p w14:paraId="466C9152" w14:textId="03A8003A" w:rsidR="007B0E93" w:rsidRDefault="007B0E93" w:rsidP="00EC0C76">
      <w:pPr>
        <w:spacing w:line="480" w:lineRule="auto"/>
        <w:jc w:val="both"/>
        <w:rPr>
          <w:rFonts w:ascii="Times New Roman" w:hAnsi="Times New Roman" w:cs="Times New Roman"/>
          <w:lang w:val="en-US"/>
        </w:rPr>
      </w:pPr>
      <w:r>
        <w:rPr>
          <w:rFonts w:ascii="Times New Roman" w:hAnsi="Times New Roman" w:cs="Times New Roman"/>
          <w:lang w:val="en-US"/>
        </w:rPr>
        <w:t>T</w:t>
      </w:r>
      <w:r w:rsidRPr="002449FF">
        <w:rPr>
          <w:rFonts w:ascii="Times New Roman" w:hAnsi="Times New Roman" w:cs="Times New Roman"/>
          <w:lang w:val="en-US"/>
        </w:rPr>
        <w:t xml:space="preserve">he following </w:t>
      </w:r>
      <w:r>
        <w:rPr>
          <w:rFonts w:ascii="Times New Roman" w:hAnsi="Times New Roman" w:cs="Times New Roman"/>
          <w:lang w:val="en-US"/>
        </w:rPr>
        <w:t xml:space="preserve">acquisition </w:t>
      </w:r>
      <w:r w:rsidRPr="002449FF">
        <w:rPr>
          <w:rFonts w:ascii="Times New Roman" w:hAnsi="Times New Roman" w:cs="Times New Roman"/>
          <w:lang w:val="en-US"/>
        </w:rPr>
        <w:t xml:space="preserve">parameters were </w:t>
      </w:r>
      <w:r>
        <w:rPr>
          <w:rFonts w:ascii="Times New Roman" w:hAnsi="Times New Roman" w:cs="Times New Roman"/>
          <w:lang w:val="en-US"/>
        </w:rPr>
        <w:t>used</w:t>
      </w:r>
      <w:r w:rsidRPr="002449FF">
        <w:rPr>
          <w:rFonts w:ascii="Times New Roman" w:hAnsi="Times New Roman" w:cs="Times New Roman"/>
          <w:lang w:val="en-US"/>
        </w:rPr>
        <w:t xml:space="preserve">: </w:t>
      </w:r>
      <w:r>
        <w:rPr>
          <w:rFonts w:ascii="Times New Roman" w:hAnsi="Times New Roman" w:cs="Times New Roman"/>
          <w:lang w:val="en-US"/>
        </w:rPr>
        <w:t xml:space="preserve">repetition time [TR] = 1930 ms, echo time [TE] = 2.36 msec, field of view = 256 x 256 mm, flip angle = 8°, slice thickness = 0.9 mm, matrix size = 288 </w:t>
      </w:r>
      <w:r>
        <w:rPr>
          <w:rFonts w:ascii="Times New Roman" w:hAnsi="Times New Roman" w:cs="Times New Roman" w:hint="eastAsia"/>
          <w:lang w:val="en-US"/>
        </w:rPr>
        <w:t>x</w:t>
      </w:r>
      <w:r w:rsidRPr="009A00F6">
        <w:rPr>
          <w:rFonts w:ascii="Times New Roman" w:hAnsi="Times New Roman" w:cs="Times New Roman" w:hint="eastAsia"/>
          <w:lang w:val="en-US"/>
        </w:rPr>
        <w:t xml:space="preserve"> </w:t>
      </w:r>
      <w:r>
        <w:rPr>
          <w:rFonts w:ascii="Times New Roman" w:hAnsi="Times New Roman" w:cs="Times New Roman"/>
          <w:lang w:val="en-US"/>
        </w:rPr>
        <w:t>288 pixels. Or a</w:t>
      </w:r>
      <w:r w:rsidRPr="00C23A62">
        <w:rPr>
          <w:rFonts w:ascii="Times New Roman" w:hAnsi="Times New Roman" w:cs="Times New Roman"/>
          <w:lang w:val="en-US"/>
        </w:rPr>
        <w:t xml:space="preserve"> high-resolution anatomical 3D</w:t>
      </w:r>
      <w:r>
        <w:rPr>
          <w:rFonts w:ascii="Times New Roman" w:hAnsi="Times New Roman" w:cs="Times New Roman"/>
          <w:lang w:val="en-US"/>
        </w:rPr>
        <w:t xml:space="preserve"> </w:t>
      </w:r>
      <w:r w:rsidRPr="00C23A62">
        <w:rPr>
          <w:rFonts w:ascii="Times New Roman" w:hAnsi="Times New Roman" w:cs="Times New Roman"/>
          <w:lang w:val="en-US"/>
        </w:rPr>
        <w:t>T1 was acquired on a 3</w:t>
      </w:r>
      <w:r>
        <w:rPr>
          <w:rFonts w:ascii="Times New Roman" w:hAnsi="Times New Roman" w:cs="Times New Roman"/>
          <w:lang w:val="en-US"/>
        </w:rPr>
        <w:t xml:space="preserve"> </w:t>
      </w:r>
      <w:r w:rsidRPr="001D650B">
        <w:rPr>
          <w:rFonts w:ascii="Times New Roman" w:hAnsi="Times New Roman" w:cs="Times New Roman"/>
          <w:lang w:val="en-US"/>
        </w:rPr>
        <w:t>Tesla</w:t>
      </w:r>
      <w:r w:rsidRPr="00C23A62">
        <w:rPr>
          <w:rFonts w:ascii="Times New Roman" w:hAnsi="Times New Roman" w:cs="Times New Roman"/>
          <w:lang w:val="en-US"/>
        </w:rPr>
        <w:t xml:space="preserve"> MR750w scanner (GE Healthcare, Milwaukee, Wisconsin) with the following parameters: matrix </w:t>
      </w:r>
      <w:r>
        <w:rPr>
          <w:rFonts w:ascii="Times New Roman" w:hAnsi="Times New Roman" w:cs="Times New Roman"/>
          <w:lang w:val="en-US"/>
        </w:rPr>
        <w:t xml:space="preserve">size = </w:t>
      </w:r>
      <w:r w:rsidRPr="00C23A62">
        <w:rPr>
          <w:rFonts w:ascii="Times New Roman" w:hAnsi="Times New Roman" w:cs="Times New Roman"/>
          <w:lang w:val="en-US"/>
        </w:rPr>
        <w:t xml:space="preserve">254 x 254, slices </w:t>
      </w:r>
      <w:r>
        <w:rPr>
          <w:rFonts w:ascii="Times New Roman" w:hAnsi="Times New Roman" w:cs="Times New Roman"/>
          <w:lang w:val="en-US"/>
        </w:rPr>
        <w:t xml:space="preserve">= </w:t>
      </w:r>
      <w:r w:rsidRPr="00C23A62">
        <w:rPr>
          <w:rFonts w:ascii="Times New Roman" w:hAnsi="Times New Roman" w:cs="Times New Roman"/>
          <w:lang w:val="en-US"/>
        </w:rPr>
        <w:t xml:space="preserve">178, 1mm isotropic, TR </w:t>
      </w:r>
      <w:r>
        <w:rPr>
          <w:rFonts w:ascii="Times New Roman" w:hAnsi="Times New Roman" w:cs="Times New Roman"/>
          <w:lang w:val="en-US"/>
        </w:rPr>
        <w:t xml:space="preserve">= </w:t>
      </w:r>
      <w:r w:rsidRPr="00C23A62">
        <w:rPr>
          <w:rFonts w:ascii="Times New Roman" w:hAnsi="Times New Roman" w:cs="Times New Roman"/>
          <w:lang w:val="en-US"/>
        </w:rPr>
        <w:t>7.2 ms.</w:t>
      </w:r>
    </w:p>
    <w:p w14:paraId="54A02B6D" w14:textId="1B86761E" w:rsidR="00F64277" w:rsidRDefault="00F64277" w:rsidP="00F64277">
      <w:pPr>
        <w:spacing w:line="480" w:lineRule="auto"/>
        <w:rPr>
          <w:lang w:val="en-US"/>
        </w:rPr>
      </w:pPr>
      <w:r>
        <w:rPr>
          <w:rFonts w:ascii="Times New Roman" w:hAnsi="Times New Roman" w:cs="Times New Roman"/>
          <w:b/>
          <w:bCs/>
          <w:sz w:val="24"/>
          <w:szCs w:val="24"/>
          <w:lang w:val="en-US"/>
        </w:rPr>
        <w:t>2. PET acquisition</w:t>
      </w:r>
    </w:p>
    <w:p w14:paraId="0301749C" w14:textId="14E53511" w:rsidR="009C5CCC" w:rsidRPr="009C5CCC" w:rsidRDefault="009C5CCC" w:rsidP="00EC0C76">
      <w:pPr>
        <w:spacing w:line="480" w:lineRule="auto"/>
        <w:jc w:val="both"/>
        <w:rPr>
          <w:rFonts w:ascii="Times New Roman" w:hAnsi="Times New Roman" w:cs="Times New Roman"/>
          <w:lang w:val="en-US"/>
        </w:rPr>
      </w:pPr>
      <w:r>
        <w:rPr>
          <w:rFonts w:ascii="Times New Roman" w:hAnsi="Times New Roman" w:cs="Times New Roman"/>
          <w:lang w:val="en-US"/>
        </w:rPr>
        <w:t>A</w:t>
      </w:r>
      <w:r w:rsidRPr="007A7DBA">
        <w:rPr>
          <w:rFonts w:ascii="Times New Roman" w:hAnsi="Times New Roman" w:cs="Times New Roman"/>
          <w:lang w:val="en-US"/>
        </w:rPr>
        <w:t>ll scanners were</w:t>
      </w:r>
      <w:r>
        <w:rPr>
          <w:rFonts w:ascii="Times New Roman" w:hAnsi="Times New Roman" w:cs="Times New Roman"/>
          <w:lang w:val="en-US"/>
        </w:rPr>
        <w:t xml:space="preserve"> from the same vendor and of the same generation, </w:t>
      </w:r>
      <w:r w:rsidRPr="007A7DBA">
        <w:rPr>
          <w:rFonts w:ascii="Times New Roman" w:hAnsi="Times New Roman" w:cs="Times New Roman"/>
          <w:lang w:val="en-US"/>
        </w:rPr>
        <w:t>harmonized regarding their performance and reconstructions</w:t>
      </w:r>
      <w:r>
        <w:rPr>
          <w:rFonts w:ascii="Times New Roman" w:hAnsi="Times New Roman" w:cs="Times New Roman"/>
          <w:lang w:val="en-US"/>
        </w:rPr>
        <w:t xml:space="preserve">, and cross-calibrated. </w:t>
      </w:r>
      <w:r w:rsidRPr="007A7DBA">
        <w:rPr>
          <w:rFonts w:ascii="Times New Roman" w:hAnsi="Times New Roman" w:cs="Times New Roman"/>
          <w:lang w:val="en-US"/>
        </w:rPr>
        <w:t xml:space="preserve"> </w:t>
      </w:r>
    </w:p>
    <w:p w14:paraId="5F1D5AA7" w14:textId="54AF8D0E" w:rsidR="00F64277" w:rsidRDefault="00F64277" w:rsidP="00EC0C76">
      <w:pPr>
        <w:spacing w:line="480" w:lineRule="auto"/>
        <w:jc w:val="both"/>
        <w:rPr>
          <w:rFonts w:ascii="Times New Roman" w:hAnsi="Times New Roman" w:cs="Times New Roman"/>
          <w:lang w:val="en-US"/>
        </w:rPr>
      </w:pPr>
      <w:r w:rsidRPr="00F64277">
        <w:rPr>
          <w:rFonts w:ascii="Times New Roman" w:hAnsi="Times New Roman" w:cs="Times New Roman"/>
          <w:i/>
          <w:iCs/>
          <w:vertAlign w:val="superscript"/>
          <w:lang w:val="en-US"/>
        </w:rPr>
        <w:t>18</w:t>
      </w:r>
      <w:r w:rsidRPr="00F64277">
        <w:rPr>
          <w:rFonts w:ascii="Times New Roman" w:hAnsi="Times New Roman" w:cs="Times New Roman"/>
          <w:i/>
          <w:iCs/>
          <w:lang w:val="en-US"/>
        </w:rPr>
        <w:t>F-FDG-PET</w:t>
      </w:r>
      <w:r w:rsidRPr="00F64277">
        <w:rPr>
          <w:rFonts w:ascii="Times New Roman" w:hAnsi="Times New Roman" w:cs="Times New Roman"/>
          <w:lang w:val="en-US"/>
        </w:rPr>
        <w:t xml:space="preserve"> - </w:t>
      </w:r>
      <w:r w:rsidRPr="00F64277">
        <w:rPr>
          <w:rFonts w:ascii="Times New Roman" w:hAnsi="Times New Roman" w:cs="Times New Roman"/>
          <w:vertAlign w:val="superscript"/>
          <w:lang w:val="en-US"/>
        </w:rPr>
        <w:t>18</w:t>
      </w:r>
      <w:r w:rsidRPr="00F64277">
        <w:rPr>
          <w:rFonts w:ascii="Times New Roman" w:hAnsi="Times New Roman" w:cs="Times New Roman"/>
          <w:lang w:val="en-US"/>
        </w:rPr>
        <w:t>F-FDG-PET was performed according to the European Association of Nuclear Medicine (EANM) guidelines</w:t>
      </w:r>
      <w:r w:rsidR="006840E4">
        <w:rPr>
          <w:rFonts w:ascii="Times New Roman" w:hAnsi="Times New Roman" w:cs="Times New Roman"/>
          <w:lang w:val="en-US"/>
        </w:rPr>
        <w:t xml:space="preserve"> </w:t>
      </w:r>
      <w:r w:rsidR="006840E4">
        <w:rPr>
          <w:rFonts w:ascii="Times New Roman" w:hAnsi="Times New Roman" w:cs="Times New Roman"/>
          <w:lang w:val="en-US"/>
        </w:rPr>
        <w:fldChar w:fldCharType="begin" w:fldLock="1"/>
      </w:r>
      <w:r w:rsidR="00A367A9">
        <w:rPr>
          <w:rFonts w:ascii="Times New Roman" w:hAnsi="Times New Roman" w:cs="Times New Roman"/>
          <w:lang w:val="en-US"/>
        </w:rPr>
        <w:instrText>ADDIN CSL_CITATION {"citationItems":[{"id":"ITEM-1","itemData":{"DOI":"10.1007/s00259-021-05603-w","ISBN":"0025902105","ISSN":"1619-7070","abstract":" The present procedural guidelines summarize the current views of the EANM Neuro-Imaging Committee (NIC). The purpose of these guidelines is to assist nuclear medicine practitioners in making recommendations, performing, interpreting, and reporting results of [ 18 F]FDG-PET imaging of the brain. The aim is to help achieve a high-quality standard of [ 18 F]FDG brain imaging and to further increase the diagnostic impact of this technique in neurological, neurosurgical, and psychiatric practice. The present document replaces a former version of the guidelines that have been published in 2009. These new guidelines include an update in the light of advances in PET technology such as the introduction of digital PET and hybrid PET/MR systems, advances in individual PET semiquantitative analysis, and current broadening clinical indications (e.g., for encephalitis and brain lymphoma). Further insight has also become available about hyperglycemia effects in patients who undergo brain [ 18 F]FDG-PET. Accordingly, the patient preparation procedure has been updated. Finally, most typical brain patterns of metabolic changes are summarized for neurodegenerative diseases. The present guidelines are specifically intended to present information related to the European practice. The information provided should be taken in the context of local conditions and regulations. ","author":[{"dropping-particle":"","family":"Guedj","given":"Eric","non-dropping-particle":"","parse-names":false,"suffix":""},{"dropping-particle":"","family":"Varrone","given":"Andrea","non-dropping-particle":"","parse-names":false,"suffix":""},{"dropping-particle":"","family":"Boellaard","given":"Ronald","non-dropping-particle":"","parse-names":false,"suffix":""},{"dropping-particle":"","family":"Albert","given":"Nathalie L.","non-dropping-particle":"","parse-names":false,"suffix":""},{"dropping-particle":"","family":"Barthel","given":"Henryk","non-dropping-particle":"","parse-names":false,"suffix":""},{"dropping-particle":"","family":"Berckel","given":"Bart","non-dropping-particle":"van","parse-names":false,"suffix":""},{"dropping-particle":"","family":"Brendel","given":"Matthias","non-dropping-particle":"","parse-names":false,"suffix":""},{"dropping-particle":"","family":"Cecchin","given":"Diego","non-dropping-particle":"","parse-names":false,"suffix":""},{"dropping-particle":"","family":"Ekmekcioglu","given":"Ozgul","non-dropping-particle":"","parse-names":false,"suffix":""},{"dropping-particle":"","family":"Garibotto","given":"Valentina","non-dropping-particle":"","parse-names":false,"suffix":""},{"dropping-particle":"","family":"Lammertsma","given":"Adriaan A.","non-dropping-particle":"","parse-names":false,"suffix":""},{"dropping-particle":"","family":"Law","given":"Ian","non-dropping-particle":"","parse-names":false,"suffix":""},{"dropping-particle":"","family":"Peñuelas","given":"Iván","non-dropping-particle":"","parse-names":false,"suffix":""},{"dropping-particle":"","family":"Semah","given":"Franck","non-dropping-particle":"","parse-names":false,"suffix":""},{"dropping-particle":"","family":"Traub-Weidinger","given":"Tatjana","non-dropping-particle":"","parse-names":false,"suffix":""},{"dropping-particle":"","family":"Giessen","given":"Elsmarieke","non-dropping-particle":"van de","parse-names":false,"suffix":""},{"dropping-particle":"","family":"Weehaeghe","given":"Donatienne","non-dropping-particle":"Van","parse-names":false,"suffix":""},{"dropping-particle":"","family":"Morbelli","given":"Silvia","non-dropping-particle":"","parse-names":false,"suffix":""}],"container-title":"European Journal of Nuclear Medicine and Molecular Imaging","id":"ITEM-1","issue":"0123456789","issued":{"date-parts":[["2021"]]},"publisher":"Springer Berlin Heidelberg","title":"EANM procedure guidelines for brain PET imaging using [18F]FDG, version 3","type":"article-journal"},"uris":["http://www.mendeley.com/documents/?uuid=22d52e8b-9a2e-40cd-921b-f8225721ceb3"]},{"id":"ITEM-2","itemData":{"DOI":"10.1007/s00259-014-2961-x","ISSN":"16197089","PMID":"25452219","abstract":"The purpose of these guidelines is to assist physicians in recommending, performing, interpreting and reporting the results of FDG PET/CT for oncological imaging of adult patients. PET is a quantitative imaging technique and therefore requires a common quality control (QC)/quality assurance (QA) procedure to maintain the accuracy and precision of quantitation. Repeatability and reproducibility are two essential requirements for any quantitative measurement and/or imaging biomarker. Repeatability relates to the uncertainty in obtaining the same result in the same patient when he or she is examined more than once on the same system. However, imaging biomarkers should also have adequate reproducibility, i.e. the ability to yield the same result in the same patient when that patient is examined on different systems and at different imaging sites. Adequate repeatability and reproducibility are essential for the clinical management of patients and the use of FDG PET/CT within multicentre trials. A common standardised imaging procedure will help promote the appropriate use of FDG PET/CT imaging and increase the value of publications and, therefore, their contribution to evidence-based medicine. Moreover, consistency in numerical values between platforms and institutes that acquire the data will potentially enhance the role of semiquantitative and quantitative image interpretation. Precision and accuracy are additionally important as FDG PET/CT is used to evaluate tumour response as well as for diagnosis, prognosis and staging. Therefore both the previous and these new guidelines specifically aim to achieve standardised uptake value harmonisation in multicentre settings.","author":[{"dropping-particle":"","family":"Boellaard","given":"Ronald","non-dropping-particle":"","parse-names":false,"suffix":""},{"dropping-particle":"","family":"Delgado-Bolton","given":"Roberto","non-dropping-particle":"","parse-names":false,"suffix":""},{"dropping-particle":"","family":"Oyen","given":"Wim J.G.","non-dropping-particle":"","parse-names":false,"suffix":""},{"dropping-particle":"","family":"Giammarile","given":"Francesco","non-dropping-particle":"","parse-names":false,"suffix":""},{"dropping-particle":"","family":"Tatsch","given":"Klaus","non-dropping-particle":"","parse-names":false,"suffix":""},{"dropping-particle":"","family":"Eschner","given":"Wolfgang","non-dropping-particle":"","parse-names":false,"suffix":""},{"dropping-particle":"","family":"Verzijlbergen","given":"Fred J.","non-dropping-particle":"","parse-names":false,"suffix":""},{"dropping-particle":"","family":"Barrington","given":"Sally F.","non-dropping-particle":"","parse-names":false,"suffix":""},{"dropping-particle":"","family":"Pike","given":"Lucy C.","non-dropping-particle":"","parse-names":false,"suffix":""},{"dropping-particle":"","family":"Weber","given":"Wolfgang A.","non-dropping-particle":"","parse-names":false,"suffix":""},{"dropping-particle":"","family":"Stroobants","given":"Sigrid","non-dropping-particle":"","parse-names":false,"suffix":""},{"dropping-particle":"","family":"Delbeke","given":"Dominique","non-dropping-particle":"","parse-names":false,"suffix":""},{"dropping-particle":"","family":"Donohoe","given":"Kevin J.","non-dropping-particle":"","parse-names":false,"suffix":""},{"dropping-particle":"","family":"Holbrook","given":"Scott","non-dropping-particle":"","parse-names":false,"suffix":""},{"dropping-particle":"","family":"Graham","given":"Michael M.","non-dropping-particle":"","parse-names":false,"suffix":""},{"dropping-particle":"","family":"Testanera","given":"Giorgio","non-dropping-particle":"","parse-names":false,"suffix":""},{"dropping-particle":"","family":"Hoekstra","given":"Otto S.","non-dropping-particle":"","parse-names":false,"suffix":""},{"dropping-particle":"","family":"Zijlstra","given":"Josee","non-dropping-particle":"","parse-names":false,"suffix":""},{"dropping-particle":"","family":"Visser","given":"Eric","non-dropping-particle":"","parse-names":false,"suffix":""},{"dropping-particle":"","family":"Hoekstra","given":"Corneline J.","non-dropping-particle":"","parse-names":false,"suffix":""},{"dropping-particle":"","family":"Pruim","given":"Jan","non-dropping-particle":"","parse-names":false,"suffix":""},{"dropping-particle":"","family":"Willemsen","given":"Antoon","non-dropping-particle":"","parse-names":false,"suffix":""},{"dropping-particle":"","family":"Arends","given":"Bertjan","non-dropping-particle":"","parse-names":false,"suffix":""},{"dropping-particle":"","family":"Kotzerke","given":"Jörg","non-dropping-particle":"","parse-names":false,"suffix":""},{"dropping-particle":"","family":"Bockisch","given":"Andreas","non-dropping-particle":"","parse-names":false,"suffix":""},{"dropping-particle":"","family":"Beyer","given":"Thomas","non-dropping-particle":"","parse-names":false,"suffix":""},{"dropping-particle":"","family":"Chiti","given":"Arturo","non-dropping-particle":"","parse-names":false,"suffix":""},{"dropping-particle":"","family":"Krause","given":"Bernd J.","non-dropping-particle":"","parse-names":false,"suffix":""}],"container-title":"European Journal of Nuclear Medicine and Molecular Imaging","id":"ITEM-2","issue":"2","issued":{"date-parts":[["2015"]]},"page":"328-354","title":"FDG PET/CT: EANM procedure guidelines for tumour imaging: version 2.0","type":"article-journal","volume":"42"},"uris":["http://www.mendeley.com/documents/?uuid=d4bf8e8d-49a8-4185-909d-cc6e12ead100"]}],"mendeley":{"formattedCitation":"&lt;span style=\"baseline\"&gt;(&lt;i&gt;1&lt;/i&gt;,&lt;i&gt;2&lt;/i&gt;)&lt;/span&gt;","plainTextFormattedCitation":"(1,2)","previouslyFormattedCitation":"&lt;span style=\"baseline\"&gt;(&lt;i&gt;1&lt;/i&gt;,&lt;i&gt;2&lt;/i&gt;)&lt;/span&gt;"},"properties":{"noteIndex":0},"schema":"https://github.com/citation-style-language/schema/raw/master/csl-citation.json"}</w:instrText>
      </w:r>
      <w:r w:rsidR="006840E4">
        <w:rPr>
          <w:rFonts w:ascii="Times New Roman" w:hAnsi="Times New Roman" w:cs="Times New Roman"/>
          <w:lang w:val="en-US"/>
        </w:rPr>
        <w:fldChar w:fldCharType="separate"/>
      </w:r>
      <w:r w:rsidR="006840E4" w:rsidRPr="006840E4">
        <w:rPr>
          <w:rFonts w:ascii="Times New Roman" w:hAnsi="Times New Roman" w:cs="Times New Roman"/>
          <w:noProof/>
          <w:lang w:val="en-US"/>
        </w:rPr>
        <w:t>(</w:t>
      </w:r>
      <w:r w:rsidR="006840E4" w:rsidRPr="006840E4">
        <w:rPr>
          <w:rFonts w:ascii="Times New Roman" w:hAnsi="Times New Roman" w:cs="Times New Roman"/>
          <w:i/>
          <w:noProof/>
          <w:lang w:val="en-US"/>
        </w:rPr>
        <w:t>1</w:t>
      </w:r>
      <w:r w:rsidR="006840E4" w:rsidRPr="006840E4">
        <w:rPr>
          <w:rFonts w:ascii="Times New Roman" w:hAnsi="Times New Roman" w:cs="Times New Roman"/>
          <w:noProof/>
          <w:lang w:val="en-US"/>
        </w:rPr>
        <w:t>,</w:t>
      </w:r>
      <w:r w:rsidR="006840E4" w:rsidRPr="006840E4">
        <w:rPr>
          <w:rFonts w:ascii="Times New Roman" w:hAnsi="Times New Roman" w:cs="Times New Roman"/>
          <w:i/>
          <w:noProof/>
          <w:lang w:val="en-US"/>
        </w:rPr>
        <w:t>2</w:t>
      </w:r>
      <w:r w:rsidR="006840E4" w:rsidRPr="006840E4">
        <w:rPr>
          <w:rFonts w:ascii="Times New Roman" w:hAnsi="Times New Roman" w:cs="Times New Roman"/>
          <w:noProof/>
          <w:lang w:val="en-US"/>
        </w:rPr>
        <w:t>)</w:t>
      </w:r>
      <w:r w:rsidR="006840E4">
        <w:rPr>
          <w:rFonts w:ascii="Times New Roman" w:hAnsi="Times New Roman" w:cs="Times New Roman"/>
          <w:lang w:val="en-US"/>
        </w:rPr>
        <w:fldChar w:fldCharType="end"/>
      </w:r>
      <w:r w:rsidRPr="00F64277">
        <w:rPr>
          <w:rFonts w:ascii="Times New Roman" w:hAnsi="Times New Roman" w:cs="Times New Roman"/>
          <w:lang w:val="en-US"/>
        </w:rPr>
        <w:t xml:space="preserve">. </w:t>
      </w:r>
      <w:r>
        <w:rPr>
          <w:rFonts w:ascii="Times New Roman" w:hAnsi="Times New Roman" w:cs="Times New Roman"/>
          <w:lang w:val="en-US"/>
        </w:rPr>
        <w:t>S</w:t>
      </w:r>
      <w:r w:rsidRPr="00F64277">
        <w:rPr>
          <w:rFonts w:ascii="Times New Roman" w:hAnsi="Times New Roman" w:cs="Times New Roman"/>
          <w:lang w:val="en-US"/>
        </w:rPr>
        <w:t xml:space="preserve">ubjects fasted for at least 4 hours. Before radiopharmaceutical injection, blood glucose was checked and was 7mmol/L </w:t>
      </w:r>
      <w:r w:rsidRPr="006840E4">
        <w:rPr>
          <w:rFonts w:ascii="Times New Roman" w:hAnsi="Times New Roman" w:cs="Times New Roman"/>
          <w:lang w:val="en-US"/>
        </w:rPr>
        <w:t xml:space="preserve">or less </w:t>
      </w:r>
      <w:r w:rsidRPr="00F64277">
        <w:rPr>
          <w:rFonts w:ascii="Times New Roman" w:hAnsi="Times New Roman" w:cs="Times New Roman"/>
          <w:lang w:val="en-US"/>
        </w:rPr>
        <w:t xml:space="preserve">for all subjects. Subjects were injected with 203.89±15.62 MBq of </w:t>
      </w:r>
      <w:r w:rsidRPr="00A367A9">
        <w:rPr>
          <w:rFonts w:ascii="Times New Roman" w:hAnsi="Times New Roman" w:cs="Times New Roman"/>
          <w:vertAlign w:val="superscript"/>
          <w:lang w:val="en-US"/>
        </w:rPr>
        <w:t>18</w:t>
      </w:r>
      <w:r w:rsidRPr="00F64277">
        <w:rPr>
          <w:rFonts w:ascii="Times New Roman" w:hAnsi="Times New Roman" w:cs="Times New Roman"/>
          <w:lang w:val="en-US"/>
        </w:rPr>
        <w:t>F-FDG via a venous cannula, eyes open in a dimly lit room. The required minimum time interval between injection and scan start was 30 minutes. The scanning time lasted 20 minutes. Data were acquired in list mode and were reconstructed using 3D OSEM 6 interactions 8 subsets, and a 2mm Gaussian filter at Full Width and Half Maximum, resulting in images with 400x400 matrix with 1.01mm isotropic voxels.</w:t>
      </w:r>
    </w:p>
    <w:p w14:paraId="46049229" w14:textId="50CA3A18" w:rsidR="00084906" w:rsidRDefault="00084906" w:rsidP="00EC0C76">
      <w:pPr>
        <w:spacing w:line="480" w:lineRule="auto"/>
        <w:jc w:val="both"/>
        <w:rPr>
          <w:rFonts w:ascii="Times New Roman" w:hAnsi="Times New Roman" w:cs="Times New Roman"/>
          <w:lang w:val="en-US"/>
        </w:rPr>
      </w:pPr>
      <w:r w:rsidRPr="0049593B">
        <w:rPr>
          <w:rFonts w:ascii="Times New Roman" w:hAnsi="Times New Roman" w:cs="Times New Roman"/>
          <w:i/>
          <w:iCs/>
          <w:lang w:val="en-US"/>
        </w:rPr>
        <w:t>Amyloid-PET</w:t>
      </w:r>
      <w:r w:rsidRPr="0049593B">
        <w:rPr>
          <w:rFonts w:ascii="Times New Roman" w:hAnsi="Times New Roman" w:cs="Times New Roman"/>
          <w:lang w:val="en-US"/>
        </w:rPr>
        <w:t xml:space="preserve"> - </w:t>
      </w:r>
      <w:r w:rsidR="009C5CCC" w:rsidRPr="0049593B">
        <w:rPr>
          <w:rFonts w:ascii="Times New Roman" w:hAnsi="Times New Roman" w:cs="Times New Roman"/>
          <w:vertAlign w:val="superscript"/>
          <w:lang w:val="en-US"/>
        </w:rPr>
        <w:t>18</w:t>
      </w:r>
      <w:r w:rsidR="009C5CCC" w:rsidRPr="0049593B">
        <w:rPr>
          <w:rFonts w:ascii="Times New Roman" w:hAnsi="Times New Roman" w:cs="Times New Roman"/>
          <w:lang w:val="en-US"/>
        </w:rPr>
        <w:t xml:space="preserve">F-FBP late images were acquired 50 min after the intravenous administration of 210±18.77 MBq (3 × 5-min image frames). </w:t>
      </w:r>
      <w:r w:rsidR="009C5CCC" w:rsidRPr="0049593B">
        <w:rPr>
          <w:rFonts w:ascii="Times New Roman" w:hAnsi="Times New Roman" w:cs="Times New Roman"/>
          <w:vertAlign w:val="superscript"/>
          <w:lang w:val="en-US"/>
        </w:rPr>
        <w:t>18</w:t>
      </w:r>
      <w:r w:rsidR="009C5CCC" w:rsidRPr="0049593B">
        <w:rPr>
          <w:rFonts w:ascii="Times New Roman" w:hAnsi="Times New Roman" w:cs="Times New Roman"/>
          <w:lang w:val="en-US"/>
        </w:rPr>
        <w:t xml:space="preserve">F-FMM late images were acquired 90 min after the intravenous administration of 166±16.73 MBq (4 × 5-min image frames). Images were then averaged into a single 15- or 20-minutes frame. </w:t>
      </w:r>
      <w:r w:rsidRPr="0049593B">
        <w:rPr>
          <w:rFonts w:ascii="Times New Roman" w:hAnsi="Times New Roman" w:cs="Times New Roman"/>
          <w:lang w:val="en-US"/>
        </w:rPr>
        <w:t>All amyloid-PET late images were visually assessed by an independent, board-certified specialist in nuclear medicine (VG) applying the standard operating procedures approved by the European Medicines Agency</w:t>
      </w:r>
      <w:r w:rsidRPr="0049593B">
        <w:rPr>
          <w:lang w:val="en-US"/>
        </w:rPr>
        <w:t xml:space="preserve"> </w:t>
      </w:r>
      <w:r w:rsidRPr="0049593B">
        <w:rPr>
          <w:rFonts w:ascii="Times New Roman" w:hAnsi="Times New Roman" w:cs="Times New Roman"/>
          <w:lang w:val="en-US"/>
        </w:rPr>
        <w:t>(</w:t>
      </w:r>
      <w:hyperlink r:id="rId5" w:history="1">
        <w:r w:rsidR="009C5CCC" w:rsidRPr="00A038A6">
          <w:rPr>
            <w:rStyle w:val="Hyperlink"/>
            <w:rFonts w:ascii="Times New Roman" w:hAnsi="Times New Roman" w:cs="Times New Roman"/>
            <w:lang w:val="en-US"/>
          </w:rPr>
          <w:t>https://www.ema.europa.eu/documents/product-information/vizamyl-epar productinformation_en.pdf</w:t>
        </w:r>
      </w:hyperlink>
      <w:r w:rsidRPr="0049593B">
        <w:rPr>
          <w:rFonts w:ascii="Times New Roman" w:hAnsi="Times New Roman" w:cs="Times New Roman"/>
          <w:lang w:val="en-US"/>
        </w:rPr>
        <w:t>;</w:t>
      </w:r>
      <w:hyperlink r:id="rId6" w:history="1">
        <w:r w:rsidRPr="0049593B">
          <w:rPr>
            <w:rStyle w:val="Hyperlink"/>
            <w:rFonts w:ascii="Times New Roman" w:hAnsi="Times New Roman" w:cs="Times New Roman"/>
            <w:lang w:val="en-US"/>
          </w:rPr>
          <w:t>https://www.ema.europa.eu/documents/product-information/amyvid-epar-</w:t>
        </w:r>
        <w:r w:rsidRPr="0049593B">
          <w:rPr>
            <w:rStyle w:val="Hyperlink"/>
            <w:rFonts w:ascii="Times New Roman" w:hAnsi="Times New Roman" w:cs="Times New Roman"/>
            <w:lang w:val="en-US"/>
          </w:rPr>
          <w:lastRenderedPageBreak/>
          <w:t>product-information_en.pdf</w:t>
        </w:r>
      </w:hyperlink>
      <w:r w:rsidRPr="0049593B">
        <w:rPr>
          <w:rFonts w:ascii="Times New Roman" w:hAnsi="Times New Roman" w:cs="Times New Roman"/>
          <w:lang w:val="en-US"/>
        </w:rPr>
        <w:t xml:space="preserve"> ). Subjects were classified based on the visual inspection of the late images into "A+” or "A-” (i.e., subjects that presented high levels and low levels of cortical amyloid binding, respectively).</w:t>
      </w:r>
    </w:p>
    <w:p w14:paraId="62F48FDE" w14:textId="0699856C" w:rsidR="00A367A9" w:rsidRDefault="00A367A9" w:rsidP="00A367A9">
      <w:pPr>
        <w:spacing w:line="480" w:lineRule="auto"/>
        <w:jc w:val="both"/>
        <w:rPr>
          <w:rFonts w:ascii="Times New Roman" w:hAnsi="Times New Roman" w:cs="Times New Roman"/>
          <w:lang w:val="en-US"/>
        </w:rPr>
      </w:pPr>
      <w:r w:rsidRPr="00A367A9">
        <w:rPr>
          <w:rFonts w:ascii="Times New Roman" w:hAnsi="Times New Roman" w:cs="Times New Roman"/>
          <w:i/>
          <w:iCs/>
          <w:lang w:val="en-US"/>
        </w:rPr>
        <w:t>Tau-PET</w:t>
      </w:r>
      <w:r>
        <w:rPr>
          <w:rFonts w:ascii="Times New Roman" w:hAnsi="Times New Roman" w:cs="Times New Roman"/>
          <w:lang w:val="en-US"/>
        </w:rPr>
        <w:t xml:space="preserve"> - </w:t>
      </w:r>
      <w:r w:rsidRPr="00A367A9">
        <w:rPr>
          <w:rFonts w:ascii="Times New Roman" w:hAnsi="Times New Roman" w:cs="Times New Roman"/>
          <w:vertAlign w:val="superscript"/>
          <w:lang w:val="en-US"/>
        </w:rPr>
        <w:t>18</w:t>
      </w:r>
      <w:r w:rsidRPr="00A367A9">
        <w:rPr>
          <w:rFonts w:ascii="Times New Roman" w:hAnsi="Times New Roman" w:cs="Times New Roman"/>
          <w:lang w:val="en-US"/>
        </w:rPr>
        <w:t>F</w:t>
      </w:r>
      <w:r>
        <w:rPr>
          <w:rFonts w:ascii="Times New Roman" w:hAnsi="Times New Roman" w:cs="Times New Roman"/>
          <w:lang w:val="en-US"/>
        </w:rPr>
        <w:t>-</w:t>
      </w:r>
      <w:r w:rsidRPr="00A367A9">
        <w:rPr>
          <w:rFonts w:ascii="Times New Roman" w:hAnsi="Times New Roman" w:cs="Times New Roman"/>
          <w:lang w:val="en-US"/>
        </w:rPr>
        <w:t xml:space="preserve">flortaucipir (18F-AV1451), synthesized at the Center for Radiopharmaceutical Sciences in </w:t>
      </w:r>
      <w:r w:rsidR="006640B6">
        <w:rPr>
          <w:rFonts w:ascii="Times New Roman" w:hAnsi="Times New Roman" w:cs="Times New Roman"/>
          <w:lang w:val="en-US"/>
        </w:rPr>
        <w:t>ETH Zurich</w:t>
      </w:r>
      <w:r w:rsidRPr="00A367A9">
        <w:rPr>
          <w:rFonts w:ascii="Times New Roman" w:hAnsi="Times New Roman" w:cs="Times New Roman"/>
          <w:lang w:val="en-US"/>
        </w:rPr>
        <w:t xml:space="preserve">, Switzerland, under license from the intellectual property (IP) owner (Avid subsidiary of Lilly, Philadelphia, PA, USA), was used for the tau-PET scans. Subjects received 180 MBq of </w:t>
      </w:r>
      <w:r w:rsidRPr="00A367A9">
        <w:rPr>
          <w:rFonts w:ascii="Times New Roman" w:hAnsi="Times New Roman" w:cs="Times New Roman"/>
          <w:vertAlign w:val="superscript"/>
          <w:lang w:val="en-US"/>
        </w:rPr>
        <w:t>18</w:t>
      </w:r>
      <w:r w:rsidRPr="00A367A9">
        <w:rPr>
          <w:rFonts w:ascii="Times New Roman" w:hAnsi="Times New Roman" w:cs="Times New Roman"/>
          <w:lang w:val="en-US"/>
        </w:rPr>
        <w:t xml:space="preserve">F-AV1451, with </w:t>
      </w:r>
      <w:r>
        <w:rPr>
          <w:rFonts w:ascii="Times New Roman" w:hAnsi="Times New Roman" w:cs="Times New Roman"/>
          <w:lang w:val="en-US"/>
        </w:rPr>
        <w:t xml:space="preserve">late </w:t>
      </w:r>
      <w:r w:rsidRPr="00A367A9">
        <w:rPr>
          <w:rFonts w:ascii="Times New Roman" w:hAnsi="Times New Roman" w:cs="Times New Roman"/>
          <w:lang w:val="en-US"/>
        </w:rPr>
        <w:t>image acquisition performed 75 min after injection (acquisition time 30</w:t>
      </w:r>
      <w:r>
        <w:rPr>
          <w:rFonts w:ascii="Times New Roman" w:hAnsi="Times New Roman" w:cs="Times New Roman"/>
          <w:lang w:val="en-US"/>
        </w:rPr>
        <w:t xml:space="preserve"> </w:t>
      </w:r>
      <w:r w:rsidRPr="00A367A9">
        <w:rPr>
          <w:rFonts w:ascii="Times New Roman" w:hAnsi="Times New Roman" w:cs="Times New Roman"/>
          <w:lang w:val="en-US"/>
        </w:rPr>
        <w:t>min)</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D87D8F">
        <w:rPr>
          <w:rFonts w:ascii="Times New Roman" w:hAnsi="Times New Roman" w:cs="Times New Roman"/>
          <w:lang w:val="en-US"/>
        </w:rPr>
        <w:instrText>ADDIN CSL_CITATION {"citationItems":[{"id":"ITEM-1","itemData":{"DOI":"10.2967/jnumed.115.170027","ISSN":"2159662X","PMID":"27151986","abstract":"We report kinetic modeling results of dynamic acquisition data from 0 to 100 min after injection with the tau PET tracer 18F-AV-1451 in 19 subjects. Methods: Subjects were clinically diagnosed as 4 young cognitively normal, 5 old cognitively normal, 5 mild cognitive impairment, and 5 Alzheimer disease (AD). Kinetic modeling was performed using Logan graphical analysis with the cerebellum crus as a reference region. Voxelwise binding potential (BP) and SUV ratio (SUVR80-100) images were compared. Results: In AD subjects, slower and spatially nonuniform clearance from cortical regions was observed as compared with the controls, which led to focal uptake and elevated retention in the imaging data from 80 to 100 min after injection. BP from the dynamic data from 0 to 100 min correlated strongly (R2 &gt; 0.86) with corresponding regional SUVR80-100-1 values. In the putamen, the observed kinetics (positive SUVR1-5-1 at the tracer delivery stage and plateauing time - SUVR curves for all diagnostic categories) may suggest either additional off-target binding or a second binding site with different kinetics. Conclusion: The kinetics of the 18F-AV-1451 tracer in cortical areas, as examined in this small group of subjects, differed by diagnostic stage. A delayed 80- to 100-min scan provided a reasonable substitute for a dynamic 0- to 100-min acquisition for cortical regions although other windows (e.g., 75-105 min) may be useful to evaluate.","author":[{"dropping-particle":"","family":"Shcherbinin","given":"Sergey","non-dropping-particle":"","parse-names":false,"suffix":""},{"dropping-particle":"","family":"Schwarz","given":"Adam J.","non-dropping-particle":"","parse-names":false,"suffix":""},{"dropping-particle":"","family":"Joshi","given":"Abhinay","non-dropping-particle":"","parse-names":false,"suffix":""},{"dropping-particle":"","family":"Navitsky","given":"Michael","non-dropping-particle":"","parse-names":false,"suffix":""},{"dropping-particle":"","family":"Flitter","given":"Matthew","non-dropping-particle":"","parse-names":false,"suffix":""},{"dropping-particle":"","family":"Shankle","given":"William R.","non-dropping-particle":"","parse-names":false,"suffix":""},{"dropping-particle":"","family":"Devous","given":"Michael D.","non-dropping-particle":"","parse-names":false,"suffix":""},{"dropping-particle":"","family":"Mintun","given":"Mark A.","non-dropping-particle":"","parse-names":false,"suffix":""}],"container-title":"Journal of Nuclear Medicine","id":"ITEM-1","issued":{"date-parts":[["2016"]]},"title":"Kinetics of the tau PET tracer 18F-AV-1451 (T807) in subjects with normal cognitive function, mild cognitive impairment, and Alzheimer disease","type":"article-journal"},"uris":["http://www.mendeley.com/documents/?uuid=3650ce61-361e-41a7-8a53-0fd0822b6162"]}],"mendeley":{"formattedCitation":"&lt;span style=\"baseline\"&gt;(&lt;i&gt;3&lt;/i&gt;)&lt;/span&gt;","plainTextFormattedCitation":"(3)","previouslyFormattedCitation":"&lt;span style=\"baseline\"&gt;(&lt;i&gt;3&lt;/i&gt;)&lt;/span&gt;"},"properties":{"noteIndex":0},"schema":"https://github.com/citation-style-language/schema/raw/master/csl-citation.json"}</w:instrText>
      </w:r>
      <w:r>
        <w:rPr>
          <w:rFonts w:ascii="Times New Roman" w:hAnsi="Times New Roman" w:cs="Times New Roman"/>
          <w:lang w:val="en-US"/>
        </w:rPr>
        <w:fldChar w:fldCharType="separate"/>
      </w:r>
      <w:r w:rsidRPr="00A367A9">
        <w:rPr>
          <w:rFonts w:ascii="Times New Roman" w:hAnsi="Times New Roman" w:cs="Times New Roman"/>
          <w:noProof/>
          <w:lang w:val="en-US"/>
        </w:rPr>
        <w:t>(</w:t>
      </w:r>
      <w:r w:rsidRPr="00A367A9">
        <w:rPr>
          <w:rFonts w:ascii="Times New Roman" w:hAnsi="Times New Roman" w:cs="Times New Roman"/>
          <w:i/>
          <w:noProof/>
          <w:lang w:val="en-US"/>
        </w:rPr>
        <w:t>3</w:t>
      </w:r>
      <w:r w:rsidRPr="00A367A9">
        <w:rPr>
          <w:rFonts w:ascii="Times New Roman" w:hAnsi="Times New Roman" w:cs="Times New Roman"/>
          <w:noProof/>
          <w:lang w:val="en-US"/>
        </w:rPr>
        <w:t>)</w:t>
      </w:r>
      <w:r>
        <w:rPr>
          <w:rFonts w:ascii="Times New Roman" w:hAnsi="Times New Roman" w:cs="Times New Roman"/>
          <w:lang w:val="en-US"/>
        </w:rPr>
        <w:fldChar w:fldCharType="end"/>
      </w:r>
      <w:r>
        <w:rPr>
          <w:rFonts w:ascii="Times New Roman" w:hAnsi="Times New Roman" w:cs="Times New Roman"/>
          <w:lang w:val="en-US"/>
        </w:rPr>
        <w:t>.</w:t>
      </w:r>
      <w:r w:rsidRPr="00A367A9">
        <w:rPr>
          <w:rFonts w:ascii="Times New Roman" w:hAnsi="Times New Roman" w:cs="Times New Roman"/>
          <w:lang w:val="en-US"/>
        </w:rPr>
        <w:t xml:space="preserve"> Each emission frame was reconstructed in 6 × 5 min frames.</w:t>
      </w:r>
      <w:r w:rsidR="00D87D8F">
        <w:rPr>
          <w:rFonts w:ascii="Times New Roman" w:hAnsi="Times New Roman" w:cs="Times New Roman"/>
          <w:lang w:val="en-US"/>
        </w:rPr>
        <w:t xml:space="preserve"> </w:t>
      </w:r>
      <w:r w:rsidR="00D87D8F" w:rsidRPr="0049593B">
        <w:rPr>
          <w:rFonts w:ascii="Times New Roman" w:hAnsi="Times New Roman" w:cs="Times New Roman"/>
          <w:lang w:val="en-US"/>
        </w:rPr>
        <w:t>Subjects were classified based on the visual inspection of the late images into "</w:t>
      </w:r>
      <w:r w:rsidR="00D87D8F">
        <w:rPr>
          <w:rFonts w:ascii="Times New Roman" w:hAnsi="Times New Roman" w:cs="Times New Roman"/>
          <w:lang w:val="en-US"/>
        </w:rPr>
        <w:t>T</w:t>
      </w:r>
      <w:r w:rsidR="00D87D8F" w:rsidRPr="0049593B">
        <w:rPr>
          <w:rFonts w:ascii="Times New Roman" w:hAnsi="Times New Roman" w:cs="Times New Roman"/>
          <w:lang w:val="en-US"/>
        </w:rPr>
        <w:t>+” or "</w:t>
      </w:r>
      <w:r w:rsidR="00D87D8F">
        <w:rPr>
          <w:rFonts w:ascii="Times New Roman" w:hAnsi="Times New Roman" w:cs="Times New Roman"/>
          <w:lang w:val="en-US"/>
        </w:rPr>
        <w:t>T</w:t>
      </w:r>
      <w:r w:rsidR="00D87D8F" w:rsidRPr="0049593B">
        <w:rPr>
          <w:rFonts w:ascii="Times New Roman" w:hAnsi="Times New Roman" w:cs="Times New Roman"/>
          <w:lang w:val="en-US"/>
        </w:rPr>
        <w:t xml:space="preserve">-” </w:t>
      </w:r>
      <w:r w:rsidR="00D87D8F" w:rsidRPr="00D87D8F">
        <w:rPr>
          <w:rFonts w:ascii="Times New Roman" w:hAnsi="Times New Roman" w:cs="Times New Roman"/>
          <w:lang w:val="en-US"/>
        </w:rPr>
        <w:t xml:space="preserve">according to published recommendations </w:t>
      </w:r>
      <w:r w:rsidR="00D87D8F">
        <w:rPr>
          <w:rFonts w:ascii="Times New Roman" w:hAnsi="Times New Roman" w:cs="Times New Roman"/>
          <w:lang w:val="en-US"/>
        </w:rPr>
        <w:fldChar w:fldCharType="begin" w:fldLock="1"/>
      </w:r>
      <w:r w:rsidR="00F37B35">
        <w:rPr>
          <w:rFonts w:ascii="Times New Roman" w:hAnsi="Times New Roman" w:cs="Times New Roman"/>
          <w:lang w:val="en-US"/>
        </w:rPr>
        <w:instrText>ADDIN CSL_CITATION {"citationItems":[{"id":"ITEM-1","itemData":{"DOI":"10.1001/jamaneurol.2020.0528","ISSN":"21686157","PMID":"32338734","abstract":"Importance: Positron emission tomography (PET) may increase the diagnostic accuracy and confirm the underlying neuropathologic changes of Alzheimer disease (AD). Objective: To determine the accuracy of antemortem [18F]flortaucipir PET images for predicting the presence of AD-type tau pathology at autopsy. Design, Setting, and Participants: This diagnostic study (A16 primary cohort) was conducted from October 2015 to June 2018 at 28 study sites (27 in US sites and 1 in Australia). Individuals with a terminal illness who were older than 50 years and had a projected life expectancy of less than 6 months were enrolled. All participants underwent [18F]flortaucipir PET imaging, and scans were interpreted by 5 independent nuclear medicine physicians or radiologists. Supplemental autopsy [18F]flortaucipir images and pathological samples were also collected from 16 historically collected cases. A second study (FR01 validation study) was conducted from March 26 to April 26, 2019, in which 5 new readers assessed the original PET images for comparison to autopsy. Main Outcomes and Measures: [18F]flortaucipir PET images were visually assessed and compared with immunohistochemical tau pathology. An AD tau pattern of flortaucipir retention was assessed for correspondence with a postmortem B3-level (Braak stage V or VI) pathological pattern of tau accumulation and to the presence of amyloid-β plaques sufficient to meet the criteria for high levels of AD neuropathological change. Success was defined as having at least 3 of the 5 readers above the lower bounds of the 95% CI for both sensitivity and specificity of 50% or greater. Results: A total of 156 patients were enrolled in the A16 study and underwent [18F]flortaucipir PET imaging. Of these, 73 died during the study, and valid autopsies were performed for 67 of these patients. Three autopsies were evaluated as test cases and removed from the primary cohort (n = 64). Of the 64 primary cohort patients, 34 (53%) were women and 62 (97%) were white; mean (SD) age was 82.5 (9.6) years; and 49 (77%) had dementia, 1 (2%) had mild cognitive impairment, and 14 (22%) had normal cognition. Prespecified success criteria were met for the A16 primary cohort. The flortaucipir PET scans predicted a B3 level of tau pathology, with sensitivity ranging from 92.3% (95% CI, 79.7%-97.3%) to 100.0% (95% CI, 91.0%-100.0%) and specificity ranging from 52.0% (95% CI, 33.5%-70.0%) to 92.0% (95% CI, 75.0%-97.8%). A high level of AD neuropatholog…","author":[{"dropping-particle":"","family":"Fleisher","given":"Adam S.","non-dropping-particle":"","parse-names":false,"suffix":""},{"dropping-particle":"","family":"Pontecorvo","given":"Michael J.","non-dropping-particle":"","parse-names":false,"suffix":""},{"dropping-particle":"","family":"Devous","given":"Michael D.","non-dropping-particle":"","parse-names":false,"suffix":""},{"dropping-particle":"","family":"Lu","given":"Ming","non-dropping-particle":"","parse-names":false,"suffix":""},{"dropping-particle":"","family":"Arora","given":"Anupa K.","non-dropping-particle":"","parse-names":false,"suffix":""},{"dropping-particle":"","family":"Truocchio","given":"Stephen P.","non-dropping-particle":"","parse-names":false,"suffix":""},{"dropping-particle":"","family":"Aldea","given":"Patricia","non-dropping-particle":"","parse-names":false,"suffix":""},{"dropping-particle":"","family":"Flitter","given":"Matthew","non-dropping-particle":"","parse-names":false,"suffix":""},{"dropping-particle":"","family":"Locascio","given":"Tricia","non-dropping-particle":"","parse-names":false,"suffix":""},{"dropping-particle":"","family":"Devine","given":"Marybeth","non-dropping-particle":"","parse-names":false,"suffix":""},{"dropping-particle":"","family":"Siderowf","given":"Andrew","non-dropping-particle":"","parse-names":false,"suffix":""},{"dropping-particle":"","family":"Beach","given":"Thomas G.","non-dropping-particle":"","parse-names":false,"suffix":""},{"dropping-particle":"","family":"Montine","given":"Thomas J.","non-dropping-particle":"","parse-names":false,"suffix":""},{"dropping-particle":"","family":"Serrano","given":"Geidy E.","non-dropping-particle":"","parse-names":false,"suffix":""},{"dropping-particle":"","family":"Curtis","given":"Craig","non-dropping-particle":"","parse-names":false,"suffix":""},{"dropping-particle":"","family":"Perrin","given":"Allison","non-dropping-particle":"","parse-names":false,"suffix":""},{"dropping-particle":"","family":"Salloway","given":"Stephen","non-dropping-particle":"","parse-names":false,"suffix":""},{"dropping-particle":"","family":"Daniel","given":"Misty","non-dropping-particle":"","parse-names":false,"suffix":""},{"dropping-particle":"","family":"Wellman","given":"Charles","non-dropping-particle":"","parse-names":false,"suffix":""},{"dropping-particle":"","family":"Joshi","given":"Abhinay D.","non-dropping-particle":"","parse-names":false,"suffix":""},{"dropping-particle":"","family":"Irwin","given":"David J.","non-dropping-particle":"","parse-names":false,"suffix":""},{"dropping-particle":"","family":"Lowe","given":"Val J.","non-dropping-particle":"","parse-names":false,"suffix":""},{"dropping-particle":"","family":"Seeley","given":"William W.","non-dropping-particle":"","parse-names":false,"suffix":""},{"dropping-particle":"","family":"Ikonomovic","given":"Milos D.","non-dropping-particle":"","parse-names":false,"suffix":""},{"dropping-particle":"","family":"Masdeu","given":"Joseph C.","non-dropping-particle":"","parse-names":false,"suffix":""},{"dropping-particle":"","family":"Kennedy","given":"Ian","non-dropping-particle":"","parse-names":false,"suffix":""},{"dropping-particle":"","family":"Harris","given":"Thomas","non-dropping-particle":"","parse-names":false,"suffix":""},{"dropping-particle":"","family":"Navitsky","given":"Michael","non-dropping-particle":"","parse-names":false,"suffix":""},{"dropping-particle":"","family":"Southekal","given":"Sudeepti","non-dropping-particle":"","parse-names":false,"suffix":""},{"dropping-particle":"","family":"Mintun","given":"Mark A.","non-dropping-particle":"","parse-names":false,"suffix":""}],"container-title":"JAMA Neurology","id":"ITEM-1","issued":{"date-parts":[["2020"]]},"title":"Positron Emission Tomography Imaging with [18F]flortaucipir and Postmortem Assessment of Alzheimer Disease Neuropathologic Changes","type":"article-journal"},"uris":["http://www.mendeley.com/documents/?uuid=e92c1007-c6db-422f-ba98-c85ee21d5113"]},{"id":"ITEM-2","itemData":{"ISSN":"1619-7089","author":[{"dropping-particle":"","family":"Mathoux","given":"Gregory","non-dropping-particle":"","parse-names":false,"suffix":""},{"dropping-particle":"","family":"Boccalini","given":"Cecilia","non-dropping-particle":"","parse-names":false,"suffix":""},{"dropping-particle":"","family":"Peretti","given":"Debora E","non-dropping-particle":"","parse-names":false,"suffix":""},{"dropping-particle":"","family":"Arnone","given":"Annachiara","non-dropping-particle":"","parse-names":false,"suffix":""},{"dropping-particle":"","family":"Ribaldi","given":"Federica","non-dropping-particle":"","parse-names":false,"suffix":""},{"dropping-particle":"","family":"Scheffler","given":"Max","non-dropping-particle":"","parse-names":false,"suffix":""},{"dropping-particle":"","family":"Frisoni","given":"Giovanni B","non-dropping-particle":"","parse-names":false,"suffix":""},{"dropping-particle":"","family":"Garibotto","given":"Valentina","non-dropping-particle":"","parse-names":false,"suffix":""}],"container-title":"European Journal of Nuclear Medicine and Molecular Imaging","id":"ITEM-2","issued":{"date-parts":[["2024"]]},"page":"1-12","publisher":"Springer","title":"A comparison of visual assessment and semi-quantification for the diagnostic and prognostic use of [18F] flortaucipir PET in a memory clinic cohort","type":"article-journal"},"uris":["http://www.mendeley.com/documents/?uuid=43d53c6a-a360-4a97-a3b3-fa4a7fd3f799"]}],"mendeley":{"formattedCitation":"&lt;span style=\"baseline\"&gt;(&lt;i&gt;4&lt;/i&gt;,&lt;i&gt;5&lt;/i&gt;)&lt;/span&gt;","plainTextFormattedCitation":"(4,5)","previouslyFormattedCitation":"&lt;span style=\"baseline\"&gt;(&lt;i&gt;4&lt;/i&gt;,&lt;i&gt;5&lt;/i&gt;)&lt;/span&gt;"},"properties":{"noteIndex":0},"schema":"https://github.com/citation-style-language/schema/raw/master/csl-citation.json"}</w:instrText>
      </w:r>
      <w:r w:rsidR="00D87D8F">
        <w:rPr>
          <w:rFonts w:ascii="Times New Roman" w:hAnsi="Times New Roman" w:cs="Times New Roman"/>
          <w:lang w:val="en-US"/>
        </w:rPr>
        <w:fldChar w:fldCharType="separate"/>
      </w:r>
      <w:r w:rsidR="00D87D8F" w:rsidRPr="00D87D8F">
        <w:rPr>
          <w:rFonts w:ascii="Times New Roman" w:hAnsi="Times New Roman" w:cs="Times New Roman"/>
          <w:noProof/>
          <w:lang w:val="en-US"/>
        </w:rPr>
        <w:t>(</w:t>
      </w:r>
      <w:r w:rsidR="00D87D8F" w:rsidRPr="00D87D8F">
        <w:rPr>
          <w:rFonts w:ascii="Times New Roman" w:hAnsi="Times New Roman" w:cs="Times New Roman"/>
          <w:i/>
          <w:noProof/>
          <w:lang w:val="en-US"/>
        </w:rPr>
        <w:t>4</w:t>
      </w:r>
      <w:r w:rsidR="00D87D8F" w:rsidRPr="00D87D8F">
        <w:rPr>
          <w:rFonts w:ascii="Times New Roman" w:hAnsi="Times New Roman" w:cs="Times New Roman"/>
          <w:noProof/>
          <w:lang w:val="en-US"/>
        </w:rPr>
        <w:t>,</w:t>
      </w:r>
      <w:r w:rsidR="00D87D8F" w:rsidRPr="00D87D8F">
        <w:rPr>
          <w:rFonts w:ascii="Times New Roman" w:hAnsi="Times New Roman" w:cs="Times New Roman"/>
          <w:i/>
          <w:noProof/>
          <w:lang w:val="en-US"/>
        </w:rPr>
        <w:t>5</w:t>
      </w:r>
      <w:r w:rsidR="00D87D8F" w:rsidRPr="00D87D8F">
        <w:rPr>
          <w:rFonts w:ascii="Times New Roman" w:hAnsi="Times New Roman" w:cs="Times New Roman"/>
          <w:noProof/>
          <w:lang w:val="en-US"/>
        </w:rPr>
        <w:t>)</w:t>
      </w:r>
      <w:r w:rsidR="00D87D8F">
        <w:rPr>
          <w:rFonts w:ascii="Times New Roman" w:hAnsi="Times New Roman" w:cs="Times New Roman"/>
          <w:lang w:val="en-US"/>
        </w:rPr>
        <w:fldChar w:fldCharType="end"/>
      </w:r>
      <w:r w:rsidR="00D87D8F">
        <w:rPr>
          <w:rFonts w:ascii="Times New Roman" w:hAnsi="Times New Roman" w:cs="Times New Roman"/>
          <w:lang w:val="en-US"/>
        </w:rPr>
        <w:t xml:space="preserve"> </w:t>
      </w:r>
      <w:r w:rsidR="00D87D8F" w:rsidRPr="0049593B">
        <w:rPr>
          <w:rFonts w:ascii="Times New Roman" w:hAnsi="Times New Roman" w:cs="Times New Roman"/>
          <w:lang w:val="en-US"/>
        </w:rPr>
        <w:t xml:space="preserve">(i.e., subjects that presented high levels and low levels of </w:t>
      </w:r>
      <w:r w:rsidR="00D87D8F">
        <w:rPr>
          <w:rFonts w:ascii="Times New Roman" w:hAnsi="Times New Roman" w:cs="Times New Roman"/>
          <w:lang w:val="en-US"/>
        </w:rPr>
        <w:t>tau</w:t>
      </w:r>
      <w:r w:rsidR="00D87D8F" w:rsidRPr="0049593B">
        <w:rPr>
          <w:rFonts w:ascii="Times New Roman" w:hAnsi="Times New Roman" w:cs="Times New Roman"/>
          <w:lang w:val="en-US"/>
        </w:rPr>
        <w:t xml:space="preserve"> binding, respectively).</w:t>
      </w:r>
    </w:p>
    <w:p w14:paraId="1CF24F51" w14:textId="33D6C5B8" w:rsidR="009C5CCC" w:rsidRDefault="009C5CCC" w:rsidP="00EC0C76">
      <w:pPr>
        <w:spacing w:line="480" w:lineRule="auto"/>
        <w:jc w:val="both"/>
        <w:rPr>
          <w:rFonts w:ascii="Times New Roman" w:hAnsi="Times New Roman" w:cs="Times New Roman"/>
          <w:lang w:val="en-US"/>
        </w:rPr>
      </w:pPr>
      <w:r w:rsidRPr="0049593B">
        <w:rPr>
          <w:rFonts w:ascii="Times New Roman" w:hAnsi="Times New Roman" w:cs="Times New Roman"/>
          <w:lang w:val="en-US"/>
        </w:rPr>
        <w:t>Data were acquired in list mode and were reconstructed using 3D OSEM 4 interactions 8 subsets, and a 2mm Gaussian filter at Full Width and Half Maximum, resulting in images with 400x400 matrix with 1.01mm isotropic voxels.</w:t>
      </w:r>
    </w:p>
    <w:p w14:paraId="209609D8" w14:textId="106E2535" w:rsidR="00084906" w:rsidRDefault="00084906" w:rsidP="00084906">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3. MRI and PET normalization processing</w:t>
      </w:r>
    </w:p>
    <w:p w14:paraId="63BCAB94" w14:textId="5CDBC732" w:rsidR="00084906" w:rsidRPr="00084906" w:rsidRDefault="00084906" w:rsidP="00D87D8F">
      <w:pPr>
        <w:spacing w:line="480" w:lineRule="auto"/>
        <w:jc w:val="both"/>
        <w:rPr>
          <w:lang w:val="en-US"/>
        </w:rPr>
      </w:pPr>
      <w:r w:rsidRPr="00AB208A">
        <w:rPr>
          <w:rFonts w:ascii="Times New Roman" w:hAnsi="Times New Roman" w:cs="Times New Roman"/>
          <w:lang w:val="en-US"/>
        </w:rPr>
        <w:t xml:space="preserve">MRI 3D T1 sequences were aligned to a reference plane passing through the anterior commissure, segmented into gray matter, white matter, and cerebrospinal fluid tissue compartments, and normalized to the Montreal Neurologic Institute (MNI) space using tissue probability maps. </w:t>
      </w:r>
      <w:r w:rsidRPr="00AB208A">
        <w:rPr>
          <w:rFonts w:ascii="Times New Roman" w:hAnsi="Times New Roman" w:cs="Times New Roman"/>
          <w:vertAlign w:val="superscript"/>
          <w:lang w:val="en-US"/>
        </w:rPr>
        <w:t>18</w:t>
      </w:r>
      <w:r w:rsidRPr="00AB208A">
        <w:rPr>
          <w:rFonts w:ascii="Times New Roman" w:hAnsi="Times New Roman" w:cs="Times New Roman"/>
          <w:lang w:val="en-US"/>
        </w:rPr>
        <w:t>F-FDG</w:t>
      </w:r>
      <w:r w:rsidR="00D87D8F">
        <w:rPr>
          <w:rFonts w:ascii="Times New Roman" w:hAnsi="Times New Roman" w:cs="Times New Roman"/>
          <w:lang w:val="en-US"/>
        </w:rPr>
        <w:t>, eTAU</w:t>
      </w:r>
      <w:r w:rsidR="002B6E2C">
        <w:rPr>
          <w:rFonts w:ascii="Times New Roman" w:hAnsi="Times New Roman" w:cs="Times New Roman"/>
          <w:lang w:val="en-US"/>
        </w:rPr>
        <w:t>,</w:t>
      </w:r>
      <w:r w:rsidRPr="00AB208A">
        <w:rPr>
          <w:rFonts w:ascii="Times New Roman" w:hAnsi="Times New Roman" w:cs="Times New Roman"/>
          <w:lang w:val="en-US"/>
        </w:rPr>
        <w:t xml:space="preserve"> and eFBP/eFMM images were aligned to the subject’s respective T1 MRI image and normalized to the MNI space using the transformation matrix that was generated during the registration of the MRI images to the standard space. PET images were spatially smoothed with an isotropic 3D 8mm Gaussian kernel (Full Width and Half Maximum).</w:t>
      </w:r>
    </w:p>
    <w:p w14:paraId="0FE91E0E" w14:textId="6C962098" w:rsidR="007B0E93" w:rsidRDefault="00084906" w:rsidP="00EC0C76">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4</w:t>
      </w:r>
      <w:r w:rsidR="007B0E93">
        <w:rPr>
          <w:rFonts w:ascii="Times New Roman" w:hAnsi="Times New Roman" w:cs="Times New Roman"/>
          <w:b/>
          <w:bCs/>
          <w:sz w:val="24"/>
          <w:szCs w:val="24"/>
          <w:lang w:val="en-US"/>
        </w:rPr>
        <w:t xml:space="preserve">. Dice </w:t>
      </w:r>
      <w:r w:rsidR="00B83179">
        <w:rPr>
          <w:rFonts w:ascii="Times New Roman" w:hAnsi="Times New Roman" w:cs="Times New Roman"/>
          <w:b/>
          <w:bCs/>
          <w:sz w:val="24"/>
          <w:szCs w:val="24"/>
          <w:lang w:val="en-US"/>
        </w:rPr>
        <w:t>similarity coefficient</w:t>
      </w:r>
    </w:p>
    <w:p w14:paraId="2AD1C970" w14:textId="24D0AE43" w:rsidR="00B83179" w:rsidRDefault="00B83179" w:rsidP="00EC0C76">
      <w:pPr>
        <w:spacing w:line="480" w:lineRule="auto"/>
        <w:jc w:val="both"/>
        <w:rPr>
          <w:rFonts w:ascii="Times New Roman" w:hAnsi="Times New Roman" w:cs="Times New Roman"/>
          <w:lang w:val="en-US"/>
        </w:rPr>
      </w:pPr>
      <w:r>
        <w:rPr>
          <w:rFonts w:ascii="Times New Roman" w:hAnsi="Times New Roman" w:cs="Times New Roman"/>
          <w:lang w:val="en-US"/>
        </w:rPr>
        <w:t>W</w:t>
      </w:r>
      <w:r w:rsidRPr="002A10FE">
        <w:rPr>
          <w:rFonts w:ascii="Times New Roman" w:hAnsi="Times New Roman" w:cs="Times New Roman"/>
          <w:lang w:val="en-US"/>
        </w:rPr>
        <w:t xml:space="preserve">e compared the resulting </w:t>
      </w:r>
      <w:r>
        <w:rPr>
          <w:rFonts w:ascii="Times New Roman" w:hAnsi="Times New Roman" w:cs="Times New Roman"/>
          <w:lang w:val="en-US"/>
        </w:rPr>
        <w:t>hypometabolism and hypoperfusion m</w:t>
      </w:r>
      <w:r w:rsidRPr="002A10FE">
        <w:rPr>
          <w:rFonts w:ascii="Times New Roman" w:hAnsi="Times New Roman" w:cs="Times New Roman"/>
          <w:lang w:val="en-US"/>
        </w:rPr>
        <w:t xml:space="preserve">aps using the Dice as </w:t>
      </w:r>
      <w:r>
        <w:rPr>
          <w:rFonts w:ascii="Times New Roman" w:hAnsi="Times New Roman" w:cs="Times New Roman"/>
          <w:lang w:val="en-US"/>
        </w:rPr>
        <w:t xml:space="preserve">a </w:t>
      </w:r>
      <w:r w:rsidRPr="002A10FE">
        <w:rPr>
          <w:rFonts w:ascii="Times New Roman" w:hAnsi="Times New Roman" w:cs="Times New Roman"/>
          <w:lang w:val="en-US"/>
        </w:rPr>
        <w:t>measure of</w:t>
      </w:r>
      <w:r>
        <w:rPr>
          <w:rFonts w:ascii="Times New Roman" w:hAnsi="Times New Roman" w:cs="Times New Roman"/>
          <w:lang w:val="en-US"/>
        </w:rPr>
        <w:t xml:space="preserve"> </w:t>
      </w:r>
      <w:r w:rsidRPr="002A10FE">
        <w:rPr>
          <w:rFonts w:ascii="Times New Roman" w:hAnsi="Times New Roman" w:cs="Times New Roman"/>
          <w:lang w:val="en-US"/>
        </w:rPr>
        <w:t xml:space="preserve">concordance. Dice </w:t>
      </w:r>
      <w:r>
        <w:rPr>
          <w:rFonts w:ascii="Times New Roman" w:hAnsi="Times New Roman" w:cs="Times New Roman"/>
          <w:lang w:val="en-US"/>
        </w:rPr>
        <w:t>coefficient</w:t>
      </w:r>
      <w:r w:rsidRPr="002A10FE">
        <w:rPr>
          <w:rFonts w:ascii="Times New Roman" w:hAnsi="Times New Roman" w:cs="Times New Roman"/>
          <w:lang w:val="en-US"/>
        </w:rPr>
        <w:t xml:space="preserve"> for binary </w:t>
      </w:r>
      <w:r>
        <w:rPr>
          <w:rFonts w:ascii="Times New Roman" w:hAnsi="Times New Roman" w:cs="Times New Roman"/>
          <w:lang w:val="en-US"/>
        </w:rPr>
        <w:t>map</w:t>
      </w:r>
      <w:r w:rsidRPr="002A10FE">
        <w:rPr>
          <w:rFonts w:ascii="Times New Roman" w:hAnsi="Times New Roman" w:cs="Times New Roman"/>
          <w:lang w:val="en-US"/>
        </w:rPr>
        <w:t>s A and B is defined as</w:t>
      </w:r>
      <w:r>
        <w:rPr>
          <w:rFonts w:ascii="Times New Roman" w:hAnsi="Times New Roman" w:cs="Times New Roman"/>
          <w:lang w:val="en-US"/>
        </w:rPr>
        <w:t>:</w:t>
      </w:r>
    </w:p>
    <w:p w14:paraId="4D29A74D" w14:textId="77777777" w:rsidR="00B83179" w:rsidRDefault="00B83179" w:rsidP="00EC0C76">
      <w:pPr>
        <w:spacing w:line="480" w:lineRule="auto"/>
        <w:jc w:val="both"/>
        <w:rPr>
          <w:rFonts w:ascii="Times New Roman" w:hAnsi="Times New Roman" w:cs="Times New Roman"/>
          <w:lang w:val="en-US"/>
        </w:rPr>
      </w:pPr>
      <m:oMathPara>
        <m:oMath>
          <m:r>
            <w:rPr>
              <w:rFonts w:ascii="Cambria Math" w:hAnsi="Cambria Math" w:cs="Times New Roman"/>
              <w:sz w:val="24"/>
              <w:szCs w:val="24"/>
              <w:lang w:val="en-GB"/>
            </w:rPr>
            <m:t>Dice=</m:t>
          </m:r>
          <m:f>
            <m:fPr>
              <m:ctrlPr>
                <w:rPr>
                  <w:rFonts w:ascii="Cambria Math" w:hAnsi="Cambria Math" w:cs="Times New Roman"/>
                  <w:sz w:val="24"/>
                  <w:szCs w:val="24"/>
                  <w:lang w:val="en-GB"/>
                </w:rPr>
              </m:ctrlPr>
            </m:fPr>
            <m:num>
              <m:r>
                <w:rPr>
                  <w:rFonts w:ascii="Cambria Math" w:hAnsi="Cambria Math" w:cs="Times New Roman"/>
                  <w:sz w:val="24"/>
                  <w:szCs w:val="24"/>
                  <w:lang w:val="en-GB"/>
                </w:rPr>
                <m:t>2*</m:t>
              </m:r>
              <m:d>
                <m:dPr>
                  <m:ctrlPr>
                    <w:rPr>
                      <w:rFonts w:ascii="Cambria Math" w:hAnsi="Cambria Math" w:cs="Times New Roman"/>
                      <w:sz w:val="24"/>
                      <w:szCs w:val="24"/>
                      <w:lang w:val="en-GB"/>
                    </w:rPr>
                  </m:ctrlPr>
                </m:dPr>
                <m:e>
                  <m:r>
                    <w:rPr>
                      <w:rFonts w:ascii="Cambria Math" w:hAnsi="Cambria Math" w:cs="Times New Roman"/>
                      <w:sz w:val="24"/>
                      <w:szCs w:val="24"/>
                      <w:lang w:val="en-GB"/>
                    </w:rPr>
                    <m:t>A∩B</m:t>
                  </m:r>
                </m:e>
              </m:d>
            </m:num>
            <m:den>
              <m:r>
                <w:rPr>
                  <w:rFonts w:ascii="Cambria Math" w:hAnsi="Cambria Math" w:cs="Times New Roman"/>
                  <w:sz w:val="24"/>
                  <w:szCs w:val="24"/>
                  <w:lang w:val="en-GB"/>
                </w:rPr>
                <m:t>A+B</m:t>
              </m:r>
            </m:den>
          </m:f>
        </m:oMath>
      </m:oMathPara>
    </w:p>
    <w:p w14:paraId="31163EF8" w14:textId="07DFEEB6" w:rsidR="00B83179" w:rsidRDefault="00B83179" w:rsidP="00EC0C76">
      <w:pPr>
        <w:spacing w:line="480" w:lineRule="auto"/>
        <w:jc w:val="both"/>
        <w:rPr>
          <w:lang w:val="en-US"/>
        </w:rPr>
      </w:pPr>
      <w:r w:rsidRPr="002A10FE">
        <w:rPr>
          <w:rFonts w:ascii="Times New Roman" w:hAnsi="Times New Roman" w:cs="Times New Roman"/>
          <w:lang w:val="en-US"/>
        </w:rPr>
        <w:lastRenderedPageBreak/>
        <w:t>It takes</w:t>
      </w:r>
      <w:r>
        <w:rPr>
          <w:rFonts w:ascii="Times New Roman" w:hAnsi="Times New Roman" w:cs="Times New Roman"/>
          <w:lang w:val="en-US"/>
        </w:rPr>
        <w:t xml:space="preserve"> </w:t>
      </w:r>
      <w:r w:rsidRPr="002A10FE">
        <w:rPr>
          <w:rFonts w:ascii="Times New Roman" w:hAnsi="Times New Roman" w:cs="Times New Roman"/>
          <w:lang w:val="en-US"/>
        </w:rPr>
        <w:t>the value of</w:t>
      </w:r>
      <w:r>
        <w:rPr>
          <w:rFonts w:ascii="Times New Roman" w:hAnsi="Times New Roman" w:cs="Times New Roman"/>
          <w:lang w:val="en-US"/>
        </w:rPr>
        <w:t xml:space="preserve"> </w:t>
      </w:r>
      <w:r w:rsidRPr="002A10FE">
        <w:rPr>
          <w:rFonts w:ascii="Times New Roman" w:hAnsi="Times New Roman" w:cs="Times New Roman"/>
          <w:lang w:val="en-US"/>
        </w:rPr>
        <w:t>1 if</w:t>
      </w:r>
      <w:r>
        <w:rPr>
          <w:rFonts w:ascii="Times New Roman" w:hAnsi="Times New Roman" w:cs="Times New Roman"/>
          <w:lang w:val="en-US"/>
        </w:rPr>
        <w:t xml:space="preserve"> </w:t>
      </w:r>
      <w:r w:rsidRPr="002A10FE">
        <w:rPr>
          <w:rFonts w:ascii="Times New Roman" w:hAnsi="Times New Roman" w:cs="Times New Roman"/>
          <w:lang w:val="en-US"/>
        </w:rPr>
        <w:t>A and B assume the same logical value in every pixel</w:t>
      </w:r>
      <w:r>
        <w:rPr>
          <w:rFonts w:ascii="Times New Roman" w:hAnsi="Times New Roman" w:cs="Times New Roman"/>
          <w:lang w:val="en-US"/>
        </w:rPr>
        <w:t xml:space="preserve"> </w:t>
      </w:r>
      <w:r w:rsidRPr="002A10FE">
        <w:rPr>
          <w:rFonts w:ascii="Times New Roman" w:hAnsi="Times New Roman" w:cs="Times New Roman"/>
          <w:lang w:val="en-US"/>
        </w:rPr>
        <w:t>(high concordance), and a value of</w:t>
      </w:r>
      <w:r>
        <w:rPr>
          <w:rFonts w:ascii="Times New Roman" w:hAnsi="Times New Roman" w:cs="Times New Roman"/>
          <w:lang w:val="en-US"/>
        </w:rPr>
        <w:t xml:space="preserve"> </w:t>
      </w:r>
      <w:r w:rsidRPr="002A10FE">
        <w:rPr>
          <w:rFonts w:ascii="Times New Roman" w:hAnsi="Times New Roman" w:cs="Times New Roman"/>
          <w:lang w:val="en-US"/>
        </w:rPr>
        <w:t>0 if they always disagree</w:t>
      </w:r>
      <w:r>
        <w:rPr>
          <w:rFonts w:ascii="Times New Roman" w:hAnsi="Times New Roman" w:cs="Times New Roman"/>
          <w:lang w:val="en-US"/>
        </w:rPr>
        <w:t xml:space="preserve"> </w:t>
      </w:r>
      <w:r w:rsidRPr="002A10FE">
        <w:rPr>
          <w:rFonts w:ascii="Times New Roman" w:hAnsi="Times New Roman" w:cs="Times New Roman"/>
          <w:lang w:val="en-US"/>
        </w:rPr>
        <w:t xml:space="preserve">(null concordance). </w:t>
      </w:r>
      <w:r w:rsidRPr="0014115F">
        <w:rPr>
          <w:rFonts w:ascii="Times New Roman" w:hAnsi="Times New Roman" w:cs="Times New Roman"/>
          <w:lang w:val="en-US"/>
        </w:rPr>
        <w:t xml:space="preserve">It is interpreted as follows: </w:t>
      </w:r>
      <w:r>
        <w:rPr>
          <w:rFonts w:ascii="Times New Roman" w:hAnsi="Times New Roman" w:cs="Times New Roman"/>
          <w:lang w:val="en-US"/>
        </w:rPr>
        <w:t>&lt;</w:t>
      </w:r>
      <w:r w:rsidRPr="0014115F">
        <w:rPr>
          <w:rFonts w:ascii="Times New Roman" w:hAnsi="Times New Roman" w:cs="Times New Roman"/>
          <w:lang w:val="en-US"/>
        </w:rPr>
        <w:t xml:space="preserve">0.2, poor; 0.2–0.4, fair; 0.4–0.6, moderate; 0.6–0.8, good; and </w:t>
      </w:r>
      <w:r>
        <w:rPr>
          <w:rFonts w:ascii="Times New Roman" w:hAnsi="Times New Roman" w:cs="Times New Roman"/>
          <w:lang w:val="en-US"/>
        </w:rPr>
        <w:t>&gt;</w:t>
      </w:r>
      <w:r w:rsidRPr="0014115F">
        <w:rPr>
          <w:rFonts w:ascii="Times New Roman" w:hAnsi="Times New Roman" w:cs="Times New Roman"/>
          <w:lang w:val="en-US"/>
        </w:rPr>
        <w:t>0.8, excellent agreement</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F37B35">
        <w:rPr>
          <w:rFonts w:ascii="Times New Roman" w:hAnsi="Times New Roman" w:cs="Times New Roman"/>
          <w:lang w:val="en-US"/>
        </w:rPr>
        <w:instrText>ADDIN CSL_CITATION {"citationItems":[{"id":"ITEM-1","itemData":{"ISSN":"0161-5505","author":[{"dropping-particle":"","family":"Savio","given":"Alexandre","non-dropping-particle":"","parse-names":false,"suffix":""},{"dropping-particle":"","family":"Fünger","given":"Sarah","non-dropping-particle":"","parse-names":false,"suffix":""},{"dropping-particle":"","family":"Tahmasian","given":"Masoud","non-dropping-particle":"","parse-names":false,"suffix":""},{"dropping-particle":"","family":"Rachakonda","given":"Srinivas","non-dropping-particle":"","parse-names":false,"suffix":""},{"dropping-particle":"","family":"Manoliu","given":"Andrei","non-dropping-particle":"","parse-names":false,"suffix":""},{"dropping-particle":"","family":"Sorg","given":"Christian","non-dropping-particle":"","parse-names":false,"suffix":""},{"dropping-particle":"","family":"Grimmer","given":"Timo","non-dropping-particle":"","parse-names":false,"suffix":""},{"dropping-particle":"","family":"Calhoun","given":"Vince","non-dropping-particle":"","parse-names":false,"suffix":""},{"dropping-particle":"","family":"Drzezga","given":"Alexander","non-dropping-particle":"","parse-names":false,"suffix":""},{"dropping-particle":"","family":"Riedl","given":"Valentin","non-dropping-particle":"","parse-names":false,"suffix":""}],"container-title":"Journal of Nuclear Medicine","id":"ITEM-1","issue":"8","issued":{"date-parts":[["2017"]]},"page":"1314-1317","publisher":"Soc Nuclear Med","title":"Resting-state networks as simultaneously measured with functional MRI and PET","type":"article-journal","volume":"58"},"uris":["http://www.mendeley.com/documents/?uuid=ad2b2546-f389-407c-8a37-3ea927732605"]}],"mendeley":{"formattedCitation":"&lt;span style=\"baseline\"&gt;(&lt;i&gt;6&lt;/i&gt;)&lt;/span&gt;","plainTextFormattedCitation":"(6)","previouslyFormattedCitation":"&lt;span style=\"baseline\"&gt;(&lt;i&gt;6&lt;/i&gt;)&lt;/span&gt;"},"properties":{"noteIndex":0},"schema":"https://github.com/citation-style-language/schema/raw/master/csl-citation.json"}</w:instrText>
      </w:r>
      <w:r>
        <w:rPr>
          <w:rFonts w:ascii="Times New Roman" w:hAnsi="Times New Roman" w:cs="Times New Roman"/>
          <w:lang w:val="en-US"/>
        </w:rPr>
        <w:fldChar w:fldCharType="separate"/>
      </w:r>
      <w:r w:rsidR="00D87D8F" w:rsidRPr="00D87D8F">
        <w:rPr>
          <w:rFonts w:ascii="Times New Roman" w:hAnsi="Times New Roman" w:cs="Times New Roman"/>
          <w:noProof/>
          <w:lang w:val="en-US"/>
        </w:rPr>
        <w:t>(</w:t>
      </w:r>
      <w:r w:rsidR="00D87D8F" w:rsidRPr="00D87D8F">
        <w:rPr>
          <w:rFonts w:ascii="Times New Roman" w:hAnsi="Times New Roman" w:cs="Times New Roman"/>
          <w:i/>
          <w:noProof/>
          <w:lang w:val="en-US"/>
        </w:rPr>
        <w:t>6</w:t>
      </w:r>
      <w:r w:rsidR="00D87D8F" w:rsidRPr="00D87D8F">
        <w:rPr>
          <w:rFonts w:ascii="Times New Roman" w:hAnsi="Times New Roman" w:cs="Times New Roman"/>
          <w:noProof/>
          <w:lang w:val="en-US"/>
        </w:rPr>
        <w:t>)</w:t>
      </w:r>
      <w:r>
        <w:rPr>
          <w:rFonts w:ascii="Times New Roman" w:hAnsi="Times New Roman" w:cs="Times New Roman"/>
          <w:lang w:val="en-US"/>
        </w:rPr>
        <w:fldChar w:fldCharType="end"/>
      </w:r>
      <w:r w:rsidRPr="0014115F">
        <w:rPr>
          <w:rFonts w:ascii="Times New Roman" w:hAnsi="Times New Roman" w:cs="Times New Roman"/>
          <w:lang w:val="en-US"/>
        </w:rPr>
        <w:t>.</w:t>
      </w:r>
      <w:r>
        <w:rPr>
          <w:rFonts w:ascii="Times New Roman" w:hAnsi="Times New Roman" w:cs="Times New Roman"/>
          <w:lang w:val="en-US"/>
        </w:rPr>
        <w:t xml:space="preserve"> </w:t>
      </w:r>
    </w:p>
    <w:p w14:paraId="32560815" w14:textId="758B4D51" w:rsidR="00162AC3" w:rsidRDefault="00162AC3" w:rsidP="00162AC3">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5. Simple Matching coefficient</w:t>
      </w:r>
    </w:p>
    <w:p w14:paraId="0A4E69E9" w14:textId="79D5D383" w:rsidR="00162AC3" w:rsidRDefault="00162AC3" w:rsidP="00162AC3">
      <w:pPr>
        <w:spacing w:line="480" w:lineRule="auto"/>
        <w:rPr>
          <w:rFonts w:ascii="Times New Roman" w:hAnsi="Times New Roman" w:cs="Times New Roman"/>
          <w:lang w:val="en-US"/>
        </w:rPr>
      </w:pPr>
      <w:r w:rsidRPr="00162AC3">
        <w:rPr>
          <w:rFonts w:ascii="Times New Roman" w:hAnsi="Times New Roman" w:cs="Times New Roman"/>
          <w:lang w:val="en-US"/>
        </w:rPr>
        <w:t xml:space="preserve">The Simple Matching Coefficient (SMC) is a </w:t>
      </w:r>
      <w:r>
        <w:rPr>
          <w:rFonts w:ascii="Times New Roman" w:hAnsi="Times New Roman" w:cs="Times New Roman"/>
          <w:lang w:val="en-US"/>
        </w:rPr>
        <w:t>similarity measure</w:t>
      </w:r>
      <w:r w:rsidRPr="00162AC3">
        <w:rPr>
          <w:rFonts w:ascii="Times New Roman" w:hAnsi="Times New Roman" w:cs="Times New Roman"/>
          <w:lang w:val="en-US"/>
        </w:rPr>
        <w:t xml:space="preserve"> between two binary </w:t>
      </w:r>
      <w:r>
        <w:rPr>
          <w:rFonts w:ascii="Times New Roman" w:hAnsi="Times New Roman" w:cs="Times New Roman"/>
          <w:lang w:val="en-US"/>
        </w:rPr>
        <w:t>images</w:t>
      </w:r>
      <w:r w:rsidRPr="00162AC3">
        <w:rPr>
          <w:rFonts w:ascii="Times New Roman" w:hAnsi="Times New Roman" w:cs="Times New Roman"/>
          <w:lang w:val="en-US"/>
        </w:rPr>
        <w:t>. The SMC is calculated as:</w:t>
      </w:r>
    </w:p>
    <w:p w14:paraId="6D01A4FC" w14:textId="1CA1F705" w:rsidR="00162AC3" w:rsidRPr="00162AC3" w:rsidRDefault="00162AC3" w:rsidP="00162AC3">
      <w:pPr>
        <w:spacing w:line="480" w:lineRule="auto"/>
        <w:rPr>
          <w:rFonts w:ascii="Times New Roman" w:hAnsi="Times New Roman" w:cs="Times New Roman"/>
          <w:lang w:val="en-US"/>
        </w:rPr>
      </w:pPr>
      <m:oMathPara>
        <m:oMath>
          <m:r>
            <w:rPr>
              <w:rFonts w:ascii="Cambria Math" w:hAnsi="Cambria Math" w:cs="Times New Roman"/>
              <w:sz w:val="24"/>
              <w:szCs w:val="24"/>
              <w:lang w:val="en-GB"/>
            </w:rPr>
            <m:t>SMC=</m:t>
          </m:r>
          <m:f>
            <m:fPr>
              <m:ctrlPr>
                <w:rPr>
                  <w:rFonts w:ascii="Cambria Math" w:hAnsi="Cambria Math" w:cs="Times New Roman"/>
                  <w:sz w:val="24"/>
                  <w:szCs w:val="24"/>
                  <w:lang w:val="en-GB"/>
                </w:rPr>
              </m:ctrlPr>
            </m:fPr>
            <m:num>
              <m:r>
                <w:rPr>
                  <w:rFonts w:ascii="Cambria Math" w:hAnsi="Cambria Math" w:cs="Times New Roman"/>
                  <w:sz w:val="24"/>
                  <w:szCs w:val="24"/>
                  <w:lang w:val="en-GB"/>
                </w:rPr>
                <m:t>a+d</m:t>
              </m:r>
            </m:num>
            <m:den>
              <m:r>
                <w:rPr>
                  <w:rFonts w:ascii="Cambria Math" w:hAnsi="Cambria Math" w:cs="Times New Roman"/>
                  <w:sz w:val="24"/>
                  <w:szCs w:val="24"/>
                  <w:lang w:val="en-GB"/>
                </w:rPr>
                <m:t>a+b+c+d</m:t>
              </m:r>
            </m:den>
          </m:f>
        </m:oMath>
      </m:oMathPara>
    </w:p>
    <w:p w14:paraId="18330DA1" w14:textId="64F335EE" w:rsidR="00BC2158" w:rsidRPr="00162AC3" w:rsidRDefault="00162AC3" w:rsidP="00162AC3">
      <w:pPr>
        <w:spacing w:line="480" w:lineRule="auto"/>
        <w:rPr>
          <w:rFonts w:ascii="Times New Roman" w:hAnsi="Times New Roman" w:cs="Times New Roman"/>
          <w:lang w:val="en-US"/>
        </w:rPr>
      </w:pPr>
      <w:r w:rsidRPr="00162AC3">
        <w:rPr>
          <w:rFonts w:ascii="Times New Roman" w:hAnsi="Times New Roman" w:cs="Times New Roman"/>
          <w:lang w:val="en-US"/>
        </w:rPr>
        <w:t>where:</w:t>
      </w:r>
      <w:r>
        <w:rPr>
          <w:rFonts w:ascii="Times New Roman" w:hAnsi="Times New Roman" w:cs="Times New Roman"/>
          <w:lang w:val="en-US"/>
        </w:rPr>
        <w:t xml:space="preserve"> </w:t>
      </w:r>
      <w:r w:rsidRPr="00162AC3">
        <w:rPr>
          <w:rFonts w:ascii="Cambria Math" w:hAnsi="Cambria Math" w:cs="Cambria Math"/>
          <w:lang w:val="en-US"/>
        </w:rPr>
        <w:t>𝑎</w:t>
      </w:r>
      <w:r w:rsidRPr="00162AC3">
        <w:rPr>
          <w:rFonts w:ascii="Times New Roman" w:hAnsi="Times New Roman" w:cs="Times New Roman"/>
          <w:lang w:val="en-US"/>
        </w:rPr>
        <w:t xml:space="preserve"> is the number of </w:t>
      </w:r>
      <w:r>
        <w:rPr>
          <w:rFonts w:ascii="Times New Roman" w:hAnsi="Times New Roman" w:cs="Times New Roman"/>
          <w:lang w:val="en-US"/>
        </w:rPr>
        <w:t>voxel</w:t>
      </w:r>
      <w:r w:rsidRPr="00162AC3">
        <w:rPr>
          <w:rFonts w:ascii="Times New Roman" w:hAnsi="Times New Roman" w:cs="Times New Roman"/>
          <w:lang w:val="en-US"/>
        </w:rPr>
        <w:t>s where both images have a value of 1</w:t>
      </w:r>
      <w:r>
        <w:rPr>
          <w:rFonts w:ascii="Times New Roman" w:hAnsi="Times New Roman" w:cs="Times New Roman"/>
          <w:lang w:val="en-US"/>
        </w:rPr>
        <w:t xml:space="preserve">; </w:t>
      </w:r>
      <w:r w:rsidRPr="00162AC3">
        <w:rPr>
          <w:rFonts w:ascii="Cambria Math" w:hAnsi="Cambria Math" w:cs="Cambria Math"/>
          <w:lang w:val="en-US"/>
        </w:rPr>
        <w:t>𝑏</w:t>
      </w:r>
      <w:r w:rsidRPr="00162AC3">
        <w:rPr>
          <w:rFonts w:ascii="Times New Roman" w:hAnsi="Times New Roman" w:cs="Times New Roman"/>
          <w:lang w:val="en-US"/>
        </w:rPr>
        <w:t xml:space="preserve"> is the number of </w:t>
      </w:r>
      <w:r>
        <w:rPr>
          <w:rFonts w:ascii="Times New Roman" w:hAnsi="Times New Roman" w:cs="Times New Roman"/>
          <w:lang w:val="en-US"/>
        </w:rPr>
        <w:t>voxel</w:t>
      </w:r>
      <w:r w:rsidRPr="00162AC3">
        <w:rPr>
          <w:rFonts w:ascii="Times New Roman" w:hAnsi="Times New Roman" w:cs="Times New Roman"/>
          <w:lang w:val="en-US"/>
        </w:rPr>
        <w:t>s where the first image has a value of 1 and the second image has a value of 0</w:t>
      </w:r>
      <w:r>
        <w:rPr>
          <w:rFonts w:ascii="Times New Roman" w:hAnsi="Times New Roman" w:cs="Times New Roman"/>
          <w:lang w:val="en-US"/>
        </w:rPr>
        <w:t xml:space="preserve">; </w:t>
      </w:r>
      <w:r w:rsidRPr="00162AC3">
        <w:rPr>
          <w:rFonts w:ascii="Cambria Math" w:hAnsi="Cambria Math" w:cs="Cambria Math"/>
          <w:lang w:val="en-US"/>
        </w:rPr>
        <w:t>𝑐</w:t>
      </w:r>
      <w:r w:rsidRPr="00162AC3">
        <w:rPr>
          <w:rFonts w:ascii="Times New Roman" w:hAnsi="Times New Roman" w:cs="Times New Roman"/>
          <w:lang w:val="en-US"/>
        </w:rPr>
        <w:t xml:space="preserve"> is the number of </w:t>
      </w:r>
      <w:r>
        <w:rPr>
          <w:rFonts w:ascii="Times New Roman" w:hAnsi="Times New Roman" w:cs="Times New Roman"/>
          <w:lang w:val="en-US"/>
        </w:rPr>
        <w:t>voxel</w:t>
      </w:r>
      <w:r w:rsidRPr="00162AC3">
        <w:rPr>
          <w:rFonts w:ascii="Times New Roman" w:hAnsi="Times New Roman" w:cs="Times New Roman"/>
          <w:lang w:val="en-US"/>
        </w:rPr>
        <w:t>s where the first image has a value of 0 and the second image has a value of 1</w:t>
      </w:r>
      <w:r>
        <w:rPr>
          <w:rFonts w:ascii="Times New Roman" w:hAnsi="Times New Roman" w:cs="Times New Roman"/>
          <w:lang w:val="en-US"/>
        </w:rPr>
        <w:t xml:space="preserve">; </w:t>
      </w:r>
      <w:r w:rsidRPr="00162AC3">
        <w:rPr>
          <w:rFonts w:ascii="Cambria Math" w:hAnsi="Cambria Math" w:cs="Cambria Math"/>
          <w:lang w:val="en-US"/>
        </w:rPr>
        <w:t>𝑑</w:t>
      </w:r>
      <w:r w:rsidRPr="00162AC3">
        <w:rPr>
          <w:rFonts w:ascii="Times New Roman" w:hAnsi="Times New Roman" w:cs="Times New Roman"/>
          <w:lang w:val="en-US"/>
        </w:rPr>
        <w:t xml:space="preserve"> is the number of </w:t>
      </w:r>
      <w:r>
        <w:rPr>
          <w:rFonts w:ascii="Times New Roman" w:hAnsi="Times New Roman" w:cs="Times New Roman"/>
          <w:lang w:val="en-US"/>
        </w:rPr>
        <w:t>voxel</w:t>
      </w:r>
      <w:r w:rsidRPr="00162AC3">
        <w:rPr>
          <w:rFonts w:ascii="Times New Roman" w:hAnsi="Times New Roman" w:cs="Times New Roman"/>
          <w:lang w:val="en-US"/>
        </w:rPr>
        <w:t>s where both images have a value of 0.</w:t>
      </w:r>
      <w:r>
        <w:rPr>
          <w:rFonts w:ascii="Times New Roman" w:hAnsi="Times New Roman" w:cs="Times New Roman"/>
          <w:lang w:val="en-US"/>
        </w:rPr>
        <w:t xml:space="preserve"> </w:t>
      </w:r>
      <w:r w:rsidRPr="00162AC3">
        <w:rPr>
          <w:rFonts w:ascii="Times New Roman" w:hAnsi="Times New Roman" w:cs="Times New Roman"/>
          <w:lang w:val="en-US"/>
        </w:rPr>
        <w:t>The SMC ranges from 0 to 1.</w:t>
      </w:r>
      <w:r>
        <w:rPr>
          <w:rFonts w:ascii="Times New Roman" w:hAnsi="Times New Roman" w:cs="Times New Roman"/>
          <w:lang w:val="en-US"/>
        </w:rPr>
        <w:t xml:space="preserve"> </w:t>
      </w:r>
      <w:r w:rsidRPr="00162AC3">
        <w:rPr>
          <w:rFonts w:ascii="Times New Roman" w:hAnsi="Times New Roman" w:cs="Times New Roman"/>
          <w:lang w:val="en-US"/>
        </w:rPr>
        <w:t xml:space="preserve">If the SMC is close to 1, it suggests that the two images are very similar, sharing a high proportion of matching </w:t>
      </w:r>
      <w:r>
        <w:rPr>
          <w:rFonts w:ascii="Times New Roman" w:hAnsi="Times New Roman" w:cs="Times New Roman"/>
          <w:lang w:val="en-US"/>
        </w:rPr>
        <w:t>voxels</w:t>
      </w:r>
      <w:r w:rsidRPr="00162AC3">
        <w:rPr>
          <w:rFonts w:ascii="Times New Roman" w:hAnsi="Times New Roman" w:cs="Times New Roman"/>
          <w:lang w:val="en-US"/>
        </w:rPr>
        <w:t xml:space="preserve"> (both 1s and 0s)</w:t>
      </w:r>
      <w:r>
        <w:rPr>
          <w:rFonts w:ascii="Times New Roman" w:hAnsi="Times New Roman" w:cs="Times New Roman"/>
          <w:lang w:val="en-US"/>
        </w:rPr>
        <w:t>; i</w:t>
      </w:r>
      <w:r w:rsidRPr="00162AC3">
        <w:rPr>
          <w:rFonts w:ascii="Times New Roman" w:hAnsi="Times New Roman" w:cs="Times New Roman"/>
          <w:lang w:val="en-US"/>
        </w:rPr>
        <w:t xml:space="preserve">f the SMC is close to 0, it suggests that the two images are quite different, with very few matching </w:t>
      </w:r>
      <w:r>
        <w:rPr>
          <w:rFonts w:ascii="Times New Roman" w:hAnsi="Times New Roman" w:cs="Times New Roman"/>
          <w:lang w:val="en-US"/>
        </w:rPr>
        <w:t>voxels</w:t>
      </w:r>
      <w:r w:rsidRPr="00162AC3">
        <w:rPr>
          <w:rFonts w:ascii="Times New Roman" w:hAnsi="Times New Roman" w:cs="Times New Roman"/>
          <w:lang w:val="en-US"/>
        </w:rPr>
        <w:t>.</w:t>
      </w:r>
    </w:p>
    <w:p w14:paraId="55DFCB61" w14:textId="058A31AB" w:rsidR="00BC2158" w:rsidRPr="00162AC3" w:rsidRDefault="00BC2158" w:rsidP="00EC0C76">
      <w:pPr>
        <w:spacing w:line="480" w:lineRule="auto"/>
        <w:rPr>
          <w:rFonts w:ascii="Times New Roman" w:hAnsi="Times New Roman" w:cs="Times New Roman"/>
          <w:lang w:val="en-US"/>
        </w:rPr>
      </w:pPr>
    </w:p>
    <w:p w14:paraId="7FF28E0E" w14:textId="39C264B7" w:rsidR="00BC2158" w:rsidRDefault="00BC2158" w:rsidP="00EC0C76">
      <w:pPr>
        <w:spacing w:line="480" w:lineRule="auto"/>
        <w:rPr>
          <w:lang w:val="en-US"/>
        </w:rPr>
        <w:sectPr w:rsidR="00BC2158" w:rsidSect="009672CC">
          <w:pgSz w:w="11906" w:h="16838"/>
          <w:pgMar w:top="1440" w:right="1440" w:bottom="1440" w:left="1440" w:header="708" w:footer="708" w:gutter="0"/>
          <w:cols w:space="708"/>
          <w:docGrid w:linePitch="360"/>
        </w:sectPr>
      </w:pPr>
    </w:p>
    <w:p w14:paraId="3AE3A690" w14:textId="67332F10" w:rsidR="00020931" w:rsidRPr="00000DDF" w:rsidRDefault="000A579C" w:rsidP="000A579C">
      <w:pPr>
        <w:jc w:val="both"/>
        <w:rPr>
          <w:rFonts w:ascii="Times New Roman" w:hAnsi="Times New Roman" w:cs="Times New Roman"/>
          <w:sz w:val="24"/>
          <w:szCs w:val="24"/>
          <w:lang w:val="en-US"/>
        </w:rPr>
      </w:pPr>
      <w:r w:rsidRPr="000A579C">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S1</w:t>
      </w:r>
      <w:r w:rsidRPr="000A579C">
        <w:rPr>
          <w:rFonts w:ascii="Times New Roman" w:hAnsi="Times New Roman" w:cs="Times New Roman"/>
          <w:b/>
          <w:bCs/>
          <w:sz w:val="24"/>
          <w:szCs w:val="24"/>
          <w:lang w:val="en-US"/>
        </w:rPr>
        <w:t xml:space="preserve">. </w:t>
      </w:r>
      <w:r w:rsidRPr="000A579C">
        <w:rPr>
          <w:rFonts w:ascii="Times New Roman" w:hAnsi="Times New Roman" w:cs="Times New Roman"/>
          <w:sz w:val="24"/>
          <w:szCs w:val="24"/>
          <w:lang w:val="en-US"/>
        </w:rPr>
        <w:t>Contingency Table Reporting Frequency of Different Hypometabolism and Hypoperfusion Patterns Obtained with Early Phase of Tau PET in Whole Sample</w:t>
      </w:r>
    </w:p>
    <w:tbl>
      <w:tblPr>
        <w:tblStyle w:val="PlainTable4"/>
        <w:tblW w:w="10306" w:type="dxa"/>
        <w:tblLayout w:type="fixed"/>
        <w:tblLook w:val="0400" w:firstRow="0" w:lastRow="0" w:firstColumn="0" w:lastColumn="0" w:noHBand="0" w:noVBand="1"/>
      </w:tblPr>
      <w:tblGrid>
        <w:gridCol w:w="1863"/>
        <w:gridCol w:w="1003"/>
        <w:gridCol w:w="1290"/>
        <w:gridCol w:w="1290"/>
        <w:gridCol w:w="1418"/>
        <w:gridCol w:w="1512"/>
        <w:gridCol w:w="1044"/>
        <w:gridCol w:w="886"/>
      </w:tblGrid>
      <w:tr w:rsidR="000A579C" w:rsidRPr="001E7F3F" w14:paraId="612A6763" w14:textId="77777777" w:rsidTr="00072583">
        <w:trPr>
          <w:cnfStyle w:val="000000100000" w:firstRow="0" w:lastRow="0" w:firstColumn="0" w:lastColumn="0" w:oddVBand="0" w:evenVBand="0" w:oddHBand="1" w:evenHBand="0" w:firstRowFirstColumn="0" w:firstRowLastColumn="0" w:lastRowFirstColumn="0" w:lastRowLastColumn="0"/>
          <w:trHeight w:val="463"/>
        </w:trPr>
        <w:tc>
          <w:tcPr>
            <w:tcW w:w="10306" w:type="dxa"/>
            <w:gridSpan w:val="8"/>
            <w:tcBorders>
              <w:bottom w:val="single" w:sz="4" w:space="0" w:color="auto"/>
            </w:tcBorders>
            <w:hideMark/>
          </w:tcPr>
          <w:p w14:paraId="49126145" w14:textId="77777777" w:rsidR="000A579C" w:rsidRPr="001E7F3F" w:rsidRDefault="000A579C" w:rsidP="00072583">
            <w:pPr>
              <w:jc w:val="cente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eTAU hypoperfusion patterns</w:t>
            </w:r>
          </w:p>
        </w:tc>
      </w:tr>
      <w:tr w:rsidR="000A579C" w:rsidRPr="001E7F3F" w14:paraId="54C46318" w14:textId="77777777" w:rsidTr="00072583">
        <w:trPr>
          <w:trHeight w:val="463"/>
        </w:trPr>
        <w:tc>
          <w:tcPr>
            <w:tcW w:w="1863" w:type="dxa"/>
            <w:tcBorders>
              <w:top w:val="single" w:sz="4" w:space="0" w:color="auto"/>
              <w:bottom w:val="single" w:sz="4" w:space="0" w:color="auto"/>
            </w:tcBorders>
            <w:hideMark/>
          </w:tcPr>
          <w:p w14:paraId="32CD1A35"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Hypometabolic patterns</w:t>
            </w:r>
          </w:p>
        </w:tc>
        <w:tc>
          <w:tcPr>
            <w:tcW w:w="1003" w:type="dxa"/>
            <w:tcBorders>
              <w:top w:val="single" w:sz="4" w:space="0" w:color="auto"/>
              <w:bottom w:val="single" w:sz="4" w:space="0" w:color="auto"/>
            </w:tcBorders>
            <w:hideMark/>
          </w:tcPr>
          <w:p w14:paraId="0173238C"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AD-like </w:t>
            </w:r>
          </w:p>
        </w:tc>
        <w:tc>
          <w:tcPr>
            <w:tcW w:w="1290" w:type="dxa"/>
            <w:tcBorders>
              <w:top w:val="single" w:sz="4" w:space="0" w:color="auto"/>
              <w:bottom w:val="single" w:sz="4" w:space="0" w:color="auto"/>
            </w:tcBorders>
            <w:hideMark/>
          </w:tcPr>
          <w:p w14:paraId="39275F7E"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FTD-like </w:t>
            </w:r>
          </w:p>
        </w:tc>
        <w:tc>
          <w:tcPr>
            <w:tcW w:w="1290" w:type="dxa"/>
            <w:tcBorders>
              <w:top w:val="single" w:sz="4" w:space="0" w:color="auto"/>
              <w:bottom w:val="single" w:sz="4" w:space="0" w:color="auto"/>
            </w:tcBorders>
            <w:hideMark/>
          </w:tcPr>
          <w:p w14:paraId="36873001"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DLB-like </w:t>
            </w:r>
          </w:p>
        </w:tc>
        <w:tc>
          <w:tcPr>
            <w:tcW w:w="1418" w:type="dxa"/>
            <w:tcBorders>
              <w:top w:val="single" w:sz="4" w:space="0" w:color="auto"/>
              <w:bottom w:val="single" w:sz="4" w:space="0" w:color="auto"/>
            </w:tcBorders>
            <w:hideMark/>
          </w:tcPr>
          <w:p w14:paraId="7B496363"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Limbic-like </w:t>
            </w:r>
          </w:p>
        </w:tc>
        <w:tc>
          <w:tcPr>
            <w:tcW w:w="1512" w:type="dxa"/>
            <w:tcBorders>
              <w:top w:val="single" w:sz="4" w:space="0" w:color="auto"/>
              <w:bottom w:val="single" w:sz="4" w:space="0" w:color="auto"/>
            </w:tcBorders>
            <w:hideMark/>
          </w:tcPr>
          <w:p w14:paraId="4976C2AD"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Unclassified </w:t>
            </w:r>
          </w:p>
        </w:tc>
        <w:tc>
          <w:tcPr>
            <w:tcW w:w="1044" w:type="dxa"/>
            <w:tcBorders>
              <w:top w:val="single" w:sz="4" w:space="0" w:color="auto"/>
              <w:bottom w:val="single" w:sz="4" w:space="0" w:color="auto"/>
            </w:tcBorders>
            <w:hideMark/>
          </w:tcPr>
          <w:p w14:paraId="6C174E79"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 xml:space="preserve">Normal </w:t>
            </w:r>
          </w:p>
        </w:tc>
        <w:tc>
          <w:tcPr>
            <w:tcW w:w="883" w:type="dxa"/>
            <w:tcBorders>
              <w:top w:val="single" w:sz="4" w:space="0" w:color="auto"/>
              <w:bottom w:val="single" w:sz="4" w:space="0" w:color="auto"/>
            </w:tcBorders>
            <w:hideMark/>
          </w:tcPr>
          <w:p w14:paraId="552A59D0" w14:textId="77777777" w:rsidR="000A579C" w:rsidRPr="001E7F3F" w:rsidRDefault="000A579C" w:rsidP="00072583">
            <w:pPr>
              <w:rPr>
                <w:rFonts w:ascii="Times New Roman" w:eastAsia="Times New Roman" w:hAnsi="Times New Roman" w:cs="Times New Roman"/>
                <w:b/>
                <w:bCs/>
                <w:sz w:val="24"/>
                <w:szCs w:val="24"/>
              </w:rPr>
            </w:pPr>
            <w:r w:rsidRPr="001E7F3F">
              <w:rPr>
                <w:rFonts w:ascii="Times New Roman" w:eastAsia="Times New Roman" w:hAnsi="Times New Roman" w:cs="Times New Roman"/>
                <w:b/>
                <w:bCs/>
                <w:sz w:val="24"/>
                <w:szCs w:val="24"/>
              </w:rPr>
              <w:t>Total</w:t>
            </w:r>
          </w:p>
        </w:tc>
      </w:tr>
      <w:tr w:rsidR="000A579C" w:rsidRPr="001E7F3F" w14:paraId="7AD05269" w14:textId="77777777" w:rsidTr="00072583">
        <w:trPr>
          <w:cnfStyle w:val="000000100000" w:firstRow="0" w:lastRow="0" w:firstColumn="0" w:lastColumn="0" w:oddVBand="0" w:evenVBand="0" w:oddHBand="1" w:evenHBand="0" w:firstRowFirstColumn="0" w:firstRowLastColumn="0" w:lastRowFirstColumn="0" w:lastRowLastColumn="0"/>
          <w:trHeight w:val="463"/>
        </w:trPr>
        <w:tc>
          <w:tcPr>
            <w:tcW w:w="1863" w:type="dxa"/>
            <w:tcBorders>
              <w:top w:val="single" w:sz="4" w:space="0" w:color="auto"/>
            </w:tcBorders>
            <w:hideMark/>
          </w:tcPr>
          <w:p w14:paraId="0D1A6417"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AD-like</w:t>
            </w:r>
          </w:p>
        </w:tc>
        <w:tc>
          <w:tcPr>
            <w:tcW w:w="1003" w:type="dxa"/>
            <w:tcBorders>
              <w:top w:val="single" w:sz="4" w:space="0" w:color="auto"/>
            </w:tcBorders>
            <w:hideMark/>
          </w:tcPr>
          <w:p w14:paraId="487E8E10"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15</w:t>
            </w:r>
          </w:p>
        </w:tc>
        <w:tc>
          <w:tcPr>
            <w:tcW w:w="1290" w:type="dxa"/>
            <w:tcBorders>
              <w:top w:val="single" w:sz="4" w:space="0" w:color="auto"/>
            </w:tcBorders>
            <w:hideMark/>
          </w:tcPr>
          <w:p w14:paraId="3A1CCF22"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tcBorders>
              <w:top w:val="single" w:sz="4" w:space="0" w:color="auto"/>
            </w:tcBorders>
            <w:hideMark/>
          </w:tcPr>
          <w:p w14:paraId="7E432496"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tcBorders>
              <w:top w:val="single" w:sz="4" w:space="0" w:color="auto"/>
            </w:tcBorders>
            <w:hideMark/>
          </w:tcPr>
          <w:p w14:paraId="70DF9B81"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512" w:type="dxa"/>
            <w:tcBorders>
              <w:top w:val="single" w:sz="4" w:space="0" w:color="auto"/>
            </w:tcBorders>
            <w:hideMark/>
          </w:tcPr>
          <w:p w14:paraId="4D5D9E5F"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3</w:t>
            </w:r>
          </w:p>
        </w:tc>
        <w:tc>
          <w:tcPr>
            <w:tcW w:w="1044" w:type="dxa"/>
            <w:tcBorders>
              <w:top w:val="single" w:sz="4" w:space="0" w:color="auto"/>
            </w:tcBorders>
            <w:hideMark/>
          </w:tcPr>
          <w:p w14:paraId="1B917BC1"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4</w:t>
            </w:r>
          </w:p>
        </w:tc>
        <w:tc>
          <w:tcPr>
            <w:tcW w:w="883" w:type="dxa"/>
            <w:tcBorders>
              <w:top w:val="single" w:sz="4" w:space="0" w:color="auto"/>
            </w:tcBorders>
            <w:hideMark/>
          </w:tcPr>
          <w:p w14:paraId="37455B67"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22</w:t>
            </w:r>
          </w:p>
        </w:tc>
      </w:tr>
      <w:tr w:rsidR="000A579C" w:rsidRPr="001E7F3F" w14:paraId="1B9E4FD3" w14:textId="77777777" w:rsidTr="00072583">
        <w:trPr>
          <w:trHeight w:val="463"/>
        </w:trPr>
        <w:tc>
          <w:tcPr>
            <w:tcW w:w="1863" w:type="dxa"/>
            <w:hideMark/>
          </w:tcPr>
          <w:p w14:paraId="24F677BD"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FTD-like</w:t>
            </w:r>
          </w:p>
        </w:tc>
        <w:tc>
          <w:tcPr>
            <w:tcW w:w="1003" w:type="dxa"/>
            <w:hideMark/>
          </w:tcPr>
          <w:p w14:paraId="1E5C4F3A"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56581513"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3</w:t>
            </w:r>
          </w:p>
        </w:tc>
        <w:tc>
          <w:tcPr>
            <w:tcW w:w="1290" w:type="dxa"/>
            <w:hideMark/>
          </w:tcPr>
          <w:p w14:paraId="0C2D4BCD"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hideMark/>
          </w:tcPr>
          <w:p w14:paraId="40C1BF67"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w:t>
            </w:r>
          </w:p>
        </w:tc>
        <w:tc>
          <w:tcPr>
            <w:tcW w:w="1512" w:type="dxa"/>
            <w:hideMark/>
          </w:tcPr>
          <w:p w14:paraId="63D8BAA4"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044" w:type="dxa"/>
            <w:hideMark/>
          </w:tcPr>
          <w:p w14:paraId="0C7D18D2"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883" w:type="dxa"/>
            <w:hideMark/>
          </w:tcPr>
          <w:p w14:paraId="362DF1B4"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4</w:t>
            </w:r>
          </w:p>
        </w:tc>
      </w:tr>
      <w:tr w:rsidR="000A579C" w:rsidRPr="001E7F3F" w14:paraId="78576D5E" w14:textId="77777777" w:rsidTr="00072583">
        <w:trPr>
          <w:cnfStyle w:val="000000100000" w:firstRow="0" w:lastRow="0" w:firstColumn="0" w:lastColumn="0" w:oddVBand="0" w:evenVBand="0" w:oddHBand="1" w:evenHBand="0" w:firstRowFirstColumn="0" w:firstRowLastColumn="0" w:lastRowFirstColumn="0" w:lastRowLastColumn="0"/>
          <w:trHeight w:val="463"/>
        </w:trPr>
        <w:tc>
          <w:tcPr>
            <w:tcW w:w="1863" w:type="dxa"/>
            <w:hideMark/>
          </w:tcPr>
          <w:p w14:paraId="2369056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DLB-like</w:t>
            </w:r>
          </w:p>
        </w:tc>
        <w:tc>
          <w:tcPr>
            <w:tcW w:w="1003" w:type="dxa"/>
            <w:hideMark/>
          </w:tcPr>
          <w:p w14:paraId="0F021425"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w:t>
            </w:r>
          </w:p>
        </w:tc>
        <w:tc>
          <w:tcPr>
            <w:tcW w:w="1290" w:type="dxa"/>
            <w:hideMark/>
          </w:tcPr>
          <w:p w14:paraId="5DCB9858"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66A05E0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hideMark/>
          </w:tcPr>
          <w:p w14:paraId="3145231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512" w:type="dxa"/>
            <w:hideMark/>
          </w:tcPr>
          <w:p w14:paraId="4460FC2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w:t>
            </w:r>
          </w:p>
        </w:tc>
        <w:tc>
          <w:tcPr>
            <w:tcW w:w="1044" w:type="dxa"/>
            <w:hideMark/>
          </w:tcPr>
          <w:p w14:paraId="57B75916"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883" w:type="dxa"/>
            <w:hideMark/>
          </w:tcPr>
          <w:p w14:paraId="2FE17BC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2</w:t>
            </w:r>
          </w:p>
        </w:tc>
      </w:tr>
      <w:tr w:rsidR="000A579C" w:rsidRPr="001E7F3F" w14:paraId="416DE860" w14:textId="77777777" w:rsidTr="00072583">
        <w:trPr>
          <w:trHeight w:val="463"/>
        </w:trPr>
        <w:tc>
          <w:tcPr>
            <w:tcW w:w="1863" w:type="dxa"/>
            <w:hideMark/>
          </w:tcPr>
          <w:p w14:paraId="4D0B9FB1"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Limbic-like</w:t>
            </w:r>
          </w:p>
        </w:tc>
        <w:tc>
          <w:tcPr>
            <w:tcW w:w="1003" w:type="dxa"/>
            <w:hideMark/>
          </w:tcPr>
          <w:p w14:paraId="51FA1C8C"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0325F922"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62D351C2"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hideMark/>
          </w:tcPr>
          <w:p w14:paraId="5FF47976"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512" w:type="dxa"/>
            <w:hideMark/>
          </w:tcPr>
          <w:p w14:paraId="40E4899F"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044" w:type="dxa"/>
            <w:hideMark/>
          </w:tcPr>
          <w:p w14:paraId="1A8065D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883" w:type="dxa"/>
            <w:hideMark/>
          </w:tcPr>
          <w:p w14:paraId="4AD0A59A"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r>
      <w:tr w:rsidR="000A579C" w:rsidRPr="001E7F3F" w14:paraId="3554B1AD" w14:textId="77777777" w:rsidTr="00072583">
        <w:trPr>
          <w:cnfStyle w:val="000000100000" w:firstRow="0" w:lastRow="0" w:firstColumn="0" w:lastColumn="0" w:oddVBand="0" w:evenVBand="0" w:oddHBand="1" w:evenHBand="0" w:firstRowFirstColumn="0" w:firstRowLastColumn="0" w:lastRowFirstColumn="0" w:lastRowLastColumn="0"/>
          <w:trHeight w:val="463"/>
        </w:trPr>
        <w:tc>
          <w:tcPr>
            <w:tcW w:w="1863" w:type="dxa"/>
            <w:hideMark/>
          </w:tcPr>
          <w:p w14:paraId="30788624"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 xml:space="preserve">Unclassified </w:t>
            </w:r>
          </w:p>
        </w:tc>
        <w:tc>
          <w:tcPr>
            <w:tcW w:w="1003" w:type="dxa"/>
            <w:hideMark/>
          </w:tcPr>
          <w:p w14:paraId="1ABECFB3"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2</w:t>
            </w:r>
          </w:p>
        </w:tc>
        <w:tc>
          <w:tcPr>
            <w:tcW w:w="1290" w:type="dxa"/>
            <w:hideMark/>
          </w:tcPr>
          <w:p w14:paraId="2532B77B"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25B5BF07"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hideMark/>
          </w:tcPr>
          <w:p w14:paraId="486E451C"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512" w:type="dxa"/>
            <w:hideMark/>
          </w:tcPr>
          <w:p w14:paraId="495E2DA5"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4</w:t>
            </w:r>
          </w:p>
        </w:tc>
        <w:tc>
          <w:tcPr>
            <w:tcW w:w="1044" w:type="dxa"/>
            <w:hideMark/>
          </w:tcPr>
          <w:p w14:paraId="3D09F10D"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883" w:type="dxa"/>
            <w:hideMark/>
          </w:tcPr>
          <w:p w14:paraId="41715EF5"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6</w:t>
            </w:r>
          </w:p>
        </w:tc>
      </w:tr>
      <w:tr w:rsidR="000A579C" w:rsidRPr="001E7F3F" w14:paraId="6C9E3679" w14:textId="77777777" w:rsidTr="00072583">
        <w:trPr>
          <w:trHeight w:val="463"/>
        </w:trPr>
        <w:tc>
          <w:tcPr>
            <w:tcW w:w="1863" w:type="dxa"/>
            <w:hideMark/>
          </w:tcPr>
          <w:p w14:paraId="0D30F711"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Normal</w:t>
            </w:r>
          </w:p>
        </w:tc>
        <w:tc>
          <w:tcPr>
            <w:tcW w:w="1003" w:type="dxa"/>
            <w:hideMark/>
          </w:tcPr>
          <w:p w14:paraId="2A830A03"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290" w:type="dxa"/>
            <w:hideMark/>
          </w:tcPr>
          <w:p w14:paraId="0023EFD5"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w:t>
            </w:r>
          </w:p>
        </w:tc>
        <w:tc>
          <w:tcPr>
            <w:tcW w:w="1290" w:type="dxa"/>
            <w:hideMark/>
          </w:tcPr>
          <w:p w14:paraId="7DB47094"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hideMark/>
          </w:tcPr>
          <w:p w14:paraId="0E4FD26F"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512" w:type="dxa"/>
            <w:hideMark/>
          </w:tcPr>
          <w:p w14:paraId="2748A725"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4</w:t>
            </w:r>
          </w:p>
        </w:tc>
        <w:tc>
          <w:tcPr>
            <w:tcW w:w="1044" w:type="dxa"/>
            <w:hideMark/>
          </w:tcPr>
          <w:p w14:paraId="29410079"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19</w:t>
            </w:r>
          </w:p>
        </w:tc>
        <w:tc>
          <w:tcPr>
            <w:tcW w:w="883" w:type="dxa"/>
            <w:hideMark/>
          </w:tcPr>
          <w:p w14:paraId="3DBBE71E"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24</w:t>
            </w:r>
          </w:p>
        </w:tc>
      </w:tr>
      <w:tr w:rsidR="000A579C" w:rsidRPr="001E7F3F" w14:paraId="70181AFC" w14:textId="77777777" w:rsidTr="00072583">
        <w:trPr>
          <w:cnfStyle w:val="000000100000" w:firstRow="0" w:lastRow="0" w:firstColumn="0" w:lastColumn="0" w:oddVBand="0" w:evenVBand="0" w:oddHBand="1" w:evenHBand="0" w:firstRowFirstColumn="0" w:firstRowLastColumn="0" w:lastRowFirstColumn="0" w:lastRowLastColumn="0"/>
          <w:trHeight w:val="463"/>
        </w:trPr>
        <w:tc>
          <w:tcPr>
            <w:tcW w:w="1863" w:type="dxa"/>
            <w:tcBorders>
              <w:bottom w:val="single" w:sz="4" w:space="0" w:color="auto"/>
            </w:tcBorders>
            <w:hideMark/>
          </w:tcPr>
          <w:p w14:paraId="0C9CB23A"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Total</w:t>
            </w:r>
          </w:p>
        </w:tc>
        <w:tc>
          <w:tcPr>
            <w:tcW w:w="1003" w:type="dxa"/>
            <w:tcBorders>
              <w:bottom w:val="single" w:sz="4" w:space="0" w:color="auto"/>
            </w:tcBorders>
            <w:hideMark/>
          </w:tcPr>
          <w:p w14:paraId="726E0EB1"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18</w:t>
            </w:r>
          </w:p>
        </w:tc>
        <w:tc>
          <w:tcPr>
            <w:tcW w:w="1290" w:type="dxa"/>
            <w:tcBorders>
              <w:bottom w:val="single" w:sz="4" w:space="0" w:color="auto"/>
            </w:tcBorders>
            <w:hideMark/>
          </w:tcPr>
          <w:p w14:paraId="0336A247"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4</w:t>
            </w:r>
          </w:p>
        </w:tc>
        <w:tc>
          <w:tcPr>
            <w:tcW w:w="1290" w:type="dxa"/>
            <w:tcBorders>
              <w:bottom w:val="single" w:sz="4" w:space="0" w:color="auto"/>
            </w:tcBorders>
            <w:hideMark/>
          </w:tcPr>
          <w:p w14:paraId="61FC2893"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0</w:t>
            </w:r>
          </w:p>
        </w:tc>
        <w:tc>
          <w:tcPr>
            <w:tcW w:w="1418" w:type="dxa"/>
            <w:tcBorders>
              <w:bottom w:val="single" w:sz="4" w:space="0" w:color="auto"/>
            </w:tcBorders>
            <w:hideMark/>
          </w:tcPr>
          <w:p w14:paraId="21AD84BF"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w:t>
            </w:r>
          </w:p>
        </w:tc>
        <w:tc>
          <w:tcPr>
            <w:tcW w:w="1512" w:type="dxa"/>
            <w:tcBorders>
              <w:bottom w:val="single" w:sz="4" w:space="0" w:color="auto"/>
            </w:tcBorders>
            <w:hideMark/>
          </w:tcPr>
          <w:p w14:paraId="18CA48BD"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12</w:t>
            </w:r>
          </w:p>
        </w:tc>
        <w:tc>
          <w:tcPr>
            <w:tcW w:w="1044" w:type="dxa"/>
            <w:tcBorders>
              <w:bottom w:val="single" w:sz="4" w:space="0" w:color="auto"/>
            </w:tcBorders>
            <w:hideMark/>
          </w:tcPr>
          <w:p w14:paraId="23553ABA"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23</w:t>
            </w:r>
          </w:p>
        </w:tc>
        <w:tc>
          <w:tcPr>
            <w:tcW w:w="883" w:type="dxa"/>
            <w:tcBorders>
              <w:bottom w:val="single" w:sz="4" w:space="0" w:color="auto"/>
            </w:tcBorders>
            <w:hideMark/>
          </w:tcPr>
          <w:p w14:paraId="17BAB0AA" w14:textId="77777777" w:rsidR="000A579C" w:rsidRPr="001E7F3F" w:rsidRDefault="000A579C" w:rsidP="00072583">
            <w:pPr>
              <w:rPr>
                <w:rFonts w:ascii="Times New Roman" w:eastAsia="Times New Roman" w:hAnsi="Times New Roman" w:cs="Times New Roman"/>
                <w:sz w:val="24"/>
                <w:szCs w:val="24"/>
              </w:rPr>
            </w:pPr>
            <w:r w:rsidRPr="001E7F3F">
              <w:rPr>
                <w:rFonts w:ascii="Times New Roman" w:eastAsia="Times New Roman" w:hAnsi="Times New Roman" w:cs="Times New Roman"/>
                <w:sz w:val="24"/>
                <w:szCs w:val="24"/>
              </w:rPr>
              <w:t>58</w:t>
            </w:r>
          </w:p>
        </w:tc>
      </w:tr>
      <w:tr w:rsidR="000A579C" w:rsidRPr="00CF1FD4" w14:paraId="35DC6444" w14:textId="77777777" w:rsidTr="00072583">
        <w:trPr>
          <w:trHeight w:val="463"/>
        </w:trPr>
        <w:tc>
          <w:tcPr>
            <w:tcW w:w="10306" w:type="dxa"/>
            <w:gridSpan w:val="8"/>
            <w:tcBorders>
              <w:top w:val="single" w:sz="4" w:space="0" w:color="auto"/>
              <w:bottom w:val="single" w:sz="4" w:space="0" w:color="auto"/>
            </w:tcBorders>
          </w:tcPr>
          <w:p w14:paraId="67D01C59" w14:textId="77777777" w:rsidR="000A579C" w:rsidRPr="000A579C" w:rsidRDefault="000A579C" w:rsidP="00072583">
            <w:pPr>
              <w:rPr>
                <w:rFonts w:ascii="Times New Roman" w:eastAsia="Times New Roman" w:hAnsi="Times New Roman" w:cs="Times New Roman"/>
                <w:sz w:val="24"/>
                <w:szCs w:val="24"/>
                <w:lang w:val="en-US"/>
              </w:rPr>
            </w:pPr>
            <w:r w:rsidRPr="000A579C">
              <w:rPr>
                <w:rFonts w:ascii="Times New Roman" w:eastAsia="Times New Roman" w:hAnsi="Times New Roman" w:cs="Times New Roman"/>
                <w:sz w:val="24"/>
                <w:szCs w:val="24"/>
                <w:lang w:val="en-US"/>
              </w:rPr>
              <w:t>AD=Alzheimer disease; FTD=frontotemporal dementia; DLB =dementia with Lewy bodies; eTAU= early-phase of tau-PET</w:t>
            </w:r>
          </w:p>
        </w:tc>
      </w:tr>
    </w:tbl>
    <w:p w14:paraId="75705B75" w14:textId="77777777" w:rsidR="00020931" w:rsidRDefault="00020931" w:rsidP="000A579C">
      <w:pPr>
        <w:jc w:val="both"/>
        <w:rPr>
          <w:rFonts w:ascii="Times New Roman" w:hAnsi="Times New Roman" w:cs="Times New Roman"/>
          <w:b/>
          <w:bCs/>
          <w:sz w:val="24"/>
          <w:szCs w:val="24"/>
          <w:lang w:val="en-US"/>
        </w:rPr>
      </w:pPr>
    </w:p>
    <w:p w14:paraId="766E139C" w14:textId="6D5BCA64" w:rsidR="000A579C" w:rsidRDefault="000A579C" w:rsidP="000A579C">
      <w:pPr>
        <w:jc w:val="both"/>
        <w:rPr>
          <w:rFonts w:ascii="Times New Roman" w:hAnsi="Times New Roman" w:cs="Times New Roman"/>
          <w:sz w:val="24"/>
          <w:szCs w:val="24"/>
          <w:lang w:val="en-US"/>
        </w:rPr>
      </w:pPr>
      <w:r w:rsidRPr="000A579C">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S2</w:t>
      </w:r>
      <w:r w:rsidRPr="000A579C">
        <w:rPr>
          <w:rFonts w:ascii="Times New Roman" w:hAnsi="Times New Roman" w:cs="Times New Roman"/>
          <w:b/>
          <w:bCs/>
          <w:sz w:val="24"/>
          <w:szCs w:val="24"/>
          <w:lang w:val="en-US"/>
        </w:rPr>
        <w:t xml:space="preserve">. </w:t>
      </w:r>
      <w:r w:rsidRPr="000A579C">
        <w:rPr>
          <w:rFonts w:ascii="Times New Roman" w:hAnsi="Times New Roman" w:cs="Times New Roman"/>
          <w:sz w:val="24"/>
          <w:szCs w:val="24"/>
          <w:lang w:val="en-US"/>
        </w:rPr>
        <w:t>Contingency Table Reporting Frequency of Different Hypoperfusion Patterns Obtained with Early Phase of Tau and Amyloid PET in Whole Sample</w:t>
      </w:r>
    </w:p>
    <w:p w14:paraId="6D8B58E3" w14:textId="77777777" w:rsidR="000A579C" w:rsidRPr="000A579C" w:rsidRDefault="000A579C" w:rsidP="000A579C">
      <w:pPr>
        <w:jc w:val="both"/>
        <w:rPr>
          <w:rFonts w:ascii="Times New Roman" w:hAnsi="Times New Roman" w:cs="Times New Roman"/>
          <w:b/>
          <w:bCs/>
          <w:sz w:val="24"/>
          <w:szCs w:val="24"/>
          <w:lang w:val="en-US"/>
        </w:rPr>
      </w:pPr>
    </w:p>
    <w:tbl>
      <w:tblPr>
        <w:tblStyle w:val="PlainTable5"/>
        <w:tblW w:w="10008" w:type="dxa"/>
        <w:tblLook w:val="0400" w:firstRow="0" w:lastRow="0" w:firstColumn="0" w:lastColumn="0" w:noHBand="0" w:noVBand="1"/>
      </w:tblPr>
      <w:tblGrid>
        <w:gridCol w:w="1697"/>
        <w:gridCol w:w="984"/>
        <w:gridCol w:w="1090"/>
        <w:gridCol w:w="1112"/>
        <w:gridCol w:w="1370"/>
        <w:gridCol w:w="1684"/>
        <w:gridCol w:w="1161"/>
        <w:gridCol w:w="910"/>
      </w:tblGrid>
      <w:tr w:rsidR="000A579C" w:rsidRPr="001E7F3F" w14:paraId="58DBB918" w14:textId="77777777" w:rsidTr="00072583">
        <w:trPr>
          <w:cnfStyle w:val="000000100000" w:firstRow="0" w:lastRow="0" w:firstColumn="0" w:lastColumn="0" w:oddVBand="0" w:evenVBand="0" w:oddHBand="1" w:evenHBand="0" w:firstRowFirstColumn="0" w:firstRowLastColumn="0" w:lastRowFirstColumn="0" w:lastRowLastColumn="0"/>
          <w:trHeight w:val="520"/>
        </w:trPr>
        <w:tc>
          <w:tcPr>
            <w:tcW w:w="1697" w:type="dxa"/>
            <w:tcBorders>
              <w:bottom w:val="single" w:sz="4" w:space="0" w:color="auto"/>
            </w:tcBorders>
            <w:hideMark/>
          </w:tcPr>
          <w:p w14:paraId="77F33E5B" w14:textId="77777777" w:rsidR="000A579C" w:rsidRPr="000A579C" w:rsidRDefault="000A579C" w:rsidP="00072583">
            <w:pPr>
              <w:rPr>
                <w:rFonts w:ascii="Times New Roman" w:eastAsia="Times New Roman" w:hAnsi="Times New Roman" w:cs="Times New Roman"/>
                <w:b/>
                <w:bCs/>
                <w:kern w:val="0"/>
                <w:sz w:val="24"/>
                <w:szCs w:val="24"/>
                <w:lang w:val="en-US"/>
                <w14:ligatures w14:val="none"/>
              </w:rPr>
            </w:pPr>
          </w:p>
        </w:tc>
        <w:tc>
          <w:tcPr>
            <w:tcW w:w="7401" w:type="dxa"/>
            <w:gridSpan w:val="6"/>
            <w:tcBorders>
              <w:bottom w:val="single" w:sz="4" w:space="0" w:color="auto"/>
            </w:tcBorders>
            <w:hideMark/>
          </w:tcPr>
          <w:p w14:paraId="49AC1E79"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eTAU hypoperfusion patterns</w:t>
            </w:r>
          </w:p>
        </w:tc>
        <w:tc>
          <w:tcPr>
            <w:tcW w:w="910" w:type="dxa"/>
            <w:tcBorders>
              <w:bottom w:val="single" w:sz="4" w:space="0" w:color="auto"/>
            </w:tcBorders>
            <w:hideMark/>
          </w:tcPr>
          <w:p w14:paraId="6B19D3B5"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p>
        </w:tc>
      </w:tr>
      <w:tr w:rsidR="000A579C" w:rsidRPr="001E7F3F" w14:paraId="746C27FC" w14:textId="77777777" w:rsidTr="00072583">
        <w:trPr>
          <w:trHeight w:val="520"/>
        </w:trPr>
        <w:tc>
          <w:tcPr>
            <w:tcW w:w="1697" w:type="dxa"/>
            <w:tcBorders>
              <w:top w:val="single" w:sz="4" w:space="0" w:color="auto"/>
              <w:bottom w:val="single" w:sz="4" w:space="0" w:color="auto"/>
            </w:tcBorders>
            <w:hideMark/>
          </w:tcPr>
          <w:p w14:paraId="0058AEC1" w14:textId="77777777" w:rsidR="000A579C" w:rsidRPr="001E7F3F" w:rsidRDefault="000A579C" w:rsidP="00072583">
            <w:pP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eAMY hypoperfusion patterns</w:t>
            </w:r>
          </w:p>
        </w:tc>
        <w:tc>
          <w:tcPr>
            <w:tcW w:w="984" w:type="dxa"/>
            <w:tcBorders>
              <w:top w:val="single" w:sz="4" w:space="0" w:color="auto"/>
              <w:bottom w:val="single" w:sz="4" w:space="0" w:color="auto"/>
            </w:tcBorders>
            <w:hideMark/>
          </w:tcPr>
          <w:p w14:paraId="6534DE34"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AD-like</w:t>
            </w:r>
          </w:p>
        </w:tc>
        <w:tc>
          <w:tcPr>
            <w:tcW w:w="1090" w:type="dxa"/>
            <w:tcBorders>
              <w:top w:val="single" w:sz="4" w:space="0" w:color="auto"/>
              <w:bottom w:val="single" w:sz="4" w:space="0" w:color="auto"/>
            </w:tcBorders>
            <w:hideMark/>
          </w:tcPr>
          <w:p w14:paraId="383D64A8"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FTD-like </w:t>
            </w:r>
          </w:p>
        </w:tc>
        <w:tc>
          <w:tcPr>
            <w:tcW w:w="1112" w:type="dxa"/>
            <w:tcBorders>
              <w:top w:val="single" w:sz="4" w:space="0" w:color="auto"/>
              <w:bottom w:val="single" w:sz="4" w:space="0" w:color="auto"/>
            </w:tcBorders>
            <w:hideMark/>
          </w:tcPr>
          <w:p w14:paraId="264B5B3F"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DLB-like </w:t>
            </w:r>
          </w:p>
        </w:tc>
        <w:tc>
          <w:tcPr>
            <w:tcW w:w="1370" w:type="dxa"/>
            <w:tcBorders>
              <w:top w:val="single" w:sz="4" w:space="0" w:color="auto"/>
              <w:bottom w:val="single" w:sz="4" w:space="0" w:color="auto"/>
            </w:tcBorders>
            <w:hideMark/>
          </w:tcPr>
          <w:p w14:paraId="33F84E0A"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Limbic-like </w:t>
            </w:r>
          </w:p>
        </w:tc>
        <w:tc>
          <w:tcPr>
            <w:tcW w:w="1684" w:type="dxa"/>
            <w:tcBorders>
              <w:top w:val="single" w:sz="4" w:space="0" w:color="auto"/>
              <w:bottom w:val="single" w:sz="4" w:space="0" w:color="auto"/>
            </w:tcBorders>
            <w:hideMark/>
          </w:tcPr>
          <w:p w14:paraId="57D69A6A"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Unclassified </w:t>
            </w:r>
          </w:p>
        </w:tc>
        <w:tc>
          <w:tcPr>
            <w:tcW w:w="1161" w:type="dxa"/>
            <w:tcBorders>
              <w:top w:val="single" w:sz="4" w:space="0" w:color="auto"/>
              <w:bottom w:val="single" w:sz="4" w:space="0" w:color="auto"/>
            </w:tcBorders>
            <w:hideMark/>
          </w:tcPr>
          <w:p w14:paraId="5EEECAF8"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Normal </w:t>
            </w:r>
          </w:p>
        </w:tc>
        <w:tc>
          <w:tcPr>
            <w:tcW w:w="910" w:type="dxa"/>
            <w:tcBorders>
              <w:top w:val="single" w:sz="4" w:space="0" w:color="auto"/>
              <w:bottom w:val="single" w:sz="4" w:space="0" w:color="auto"/>
            </w:tcBorders>
            <w:hideMark/>
          </w:tcPr>
          <w:p w14:paraId="09ED6C9B" w14:textId="77777777" w:rsidR="000A579C" w:rsidRPr="001E7F3F" w:rsidRDefault="000A579C" w:rsidP="00072583">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Total</w:t>
            </w:r>
          </w:p>
        </w:tc>
      </w:tr>
      <w:tr w:rsidR="000A579C" w:rsidRPr="001E7F3F" w14:paraId="57BA028F" w14:textId="77777777" w:rsidTr="00072583">
        <w:trPr>
          <w:cnfStyle w:val="000000100000" w:firstRow="0" w:lastRow="0" w:firstColumn="0" w:lastColumn="0" w:oddVBand="0" w:evenVBand="0" w:oddHBand="1" w:evenHBand="0" w:firstRowFirstColumn="0" w:firstRowLastColumn="0" w:lastRowFirstColumn="0" w:lastRowLastColumn="0"/>
          <w:trHeight w:val="477"/>
        </w:trPr>
        <w:tc>
          <w:tcPr>
            <w:tcW w:w="1697" w:type="dxa"/>
            <w:tcBorders>
              <w:top w:val="single" w:sz="4" w:space="0" w:color="auto"/>
            </w:tcBorders>
            <w:hideMark/>
          </w:tcPr>
          <w:p w14:paraId="7446D8CB"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lastRenderedPageBreak/>
              <w:t>AD-like</w:t>
            </w:r>
          </w:p>
        </w:tc>
        <w:tc>
          <w:tcPr>
            <w:tcW w:w="984" w:type="dxa"/>
            <w:tcBorders>
              <w:top w:val="single" w:sz="4" w:space="0" w:color="auto"/>
            </w:tcBorders>
            <w:hideMark/>
          </w:tcPr>
          <w:p w14:paraId="5CF7D376"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10</w:t>
            </w:r>
          </w:p>
        </w:tc>
        <w:tc>
          <w:tcPr>
            <w:tcW w:w="1090" w:type="dxa"/>
            <w:tcBorders>
              <w:top w:val="single" w:sz="4" w:space="0" w:color="auto"/>
            </w:tcBorders>
            <w:hideMark/>
          </w:tcPr>
          <w:p w14:paraId="2A784F7A"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12" w:type="dxa"/>
            <w:tcBorders>
              <w:top w:val="single" w:sz="4" w:space="0" w:color="auto"/>
            </w:tcBorders>
            <w:hideMark/>
          </w:tcPr>
          <w:p w14:paraId="648DCD97"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tcBorders>
              <w:top w:val="single" w:sz="4" w:space="0" w:color="auto"/>
            </w:tcBorders>
            <w:hideMark/>
          </w:tcPr>
          <w:p w14:paraId="2F1504A1"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tcBorders>
              <w:top w:val="single" w:sz="4" w:space="0" w:color="auto"/>
            </w:tcBorders>
            <w:hideMark/>
          </w:tcPr>
          <w:p w14:paraId="545F681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3</w:t>
            </w:r>
          </w:p>
        </w:tc>
        <w:tc>
          <w:tcPr>
            <w:tcW w:w="1161" w:type="dxa"/>
            <w:tcBorders>
              <w:top w:val="single" w:sz="4" w:space="0" w:color="auto"/>
            </w:tcBorders>
            <w:hideMark/>
          </w:tcPr>
          <w:p w14:paraId="6B29C8E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10" w:type="dxa"/>
            <w:tcBorders>
              <w:top w:val="single" w:sz="4" w:space="0" w:color="auto"/>
            </w:tcBorders>
            <w:hideMark/>
          </w:tcPr>
          <w:p w14:paraId="3D0DDBE7"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13</w:t>
            </w:r>
          </w:p>
        </w:tc>
      </w:tr>
      <w:tr w:rsidR="000A579C" w:rsidRPr="001E7F3F" w14:paraId="2DB816DB" w14:textId="77777777" w:rsidTr="00072583">
        <w:trPr>
          <w:trHeight w:val="477"/>
        </w:trPr>
        <w:tc>
          <w:tcPr>
            <w:tcW w:w="1697" w:type="dxa"/>
            <w:hideMark/>
          </w:tcPr>
          <w:p w14:paraId="16011965"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FTD-like </w:t>
            </w:r>
          </w:p>
        </w:tc>
        <w:tc>
          <w:tcPr>
            <w:tcW w:w="984" w:type="dxa"/>
            <w:hideMark/>
          </w:tcPr>
          <w:p w14:paraId="4337EB51"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090" w:type="dxa"/>
            <w:hideMark/>
          </w:tcPr>
          <w:p w14:paraId="534B620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c>
          <w:tcPr>
            <w:tcW w:w="1112" w:type="dxa"/>
            <w:hideMark/>
          </w:tcPr>
          <w:p w14:paraId="0DFCC46C"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hideMark/>
          </w:tcPr>
          <w:p w14:paraId="35080BD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hideMark/>
          </w:tcPr>
          <w:p w14:paraId="10BB488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61" w:type="dxa"/>
            <w:hideMark/>
          </w:tcPr>
          <w:p w14:paraId="7BDAC59F"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10" w:type="dxa"/>
            <w:hideMark/>
          </w:tcPr>
          <w:p w14:paraId="12DC6FC2"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3</w:t>
            </w:r>
          </w:p>
        </w:tc>
      </w:tr>
      <w:tr w:rsidR="000A579C" w:rsidRPr="001E7F3F" w14:paraId="01450682" w14:textId="77777777" w:rsidTr="00072583">
        <w:trPr>
          <w:cnfStyle w:val="000000100000" w:firstRow="0" w:lastRow="0" w:firstColumn="0" w:lastColumn="0" w:oddVBand="0" w:evenVBand="0" w:oddHBand="1" w:evenHBand="0" w:firstRowFirstColumn="0" w:firstRowLastColumn="0" w:lastRowFirstColumn="0" w:lastRowLastColumn="0"/>
          <w:trHeight w:val="477"/>
        </w:trPr>
        <w:tc>
          <w:tcPr>
            <w:tcW w:w="1697" w:type="dxa"/>
            <w:hideMark/>
          </w:tcPr>
          <w:p w14:paraId="0A519DF0"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DLB-like</w:t>
            </w:r>
          </w:p>
        </w:tc>
        <w:tc>
          <w:tcPr>
            <w:tcW w:w="984" w:type="dxa"/>
            <w:hideMark/>
          </w:tcPr>
          <w:p w14:paraId="7824B38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090" w:type="dxa"/>
            <w:hideMark/>
          </w:tcPr>
          <w:p w14:paraId="330792B0"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12" w:type="dxa"/>
            <w:hideMark/>
          </w:tcPr>
          <w:p w14:paraId="44934B92"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hideMark/>
          </w:tcPr>
          <w:p w14:paraId="61C6ED8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hideMark/>
          </w:tcPr>
          <w:p w14:paraId="2792B3C0"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161" w:type="dxa"/>
            <w:hideMark/>
          </w:tcPr>
          <w:p w14:paraId="42069B9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10" w:type="dxa"/>
            <w:hideMark/>
          </w:tcPr>
          <w:p w14:paraId="128B338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r>
      <w:tr w:rsidR="000A579C" w:rsidRPr="001E7F3F" w14:paraId="598F123E" w14:textId="77777777" w:rsidTr="00072583">
        <w:trPr>
          <w:trHeight w:val="520"/>
        </w:trPr>
        <w:tc>
          <w:tcPr>
            <w:tcW w:w="1697" w:type="dxa"/>
            <w:hideMark/>
          </w:tcPr>
          <w:p w14:paraId="501766BE"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Limbic-like</w:t>
            </w:r>
          </w:p>
        </w:tc>
        <w:tc>
          <w:tcPr>
            <w:tcW w:w="984" w:type="dxa"/>
            <w:hideMark/>
          </w:tcPr>
          <w:p w14:paraId="2CCD65BC"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090" w:type="dxa"/>
            <w:hideMark/>
          </w:tcPr>
          <w:p w14:paraId="5EC4B30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12" w:type="dxa"/>
            <w:hideMark/>
          </w:tcPr>
          <w:p w14:paraId="3B147280"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hideMark/>
          </w:tcPr>
          <w:p w14:paraId="1A796E5F"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hideMark/>
          </w:tcPr>
          <w:p w14:paraId="3F8BEC22"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61" w:type="dxa"/>
            <w:hideMark/>
          </w:tcPr>
          <w:p w14:paraId="75EEA1F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10" w:type="dxa"/>
            <w:hideMark/>
          </w:tcPr>
          <w:p w14:paraId="5EC8D48D"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r>
      <w:tr w:rsidR="000A579C" w:rsidRPr="001E7F3F" w14:paraId="7DDED944" w14:textId="77777777" w:rsidTr="00072583">
        <w:trPr>
          <w:cnfStyle w:val="000000100000" w:firstRow="0" w:lastRow="0" w:firstColumn="0" w:lastColumn="0" w:oddVBand="0" w:evenVBand="0" w:oddHBand="1" w:evenHBand="0" w:firstRowFirstColumn="0" w:firstRowLastColumn="0" w:lastRowFirstColumn="0" w:lastRowLastColumn="0"/>
          <w:trHeight w:val="520"/>
        </w:trPr>
        <w:tc>
          <w:tcPr>
            <w:tcW w:w="1697" w:type="dxa"/>
            <w:hideMark/>
          </w:tcPr>
          <w:p w14:paraId="60BBB960"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Unclassified </w:t>
            </w:r>
          </w:p>
        </w:tc>
        <w:tc>
          <w:tcPr>
            <w:tcW w:w="984" w:type="dxa"/>
            <w:hideMark/>
          </w:tcPr>
          <w:p w14:paraId="1CC3847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090" w:type="dxa"/>
            <w:hideMark/>
          </w:tcPr>
          <w:p w14:paraId="13BCEAD3"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12" w:type="dxa"/>
            <w:hideMark/>
          </w:tcPr>
          <w:p w14:paraId="5189593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hideMark/>
          </w:tcPr>
          <w:p w14:paraId="1D30BEDE"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hideMark/>
          </w:tcPr>
          <w:p w14:paraId="7217185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161" w:type="dxa"/>
            <w:hideMark/>
          </w:tcPr>
          <w:p w14:paraId="7B0DF608"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910" w:type="dxa"/>
            <w:hideMark/>
          </w:tcPr>
          <w:p w14:paraId="61A479B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r>
      <w:tr w:rsidR="000A579C" w:rsidRPr="001E7F3F" w14:paraId="03892CC8" w14:textId="77777777" w:rsidTr="00072583">
        <w:trPr>
          <w:trHeight w:val="477"/>
        </w:trPr>
        <w:tc>
          <w:tcPr>
            <w:tcW w:w="1697" w:type="dxa"/>
            <w:hideMark/>
          </w:tcPr>
          <w:p w14:paraId="6941F9D7"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Normal </w:t>
            </w:r>
          </w:p>
        </w:tc>
        <w:tc>
          <w:tcPr>
            <w:tcW w:w="984" w:type="dxa"/>
            <w:hideMark/>
          </w:tcPr>
          <w:p w14:paraId="231A9BED"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090" w:type="dxa"/>
            <w:hideMark/>
          </w:tcPr>
          <w:p w14:paraId="4EDC9F60"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12" w:type="dxa"/>
            <w:hideMark/>
          </w:tcPr>
          <w:p w14:paraId="00DAFC46"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hideMark/>
          </w:tcPr>
          <w:p w14:paraId="6C0CA719"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hideMark/>
          </w:tcPr>
          <w:p w14:paraId="3C736797"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4</w:t>
            </w:r>
          </w:p>
        </w:tc>
        <w:tc>
          <w:tcPr>
            <w:tcW w:w="1161" w:type="dxa"/>
            <w:hideMark/>
          </w:tcPr>
          <w:p w14:paraId="3259D476"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13</w:t>
            </w:r>
          </w:p>
        </w:tc>
        <w:tc>
          <w:tcPr>
            <w:tcW w:w="910" w:type="dxa"/>
            <w:hideMark/>
          </w:tcPr>
          <w:p w14:paraId="3B388D15"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17</w:t>
            </w:r>
          </w:p>
        </w:tc>
      </w:tr>
      <w:tr w:rsidR="000A579C" w:rsidRPr="001E7F3F" w14:paraId="06DD8D1C" w14:textId="77777777" w:rsidTr="00072583">
        <w:trPr>
          <w:cnfStyle w:val="000000100000" w:firstRow="0" w:lastRow="0" w:firstColumn="0" w:lastColumn="0" w:oddVBand="0" w:evenVBand="0" w:oddHBand="1" w:evenHBand="0" w:firstRowFirstColumn="0" w:firstRowLastColumn="0" w:lastRowFirstColumn="0" w:lastRowLastColumn="0"/>
          <w:trHeight w:val="477"/>
        </w:trPr>
        <w:tc>
          <w:tcPr>
            <w:tcW w:w="1697" w:type="dxa"/>
            <w:tcBorders>
              <w:bottom w:val="single" w:sz="4" w:space="0" w:color="auto"/>
            </w:tcBorders>
            <w:hideMark/>
          </w:tcPr>
          <w:p w14:paraId="4087B971" w14:textId="77777777" w:rsidR="000A579C" w:rsidRPr="001E7F3F" w:rsidRDefault="000A579C" w:rsidP="00072583">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Total</w:t>
            </w:r>
          </w:p>
        </w:tc>
        <w:tc>
          <w:tcPr>
            <w:tcW w:w="984" w:type="dxa"/>
            <w:tcBorders>
              <w:bottom w:val="single" w:sz="4" w:space="0" w:color="auto"/>
            </w:tcBorders>
            <w:hideMark/>
          </w:tcPr>
          <w:p w14:paraId="31E1F426"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11</w:t>
            </w:r>
          </w:p>
        </w:tc>
        <w:tc>
          <w:tcPr>
            <w:tcW w:w="1090" w:type="dxa"/>
            <w:tcBorders>
              <w:bottom w:val="single" w:sz="4" w:space="0" w:color="auto"/>
            </w:tcBorders>
            <w:hideMark/>
          </w:tcPr>
          <w:p w14:paraId="44603650"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c>
          <w:tcPr>
            <w:tcW w:w="1112" w:type="dxa"/>
            <w:tcBorders>
              <w:bottom w:val="single" w:sz="4" w:space="0" w:color="auto"/>
            </w:tcBorders>
            <w:hideMark/>
          </w:tcPr>
          <w:p w14:paraId="3A10731B"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370" w:type="dxa"/>
            <w:tcBorders>
              <w:bottom w:val="single" w:sz="4" w:space="0" w:color="auto"/>
            </w:tcBorders>
            <w:hideMark/>
          </w:tcPr>
          <w:p w14:paraId="241C96B2"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684" w:type="dxa"/>
            <w:tcBorders>
              <w:bottom w:val="single" w:sz="4" w:space="0" w:color="auto"/>
            </w:tcBorders>
            <w:hideMark/>
          </w:tcPr>
          <w:p w14:paraId="77CDF3DE"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9</w:t>
            </w:r>
          </w:p>
        </w:tc>
        <w:tc>
          <w:tcPr>
            <w:tcW w:w="1161" w:type="dxa"/>
            <w:tcBorders>
              <w:bottom w:val="single" w:sz="4" w:space="0" w:color="auto"/>
            </w:tcBorders>
            <w:hideMark/>
          </w:tcPr>
          <w:p w14:paraId="3311773F"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14</w:t>
            </w:r>
          </w:p>
        </w:tc>
        <w:tc>
          <w:tcPr>
            <w:tcW w:w="910" w:type="dxa"/>
            <w:tcBorders>
              <w:bottom w:val="single" w:sz="4" w:space="0" w:color="auto"/>
            </w:tcBorders>
            <w:hideMark/>
          </w:tcPr>
          <w:p w14:paraId="40187F6F" w14:textId="77777777" w:rsidR="000A579C" w:rsidRPr="001E7F3F" w:rsidRDefault="000A579C" w:rsidP="00072583">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36</w:t>
            </w:r>
          </w:p>
        </w:tc>
      </w:tr>
      <w:tr w:rsidR="000A579C" w:rsidRPr="00CF1FD4" w14:paraId="1A64D734" w14:textId="77777777" w:rsidTr="00072583">
        <w:trPr>
          <w:trHeight w:val="477"/>
        </w:trPr>
        <w:tc>
          <w:tcPr>
            <w:tcW w:w="10008" w:type="dxa"/>
            <w:gridSpan w:val="8"/>
            <w:tcBorders>
              <w:top w:val="single" w:sz="4" w:space="0" w:color="auto"/>
              <w:bottom w:val="single" w:sz="4" w:space="0" w:color="auto"/>
            </w:tcBorders>
          </w:tcPr>
          <w:p w14:paraId="7C7B1F18" w14:textId="77777777" w:rsidR="000A579C" w:rsidRPr="000A579C" w:rsidRDefault="000A579C" w:rsidP="00072583">
            <w:pPr>
              <w:rPr>
                <w:rFonts w:ascii="Times New Roman" w:eastAsia="Times New Roman" w:hAnsi="Times New Roman" w:cs="Times New Roman"/>
                <w:kern w:val="0"/>
                <w:sz w:val="24"/>
                <w:szCs w:val="24"/>
                <w:lang w:val="en-US"/>
                <w14:ligatures w14:val="none"/>
              </w:rPr>
            </w:pPr>
            <w:r w:rsidRPr="000A579C">
              <w:rPr>
                <w:rFonts w:ascii="Times New Roman" w:eastAsia="Times New Roman" w:hAnsi="Times New Roman" w:cs="Times New Roman"/>
                <w:kern w:val="0"/>
                <w:sz w:val="24"/>
                <w:szCs w:val="24"/>
                <w:lang w:val="en-US"/>
                <w14:ligatures w14:val="none"/>
              </w:rPr>
              <w:t>AD=Alzheimer disease; FTD=frontotemporal dementia; DLB =dementia with Lewy bodies; eTAU= early-phase of tau-PET; eAMY= early-phase of amy-PET</w:t>
            </w:r>
          </w:p>
        </w:tc>
      </w:tr>
    </w:tbl>
    <w:p w14:paraId="078C1D42" w14:textId="77777777" w:rsidR="000A579C" w:rsidRDefault="000A579C" w:rsidP="00080840">
      <w:pPr>
        <w:jc w:val="both"/>
        <w:rPr>
          <w:rFonts w:ascii="Times New Roman" w:hAnsi="Times New Roman" w:cs="Times New Roman"/>
          <w:b/>
          <w:bCs/>
          <w:lang w:val="en-US"/>
        </w:rPr>
      </w:pPr>
    </w:p>
    <w:p w14:paraId="7FC85E98" w14:textId="4595312B" w:rsidR="00080840" w:rsidRPr="00080840" w:rsidRDefault="00080840" w:rsidP="00080840">
      <w:pPr>
        <w:jc w:val="both"/>
        <w:rPr>
          <w:rFonts w:ascii="Times New Roman" w:hAnsi="Times New Roman" w:cs="Times New Roman"/>
          <w:b/>
          <w:bCs/>
          <w:lang w:val="en-US"/>
        </w:rPr>
      </w:pPr>
      <w:r w:rsidRPr="00080840">
        <w:rPr>
          <w:rFonts w:ascii="Times New Roman" w:hAnsi="Times New Roman" w:cs="Times New Roman"/>
          <w:b/>
          <w:bCs/>
          <w:lang w:val="en-US"/>
        </w:rPr>
        <w:t xml:space="preserve">Table </w:t>
      </w:r>
      <w:r>
        <w:rPr>
          <w:rFonts w:ascii="Times New Roman" w:hAnsi="Times New Roman" w:cs="Times New Roman"/>
          <w:b/>
          <w:bCs/>
          <w:lang w:val="en-US"/>
        </w:rPr>
        <w:t>S</w:t>
      </w:r>
      <w:r w:rsidR="000A579C">
        <w:rPr>
          <w:rFonts w:ascii="Times New Roman" w:hAnsi="Times New Roman" w:cs="Times New Roman"/>
          <w:b/>
          <w:bCs/>
          <w:lang w:val="en-US"/>
        </w:rPr>
        <w:t>3</w:t>
      </w:r>
      <w:r w:rsidRPr="00080840">
        <w:rPr>
          <w:rFonts w:ascii="Times New Roman" w:hAnsi="Times New Roman" w:cs="Times New Roman"/>
          <w:b/>
          <w:bCs/>
          <w:lang w:val="en-US"/>
        </w:rPr>
        <w:t xml:space="preserve">. </w:t>
      </w:r>
      <w:r w:rsidRPr="00080840">
        <w:rPr>
          <w:rFonts w:ascii="Times New Roman" w:hAnsi="Times New Roman" w:cs="Times New Roman"/>
          <w:lang w:val="en-US"/>
        </w:rPr>
        <w:t>Contingency Table Reporting Frequency of Different Hypometabolism and Hypoperfusion Patterns Obtained with Early Phase of Amyloid PET in Whole Sample</w:t>
      </w:r>
    </w:p>
    <w:tbl>
      <w:tblPr>
        <w:tblStyle w:val="PlainTable5"/>
        <w:tblW w:w="10735" w:type="dxa"/>
        <w:tblLook w:val="0400" w:firstRow="0" w:lastRow="0" w:firstColumn="0" w:lastColumn="0" w:noHBand="0" w:noVBand="1"/>
      </w:tblPr>
      <w:tblGrid>
        <w:gridCol w:w="1906"/>
        <w:gridCol w:w="1039"/>
        <w:gridCol w:w="1155"/>
        <w:gridCol w:w="1177"/>
        <w:gridCol w:w="1453"/>
        <w:gridCol w:w="1795"/>
        <w:gridCol w:w="1240"/>
        <w:gridCol w:w="970"/>
      </w:tblGrid>
      <w:tr w:rsidR="00080840" w:rsidRPr="001E7F3F" w14:paraId="4BFF6FDD" w14:textId="77777777" w:rsidTr="00080840">
        <w:trPr>
          <w:cnfStyle w:val="000000100000" w:firstRow="0" w:lastRow="0" w:firstColumn="0" w:lastColumn="0" w:oddVBand="0" w:evenVBand="0" w:oddHBand="1" w:evenHBand="0" w:firstRowFirstColumn="0" w:firstRowLastColumn="0" w:lastRowFirstColumn="0" w:lastRowLastColumn="0"/>
          <w:trHeight w:val="478"/>
        </w:trPr>
        <w:tc>
          <w:tcPr>
            <w:tcW w:w="1906" w:type="dxa"/>
            <w:tcBorders>
              <w:bottom w:val="single" w:sz="4" w:space="0" w:color="auto"/>
            </w:tcBorders>
            <w:hideMark/>
          </w:tcPr>
          <w:p w14:paraId="44E1E448" w14:textId="77777777" w:rsidR="00080840" w:rsidRPr="00080840" w:rsidRDefault="00080840" w:rsidP="00810F5F">
            <w:pPr>
              <w:rPr>
                <w:rFonts w:ascii="Times New Roman" w:eastAsia="Times New Roman" w:hAnsi="Times New Roman" w:cs="Times New Roman"/>
                <w:b/>
                <w:bCs/>
                <w:kern w:val="0"/>
                <w:sz w:val="24"/>
                <w:szCs w:val="24"/>
                <w:lang w:val="en-US"/>
                <w14:ligatures w14:val="none"/>
              </w:rPr>
            </w:pPr>
          </w:p>
        </w:tc>
        <w:tc>
          <w:tcPr>
            <w:tcW w:w="7859" w:type="dxa"/>
            <w:gridSpan w:val="6"/>
            <w:tcBorders>
              <w:bottom w:val="single" w:sz="4" w:space="0" w:color="auto"/>
            </w:tcBorders>
            <w:hideMark/>
          </w:tcPr>
          <w:p w14:paraId="28FF69C3"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eAMY hypoperfusion patterns</w:t>
            </w:r>
          </w:p>
        </w:tc>
        <w:tc>
          <w:tcPr>
            <w:tcW w:w="969" w:type="dxa"/>
            <w:tcBorders>
              <w:bottom w:val="single" w:sz="4" w:space="0" w:color="auto"/>
            </w:tcBorders>
            <w:hideMark/>
          </w:tcPr>
          <w:p w14:paraId="69891BE1"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p>
        </w:tc>
      </w:tr>
      <w:tr w:rsidR="00080840" w:rsidRPr="001E7F3F" w14:paraId="00E774DC" w14:textId="77777777" w:rsidTr="00080840">
        <w:trPr>
          <w:trHeight w:val="478"/>
        </w:trPr>
        <w:tc>
          <w:tcPr>
            <w:tcW w:w="1906" w:type="dxa"/>
            <w:tcBorders>
              <w:top w:val="single" w:sz="4" w:space="0" w:color="auto"/>
              <w:bottom w:val="single" w:sz="4" w:space="0" w:color="auto"/>
            </w:tcBorders>
            <w:hideMark/>
          </w:tcPr>
          <w:p w14:paraId="2173450F" w14:textId="77777777" w:rsidR="00080840" w:rsidRPr="001E7F3F" w:rsidRDefault="00080840" w:rsidP="00810F5F">
            <w:pP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Hypometabolic patterns</w:t>
            </w:r>
          </w:p>
        </w:tc>
        <w:tc>
          <w:tcPr>
            <w:tcW w:w="1039" w:type="dxa"/>
            <w:tcBorders>
              <w:top w:val="single" w:sz="4" w:space="0" w:color="auto"/>
              <w:bottom w:val="single" w:sz="4" w:space="0" w:color="auto"/>
            </w:tcBorders>
            <w:hideMark/>
          </w:tcPr>
          <w:p w14:paraId="5E2D06C5"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AD-like</w:t>
            </w:r>
          </w:p>
        </w:tc>
        <w:tc>
          <w:tcPr>
            <w:tcW w:w="1155" w:type="dxa"/>
            <w:tcBorders>
              <w:top w:val="single" w:sz="4" w:space="0" w:color="auto"/>
              <w:bottom w:val="single" w:sz="4" w:space="0" w:color="auto"/>
            </w:tcBorders>
            <w:hideMark/>
          </w:tcPr>
          <w:p w14:paraId="0069A7DC"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FTD-like </w:t>
            </w:r>
          </w:p>
        </w:tc>
        <w:tc>
          <w:tcPr>
            <w:tcW w:w="1177" w:type="dxa"/>
            <w:tcBorders>
              <w:top w:val="single" w:sz="4" w:space="0" w:color="auto"/>
              <w:bottom w:val="single" w:sz="4" w:space="0" w:color="auto"/>
            </w:tcBorders>
            <w:hideMark/>
          </w:tcPr>
          <w:p w14:paraId="705952CC"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DLB-like </w:t>
            </w:r>
          </w:p>
        </w:tc>
        <w:tc>
          <w:tcPr>
            <w:tcW w:w="1453" w:type="dxa"/>
            <w:tcBorders>
              <w:top w:val="single" w:sz="4" w:space="0" w:color="auto"/>
              <w:bottom w:val="single" w:sz="4" w:space="0" w:color="auto"/>
            </w:tcBorders>
            <w:hideMark/>
          </w:tcPr>
          <w:p w14:paraId="2DCA5EF0"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Limbic-like </w:t>
            </w:r>
          </w:p>
        </w:tc>
        <w:tc>
          <w:tcPr>
            <w:tcW w:w="1795" w:type="dxa"/>
            <w:tcBorders>
              <w:top w:val="single" w:sz="4" w:space="0" w:color="auto"/>
              <w:bottom w:val="single" w:sz="4" w:space="0" w:color="auto"/>
            </w:tcBorders>
            <w:hideMark/>
          </w:tcPr>
          <w:p w14:paraId="47A8E498"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Unclassified </w:t>
            </w:r>
          </w:p>
        </w:tc>
        <w:tc>
          <w:tcPr>
            <w:tcW w:w="1237" w:type="dxa"/>
            <w:tcBorders>
              <w:top w:val="single" w:sz="4" w:space="0" w:color="auto"/>
              <w:bottom w:val="single" w:sz="4" w:space="0" w:color="auto"/>
            </w:tcBorders>
            <w:hideMark/>
          </w:tcPr>
          <w:p w14:paraId="35567908"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 xml:space="preserve">Normal </w:t>
            </w:r>
          </w:p>
        </w:tc>
        <w:tc>
          <w:tcPr>
            <w:tcW w:w="969" w:type="dxa"/>
            <w:tcBorders>
              <w:top w:val="single" w:sz="4" w:space="0" w:color="auto"/>
              <w:bottom w:val="single" w:sz="4" w:space="0" w:color="auto"/>
            </w:tcBorders>
            <w:hideMark/>
          </w:tcPr>
          <w:p w14:paraId="516DEB44" w14:textId="77777777" w:rsidR="00080840" w:rsidRPr="001E7F3F" w:rsidRDefault="00080840" w:rsidP="00810F5F">
            <w:pPr>
              <w:jc w:val="center"/>
              <w:rPr>
                <w:rFonts w:ascii="Times New Roman" w:eastAsia="Times New Roman" w:hAnsi="Times New Roman" w:cs="Times New Roman"/>
                <w:b/>
                <w:bCs/>
                <w:kern w:val="0"/>
                <w:sz w:val="24"/>
                <w:szCs w:val="24"/>
                <w14:ligatures w14:val="none"/>
              </w:rPr>
            </w:pPr>
            <w:r w:rsidRPr="001E7F3F">
              <w:rPr>
                <w:rFonts w:ascii="Times New Roman" w:eastAsia="Times New Roman" w:hAnsi="Times New Roman" w:cs="Times New Roman"/>
                <w:b/>
                <w:bCs/>
                <w:kern w:val="0"/>
                <w:sz w:val="24"/>
                <w:szCs w:val="24"/>
                <w14:ligatures w14:val="none"/>
              </w:rPr>
              <w:t>Total</w:t>
            </w:r>
          </w:p>
        </w:tc>
      </w:tr>
      <w:tr w:rsidR="00080840" w:rsidRPr="001E7F3F" w14:paraId="600CD8F7" w14:textId="77777777" w:rsidTr="00080840">
        <w:trPr>
          <w:cnfStyle w:val="000000100000" w:firstRow="0" w:lastRow="0" w:firstColumn="0" w:lastColumn="0" w:oddVBand="0" w:evenVBand="0" w:oddHBand="1" w:evenHBand="0" w:firstRowFirstColumn="0" w:firstRowLastColumn="0" w:lastRowFirstColumn="0" w:lastRowLastColumn="0"/>
          <w:trHeight w:val="439"/>
        </w:trPr>
        <w:tc>
          <w:tcPr>
            <w:tcW w:w="1906" w:type="dxa"/>
            <w:tcBorders>
              <w:top w:val="single" w:sz="4" w:space="0" w:color="auto"/>
            </w:tcBorders>
            <w:hideMark/>
          </w:tcPr>
          <w:p w14:paraId="4A7AD7A4"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AD-like</w:t>
            </w:r>
          </w:p>
        </w:tc>
        <w:tc>
          <w:tcPr>
            <w:tcW w:w="1039" w:type="dxa"/>
            <w:tcBorders>
              <w:top w:val="single" w:sz="4" w:space="0" w:color="auto"/>
            </w:tcBorders>
          </w:tcPr>
          <w:p w14:paraId="65AF7F80"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11</w:t>
            </w:r>
          </w:p>
        </w:tc>
        <w:tc>
          <w:tcPr>
            <w:tcW w:w="1155" w:type="dxa"/>
            <w:tcBorders>
              <w:top w:val="single" w:sz="4" w:space="0" w:color="auto"/>
            </w:tcBorders>
          </w:tcPr>
          <w:p w14:paraId="18BB3D66"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177" w:type="dxa"/>
            <w:tcBorders>
              <w:top w:val="single" w:sz="4" w:space="0" w:color="auto"/>
            </w:tcBorders>
          </w:tcPr>
          <w:p w14:paraId="622F3B1C"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453" w:type="dxa"/>
            <w:tcBorders>
              <w:top w:val="single" w:sz="4" w:space="0" w:color="auto"/>
            </w:tcBorders>
          </w:tcPr>
          <w:p w14:paraId="48FB7ED5"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Borders>
              <w:top w:val="single" w:sz="4" w:space="0" w:color="auto"/>
            </w:tcBorders>
          </w:tcPr>
          <w:p w14:paraId="733D8D2A"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237" w:type="dxa"/>
            <w:tcBorders>
              <w:top w:val="single" w:sz="4" w:space="0" w:color="auto"/>
            </w:tcBorders>
          </w:tcPr>
          <w:p w14:paraId="1B5D71A8"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969" w:type="dxa"/>
            <w:tcBorders>
              <w:top w:val="single" w:sz="4" w:space="0" w:color="auto"/>
            </w:tcBorders>
          </w:tcPr>
          <w:p w14:paraId="6ADDF4FF"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13</w:t>
            </w:r>
          </w:p>
        </w:tc>
      </w:tr>
      <w:tr w:rsidR="00080840" w:rsidRPr="001E7F3F" w14:paraId="1680AE04" w14:textId="77777777" w:rsidTr="00080840">
        <w:trPr>
          <w:trHeight w:val="439"/>
        </w:trPr>
        <w:tc>
          <w:tcPr>
            <w:tcW w:w="1906" w:type="dxa"/>
            <w:hideMark/>
          </w:tcPr>
          <w:p w14:paraId="67EC5F28"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FTD-like </w:t>
            </w:r>
          </w:p>
        </w:tc>
        <w:tc>
          <w:tcPr>
            <w:tcW w:w="1039" w:type="dxa"/>
          </w:tcPr>
          <w:p w14:paraId="720B8328"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55" w:type="dxa"/>
          </w:tcPr>
          <w:p w14:paraId="3EB3788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c>
          <w:tcPr>
            <w:tcW w:w="1177" w:type="dxa"/>
          </w:tcPr>
          <w:p w14:paraId="0623117C"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453" w:type="dxa"/>
          </w:tcPr>
          <w:p w14:paraId="0A627800"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Pr>
          <w:p w14:paraId="7EA24315"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237" w:type="dxa"/>
          </w:tcPr>
          <w:p w14:paraId="31F4677A"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69" w:type="dxa"/>
          </w:tcPr>
          <w:p w14:paraId="08328E10"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r>
      <w:tr w:rsidR="00080840" w:rsidRPr="001E7F3F" w14:paraId="2B1D47E1" w14:textId="77777777" w:rsidTr="00080840">
        <w:trPr>
          <w:cnfStyle w:val="000000100000" w:firstRow="0" w:lastRow="0" w:firstColumn="0" w:lastColumn="0" w:oddVBand="0" w:evenVBand="0" w:oddHBand="1" w:evenHBand="0" w:firstRowFirstColumn="0" w:firstRowLastColumn="0" w:lastRowFirstColumn="0" w:lastRowLastColumn="0"/>
          <w:trHeight w:val="439"/>
        </w:trPr>
        <w:tc>
          <w:tcPr>
            <w:tcW w:w="1906" w:type="dxa"/>
            <w:hideMark/>
          </w:tcPr>
          <w:p w14:paraId="61A09DC0"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DLB-like</w:t>
            </w:r>
          </w:p>
        </w:tc>
        <w:tc>
          <w:tcPr>
            <w:tcW w:w="1039" w:type="dxa"/>
          </w:tcPr>
          <w:p w14:paraId="69D0C7D5"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155" w:type="dxa"/>
          </w:tcPr>
          <w:p w14:paraId="098F249A"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77" w:type="dxa"/>
          </w:tcPr>
          <w:p w14:paraId="537BE2D7"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453" w:type="dxa"/>
          </w:tcPr>
          <w:p w14:paraId="52BA231A"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Pr>
          <w:p w14:paraId="49E183D9"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237" w:type="dxa"/>
          </w:tcPr>
          <w:p w14:paraId="6B8BE8C8"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69" w:type="dxa"/>
          </w:tcPr>
          <w:p w14:paraId="716E2F66"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r>
      <w:tr w:rsidR="00080840" w:rsidRPr="001E7F3F" w14:paraId="06B18598" w14:textId="77777777" w:rsidTr="00080840">
        <w:trPr>
          <w:trHeight w:val="478"/>
        </w:trPr>
        <w:tc>
          <w:tcPr>
            <w:tcW w:w="1906" w:type="dxa"/>
            <w:hideMark/>
          </w:tcPr>
          <w:p w14:paraId="1D5B44E7"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Limbic-like</w:t>
            </w:r>
          </w:p>
        </w:tc>
        <w:tc>
          <w:tcPr>
            <w:tcW w:w="1039" w:type="dxa"/>
          </w:tcPr>
          <w:p w14:paraId="516F144E"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55" w:type="dxa"/>
          </w:tcPr>
          <w:p w14:paraId="2D6ACBA1"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77" w:type="dxa"/>
          </w:tcPr>
          <w:p w14:paraId="7512AA6A"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453" w:type="dxa"/>
          </w:tcPr>
          <w:p w14:paraId="682096EC"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Pr>
          <w:p w14:paraId="454AC3A9"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237" w:type="dxa"/>
          </w:tcPr>
          <w:p w14:paraId="604101C2"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969" w:type="dxa"/>
          </w:tcPr>
          <w:p w14:paraId="38ED67BD"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r>
      <w:tr w:rsidR="00080840" w:rsidRPr="001E7F3F" w14:paraId="0C907DA0" w14:textId="77777777" w:rsidTr="00080840">
        <w:trPr>
          <w:cnfStyle w:val="000000100000" w:firstRow="0" w:lastRow="0" w:firstColumn="0" w:lastColumn="0" w:oddVBand="0" w:evenVBand="0" w:oddHBand="1" w:evenHBand="0" w:firstRowFirstColumn="0" w:firstRowLastColumn="0" w:lastRowFirstColumn="0" w:lastRowLastColumn="0"/>
          <w:trHeight w:val="478"/>
        </w:trPr>
        <w:tc>
          <w:tcPr>
            <w:tcW w:w="1906" w:type="dxa"/>
            <w:hideMark/>
          </w:tcPr>
          <w:p w14:paraId="635EDA14"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Unclassified </w:t>
            </w:r>
          </w:p>
        </w:tc>
        <w:tc>
          <w:tcPr>
            <w:tcW w:w="1039" w:type="dxa"/>
          </w:tcPr>
          <w:p w14:paraId="48E12481"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155" w:type="dxa"/>
          </w:tcPr>
          <w:p w14:paraId="004250A5"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77" w:type="dxa"/>
          </w:tcPr>
          <w:p w14:paraId="0B1C6D0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453" w:type="dxa"/>
          </w:tcPr>
          <w:p w14:paraId="5C8EBFDE"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Pr>
          <w:p w14:paraId="6B637D34"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237" w:type="dxa"/>
          </w:tcPr>
          <w:p w14:paraId="62C73571"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c>
          <w:tcPr>
            <w:tcW w:w="969" w:type="dxa"/>
          </w:tcPr>
          <w:p w14:paraId="0F5A0C24"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4</w:t>
            </w:r>
          </w:p>
        </w:tc>
      </w:tr>
      <w:tr w:rsidR="00080840" w:rsidRPr="001E7F3F" w14:paraId="1359338A" w14:textId="77777777" w:rsidTr="00080840">
        <w:trPr>
          <w:trHeight w:val="439"/>
        </w:trPr>
        <w:tc>
          <w:tcPr>
            <w:tcW w:w="1906" w:type="dxa"/>
            <w:hideMark/>
          </w:tcPr>
          <w:p w14:paraId="1E300D9D"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 xml:space="preserve">Normal </w:t>
            </w:r>
          </w:p>
        </w:tc>
        <w:tc>
          <w:tcPr>
            <w:tcW w:w="1039" w:type="dxa"/>
          </w:tcPr>
          <w:p w14:paraId="3486F32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55" w:type="dxa"/>
          </w:tcPr>
          <w:p w14:paraId="382A5AE9"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177" w:type="dxa"/>
          </w:tcPr>
          <w:p w14:paraId="4BEE6447"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453" w:type="dxa"/>
          </w:tcPr>
          <w:p w14:paraId="1389C426"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Pr>
          <w:p w14:paraId="27369CCE"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237" w:type="dxa"/>
          </w:tcPr>
          <w:p w14:paraId="752A4ABF"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14</w:t>
            </w:r>
          </w:p>
        </w:tc>
        <w:tc>
          <w:tcPr>
            <w:tcW w:w="969" w:type="dxa"/>
          </w:tcPr>
          <w:p w14:paraId="72827F4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15</w:t>
            </w:r>
          </w:p>
        </w:tc>
      </w:tr>
      <w:tr w:rsidR="00080840" w:rsidRPr="001E7F3F" w14:paraId="70F9E560" w14:textId="77777777" w:rsidTr="00080840">
        <w:trPr>
          <w:cnfStyle w:val="000000100000" w:firstRow="0" w:lastRow="0" w:firstColumn="0" w:lastColumn="0" w:oddVBand="0" w:evenVBand="0" w:oddHBand="1" w:evenHBand="0" w:firstRowFirstColumn="0" w:firstRowLastColumn="0" w:lastRowFirstColumn="0" w:lastRowLastColumn="0"/>
          <w:trHeight w:val="439"/>
        </w:trPr>
        <w:tc>
          <w:tcPr>
            <w:tcW w:w="1906" w:type="dxa"/>
            <w:tcBorders>
              <w:bottom w:val="single" w:sz="4" w:space="0" w:color="auto"/>
            </w:tcBorders>
            <w:hideMark/>
          </w:tcPr>
          <w:p w14:paraId="601AF4E5" w14:textId="77777777" w:rsidR="00080840" w:rsidRPr="001E7F3F" w:rsidRDefault="00080840" w:rsidP="00810F5F">
            <w:pP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lastRenderedPageBreak/>
              <w:t>Total</w:t>
            </w:r>
          </w:p>
        </w:tc>
        <w:tc>
          <w:tcPr>
            <w:tcW w:w="1039" w:type="dxa"/>
            <w:tcBorders>
              <w:bottom w:val="single" w:sz="4" w:space="0" w:color="auto"/>
            </w:tcBorders>
          </w:tcPr>
          <w:p w14:paraId="0531E52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13</w:t>
            </w:r>
          </w:p>
        </w:tc>
        <w:tc>
          <w:tcPr>
            <w:tcW w:w="1155" w:type="dxa"/>
            <w:tcBorders>
              <w:bottom w:val="single" w:sz="4" w:space="0" w:color="auto"/>
            </w:tcBorders>
          </w:tcPr>
          <w:p w14:paraId="6630316D"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3</w:t>
            </w:r>
          </w:p>
        </w:tc>
        <w:tc>
          <w:tcPr>
            <w:tcW w:w="1177" w:type="dxa"/>
            <w:tcBorders>
              <w:bottom w:val="single" w:sz="4" w:space="0" w:color="auto"/>
            </w:tcBorders>
          </w:tcPr>
          <w:p w14:paraId="61E507E6"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w:t>
            </w:r>
          </w:p>
        </w:tc>
        <w:tc>
          <w:tcPr>
            <w:tcW w:w="1453" w:type="dxa"/>
            <w:tcBorders>
              <w:bottom w:val="single" w:sz="4" w:space="0" w:color="auto"/>
            </w:tcBorders>
          </w:tcPr>
          <w:p w14:paraId="2A6CF293"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0</w:t>
            </w:r>
          </w:p>
        </w:tc>
        <w:tc>
          <w:tcPr>
            <w:tcW w:w="1795" w:type="dxa"/>
            <w:tcBorders>
              <w:bottom w:val="single" w:sz="4" w:space="0" w:color="auto"/>
            </w:tcBorders>
          </w:tcPr>
          <w:p w14:paraId="30A2BA16"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2</w:t>
            </w:r>
          </w:p>
        </w:tc>
        <w:tc>
          <w:tcPr>
            <w:tcW w:w="1237" w:type="dxa"/>
            <w:tcBorders>
              <w:bottom w:val="single" w:sz="4" w:space="0" w:color="auto"/>
            </w:tcBorders>
          </w:tcPr>
          <w:p w14:paraId="6DC998CF"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17</w:t>
            </w:r>
          </w:p>
        </w:tc>
        <w:tc>
          <w:tcPr>
            <w:tcW w:w="969" w:type="dxa"/>
            <w:tcBorders>
              <w:bottom w:val="single" w:sz="4" w:space="0" w:color="auto"/>
            </w:tcBorders>
          </w:tcPr>
          <w:p w14:paraId="69F82D97" w14:textId="77777777" w:rsidR="00080840" w:rsidRPr="001E7F3F" w:rsidRDefault="00080840" w:rsidP="00810F5F">
            <w:pPr>
              <w:jc w:val="center"/>
              <w:rPr>
                <w:rFonts w:ascii="Times New Roman" w:eastAsia="Times New Roman" w:hAnsi="Times New Roman" w:cs="Times New Roman"/>
                <w:kern w:val="0"/>
                <w:sz w:val="24"/>
                <w:szCs w:val="24"/>
                <w14:ligatures w14:val="none"/>
              </w:rPr>
            </w:pPr>
            <w:r w:rsidRPr="001E7F3F">
              <w:rPr>
                <w:rFonts w:ascii="Times New Roman" w:eastAsia="Times New Roman" w:hAnsi="Times New Roman" w:cs="Times New Roman"/>
                <w:kern w:val="0"/>
                <w:sz w:val="24"/>
                <w:szCs w:val="24"/>
                <w14:ligatures w14:val="none"/>
              </w:rPr>
              <w:t>36</w:t>
            </w:r>
          </w:p>
        </w:tc>
      </w:tr>
      <w:tr w:rsidR="00080840" w:rsidRPr="00CF1FD4" w14:paraId="0FFDCBFB" w14:textId="77777777" w:rsidTr="00080840">
        <w:trPr>
          <w:trHeight w:val="439"/>
        </w:trPr>
        <w:tc>
          <w:tcPr>
            <w:tcW w:w="10735" w:type="dxa"/>
            <w:gridSpan w:val="8"/>
            <w:tcBorders>
              <w:top w:val="single" w:sz="4" w:space="0" w:color="auto"/>
              <w:bottom w:val="single" w:sz="4" w:space="0" w:color="auto"/>
            </w:tcBorders>
          </w:tcPr>
          <w:p w14:paraId="3DE186D1" w14:textId="77777777" w:rsidR="00080840" w:rsidRPr="00080840" w:rsidRDefault="00080840" w:rsidP="00810F5F">
            <w:pPr>
              <w:rPr>
                <w:rFonts w:ascii="Times New Roman" w:eastAsia="Times New Roman" w:hAnsi="Times New Roman" w:cs="Times New Roman"/>
                <w:kern w:val="0"/>
                <w:sz w:val="24"/>
                <w:szCs w:val="24"/>
                <w:lang w:val="en-US"/>
                <w14:ligatures w14:val="none"/>
              </w:rPr>
            </w:pPr>
            <w:r w:rsidRPr="00080840">
              <w:rPr>
                <w:rFonts w:ascii="Times New Roman" w:eastAsia="Times New Roman" w:hAnsi="Times New Roman" w:cs="Times New Roman"/>
                <w:kern w:val="0"/>
                <w:sz w:val="24"/>
                <w:szCs w:val="24"/>
                <w:lang w:val="en-US"/>
                <w14:ligatures w14:val="none"/>
              </w:rPr>
              <w:t>AD=Alzheimer disease; FTD=frontotemporal dementia; DLB =dementia with Lewy bodies; eTAU= early-phase of tau-PET; eAMY= early-phase of amy-PET</w:t>
            </w:r>
          </w:p>
        </w:tc>
      </w:tr>
    </w:tbl>
    <w:p w14:paraId="24A06F34" w14:textId="77777777" w:rsidR="00080840" w:rsidRDefault="00080840" w:rsidP="00AB5C0C">
      <w:pPr>
        <w:jc w:val="both"/>
        <w:rPr>
          <w:rFonts w:ascii="Times New Roman" w:hAnsi="Times New Roman" w:cs="Times New Roman"/>
          <w:b/>
          <w:bCs/>
          <w:lang w:val="en-US"/>
        </w:rPr>
      </w:pPr>
    </w:p>
    <w:p w14:paraId="01582672" w14:textId="580DCBE8" w:rsidR="00AB5C0C" w:rsidRPr="00AB5C0C" w:rsidRDefault="00AB5C0C" w:rsidP="00AB5C0C">
      <w:pPr>
        <w:jc w:val="both"/>
        <w:rPr>
          <w:rFonts w:ascii="Times New Roman" w:hAnsi="Times New Roman" w:cs="Times New Roman"/>
          <w:b/>
          <w:bCs/>
          <w:lang w:val="en-US"/>
        </w:rPr>
      </w:pPr>
      <w:r w:rsidRPr="00AB5C0C">
        <w:rPr>
          <w:rFonts w:ascii="Times New Roman" w:hAnsi="Times New Roman" w:cs="Times New Roman"/>
          <w:b/>
          <w:bCs/>
          <w:lang w:val="en-US"/>
        </w:rPr>
        <w:t>Table S</w:t>
      </w:r>
      <w:r w:rsidR="00A97503">
        <w:rPr>
          <w:rFonts w:ascii="Times New Roman" w:hAnsi="Times New Roman" w:cs="Times New Roman"/>
          <w:b/>
          <w:bCs/>
          <w:lang w:val="en-US"/>
        </w:rPr>
        <w:t>4</w:t>
      </w:r>
      <w:r w:rsidRPr="00AB5C0C">
        <w:rPr>
          <w:rFonts w:ascii="Times New Roman" w:hAnsi="Times New Roman" w:cs="Times New Roman"/>
          <w:b/>
          <w:bCs/>
          <w:lang w:val="en-US"/>
        </w:rPr>
        <w:t xml:space="preserve">. </w:t>
      </w:r>
      <w:r w:rsidRPr="00AB5C0C">
        <w:rPr>
          <w:rFonts w:ascii="Times New Roman" w:hAnsi="Times New Roman" w:cs="Times New Roman"/>
          <w:lang w:val="en-US"/>
        </w:rPr>
        <w:t xml:space="preserve">Distribution of Hypometabolism Patterns and Their Voxel-by-Voxel Concordance with Hypoperfusion Patterns obtained with Early Phase of </w:t>
      </w:r>
      <w:r>
        <w:rPr>
          <w:rFonts w:ascii="Times New Roman" w:hAnsi="Times New Roman" w:cs="Times New Roman"/>
          <w:lang w:val="en-US"/>
        </w:rPr>
        <w:t>Amyloid</w:t>
      </w:r>
      <w:r w:rsidRPr="00AB5C0C">
        <w:rPr>
          <w:rFonts w:ascii="Times New Roman" w:hAnsi="Times New Roman" w:cs="Times New Roman"/>
          <w:lang w:val="en-US"/>
        </w:rPr>
        <w:t xml:space="preserve"> PET in Clinical Groups</w:t>
      </w:r>
    </w:p>
    <w:tbl>
      <w:tblPr>
        <w:tblStyle w:val="PlainTable4"/>
        <w:tblW w:w="13958" w:type="dxa"/>
        <w:tblLayout w:type="fixed"/>
        <w:tblLook w:val="0400" w:firstRow="0" w:lastRow="0" w:firstColumn="0" w:lastColumn="0" w:noHBand="0" w:noVBand="1"/>
      </w:tblPr>
      <w:tblGrid>
        <w:gridCol w:w="1438"/>
        <w:gridCol w:w="828"/>
        <w:gridCol w:w="881"/>
        <w:gridCol w:w="880"/>
        <w:gridCol w:w="670"/>
        <w:gridCol w:w="725"/>
        <w:gridCol w:w="823"/>
        <w:gridCol w:w="823"/>
        <w:gridCol w:w="727"/>
        <w:gridCol w:w="725"/>
        <w:gridCol w:w="790"/>
        <w:gridCol w:w="789"/>
        <w:gridCol w:w="722"/>
        <w:gridCol w:w="762"/>
        <w:gridCol w:w="823"/>
        <w:gridCol w:w="823"/>
        <w:gridCol w:w="729"/>
      </w:tblGrid>
      <w:tr w:rsidR="00961669" w:rsidRPr="00961669" w14:paraId="2582DC57" w14:textId="77777777" w:rsidTr="003623D3">
        <w:trPr>
          <w:cnfStyle w:val="000000100000" w:firstRow="0" w:lastRow="0" w:firstColumn="0" w:lastColumn="0" w:oddVBand="0" w:evenVBand="0" w:oddHBand="1" w:evenHBand="0" w:firstRowFirstColumn="0" w:firstRowLastColumn="0" w:lastRowFirstColumn="0" w:lastRowLastColumn="0"/>
          <w:trHeight w:val="786"/>
        </w:trPr>
        <w:tc>
          <w:tcPr>
            <w:tcW w:w="1438" w:type="dxa"/>
            <w:tcBorders>
              <w:top w:val="single" w:sz="4" w:space="0" w:color="auto"/>
              <w:bottom w:val="single" w:sz="4" w:space="0" w:color="auto"/>
            </w:tcBorders>
            <w:hideMark/>
          </w:tcPr>
          <w:p w14:paraId="2DC796BE" w14:textId="77777777" w:rsidR="00961669" w:rsidRPr="00961669" w:rsidRDefault="00961669" w:rsidP="00F671C0">
            <w:pPr>
              <w:rPr>
                <w:rFonts w:ascii="Times New Roman" w:eastAsia="Times New Roman" w:hAnsi="Times New Roman" w:cs="Times New Roman"/>
                <w:b/>
                <w:bCs/>
                <w:sz w:val="20"/>
                <w:szCs w:val="20"/>
                <w:lang w:val="en-US"/>
              </w:rPr>
            </w:pPr>
          </w:p>
        </w:tc>
        <w:tc>
          <w:tcPr>
            <w:tcW w:w="3259" w:type="dxa"/>
            <w:gridSpan w:val="4"/>
            <w:tcBorders>
              <w:top w:val="single" w:sz="4" w:space="0" w:color="auto"/>
              <w:bottom w:val="single" w:sz="4" w:space="0" w:color="auto"/>
            </w:tcBorders>
          </w:tcPr>
          <w:p w14:paraId="5CEEBAC2" w14:textId="39EF6259" w:rsidR="00961669" w:rsidRPr="00961669" w:rsidRDefault="00961669" w:rsidP="00F671C0">
            <w:pPr>
              <w:jc w:val="cente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Whole sample</w:t>
            </w:r>
          </w:p>
        </w:tc>
        <w:tc>
          <w:tcPr>
            <w:tcW w:w="3098" w:type="dxa"/>
            <w:gridSpan w:val="4"/>
            <w:tcBorders>
              <w:top w:val="single" w:sz="4" w:space="0" w:color="auto"/>
              <w:bottom w:val="single" w:sz="4" w:space="0" w:color="auto"/>
            </w:tcBorders>
          </w:tcPr>
          <w:p w14:paraId="4D7F919C" w14:textId="7934121A" w:rsidR="00961669" w:rsidRPr="00961669" w:rsidRDefault="00961669" w:rsidP="00F671C0">
            <w:pPr>
              <w:jc w:val="cente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Dementia</w:t>
            </w:r>
          </w:p>
        </w:tc>
        <w:tc>
          <w:tcPr>
            <w:tcW w:w="3026" w:type="dxa"/>
            <w:gridSpan w:val="4"/>
            <w:tcBorders>
              <w:top w:val="single" w:sz="4" w:space="0" w:color="auto"/>
              <w:bottom w:val="single" w:sz="4" w:space="0" w:color="auto"/>
            </w:tcBorders>
          </w:tcPr>
          <w:p w14:paraId="3201E9D6" w14:textId="0E13082B" w:rsidR="00961669" w:rsidRPr="00961669" w:rsidRDefault="00961669" w:rsidP="00F671C0">
            <w:pPr>
              <w:jc w:val="cente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MCI</w:t>
            </w:r>
          </w:p>
        </w:tc>
        <w:tc>
          <w:tcPr>
            <w:tcW w:w="3137" w:type="dxa"/>
            <w:gridSpan w:val="4"/>
            <w:tcBorders>
              <w:top w:val="single" w:sz="4" w:space="0" w:color="auto"/>
              <w:bottom w:val="single" w:sz="4" w:space="0" w:color="auto"/>
            </w:tcBorders>
          </w:tcPr>
          <w:p w14:paraId="0E747A42" w14:textId="66EF3943" w:rsidR="00961669" w:rsidRPr="00961669" w:rsidRDefault="00961669" w:rsidP="00F671C0">
            <w:pPr>
              <w:jc w:val="cente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CU</w:t>
            </w:r>
          </w:p>
        </w:tc>
      </w:tr>
      <w:tr w:rsidR="00961669" w:rsidRPr="00961669" w14:paraId="296D7A03" w14:textId="77777777" w:rsidTr="00961669">
        <w:trPr>
          <w:trHeight w:val="1000"/>
        </w:trPr>
        <w:tc>
          <w:tcPr>
            <w:tcW w:w="1438" w:type="dxa"/>
            <w:tcBorders>
              <w:top w:val="single" w:sz="4" w:space="0" w:color="auto"/>
            </w:tcBorders>
            <w:hideMark/>
          </w:tcPr>
          <w:p w14:paraId="284BCF72" w14:textId="77777777"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Hypometabolic patterns</w:t>
            </w:r>
          </w:p>
        </w:tc>
        <w:tc>
          <w:tcPr>
            <w:tcW w:w="828" w:type="dxa"/>
            <w:tcBorders>
              <w:top w:val="single" w:sz="4" w:space="0" w:color="auto"/>
            </w:tcBorders>
            <w:hideMark/>
          </w:tcPr>
          <w:p w14:paraId="7F621A15" w14:textId="0241169C"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Sample (N=36)</w:t>
            </w:r>
          </w:p>
        </w:tc>
        <w:tc>
          <w:tcPr>
            <w:tcW w:w="881" w:type="dxa"/>
            <w:tcBorders>
              <w:top w:val="single" w:sz="4" w:space="0" w:color="auto"/>
            </w:tcBorders>
          </w:tcPr>
          <w:p w14:paraId="7F1024E1" w14:textId="07E7B874"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SMC</w:t>
            </w:r>
          </w:p>
        </w:tc>
        <w:tc>
          <w:tcPr>
            <w:tcW w:w="880" w:type="dxa"/>
            <w:tcBorders>
              <w:top w:val="single" w:sz="4" w:space="0" w:color="auto"/>
            </w:tcBorders>
            <w:hideMark/>
          </w:tcPr>
          <w:p w14:paraId="718F9761" w14:textId="2B0522AE"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Dice</w:t>
            </w:r>
          </w:p>
        </w:tc>
        <w:tc>
          <w:tcPr>
            <w:tcW w:w="670" w:type="dxa"/>
            <w:tcBorders>
              <w:top w:val="single" w:sz="4" w:space="0" w:color="auto"/>
            </w:tcBorders>
            <w:hideMark/>
          </w:tcPr>
          <w:p w14:paraId="2CAF58E7" w14:textId="57B3B691"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 match</w:t>
            </w:r>
          </w:p>
        </w:tc>
        <w:tc>
          <w:tcPr>
            <w:tcW w:w="725" w:type="dxa"/>
            <w:tcBorders>
              <w:top w:val="single" w:sz="4" w:space="0" w:color="auto"/>
            </w:tcBorders>
            <w:hideMark/>
          </w:tcPr>
          <w:p w14:paraId="5DF268B6" w14:textId="399A7CB1"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Sample (N=8)</w:t>
            </w:r>
          </w:p>
        </w:tc>
        <w:tc>
          <w:tcPr>
            <w:tcW w:w="823" w:type="dxa"/>
            <w:tcBorders>
              <w:top w:val="single" w:sz="4" w:space="0" w:color="auto"/>
            </w:tcBorders>
          </w:tcPr>
          <w:p w14:paraId="611F568F" w14:textId="2A183EF8"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MSC</w:t>
            </w:r>
          </w:p>
        </w:tc>
        <w:tc>
          <w:tcPr>
            <w:tcW w:w="823" w:type="dxa"/>
            <w:tcBorders>
              <w:top w:val="single" w:sz="4" w:space="0" w:color="auto"/>
            </w:tcBorders>
            <w:hideMark/>
          </w:tcPr>
          <w:p w14:paraId="37A8034E" w14:textId="7BCC211D"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Dice</w:t>
            </w:r>
          </w:p>
        </w:tc>
        <w:tc>
          <w:tcPr>
            <w:tcW w:w="727" w:type="dxa"/>
            <w:tcBorders>
              <w:top w:val="single" w:sz="4" w:space="0" w:color="auto"/>
            </w:tcBorders>
            <w:hideMark/>
          </w:tcPr>
          <w:p w14:paraId="4393A479" w14:textId="3B3A8299"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 match</w:t>
            </w:r>
          </w:p>
        </w:tc>
        <w:tc>
          <w:tcPr>
            <w:tcW w:w="725" w:type="dxa"/>
            <w:tcBorders>
              <w:top w:val="single" w:sz="4" w:space="0" w:color="auto"/>
            </w:tcBorders>
            <w:hideMark/>
          </w:tcPr>
          <w:p w14:paraId="12198755" w14:textId="395FD61A"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Sample (N=22)</w:t>
            </w:r>
          </w:p>
        </w:tc>
        <w:tc>
          <w:tcPr>
            <w:tcW w:w="790" w:type="dxa"/>
            <w:tcBorders>
              <w:top w:val="single" w:sz="4" w:space="0" w:color="auto"/>
            </w:tcBorders>
          </w:tcPr>
          <w:p w14:paraId="17C59BF9" w14:textId="7C813381" w:rsidR="00961669" w:rsidRPr="00961669" w:rsidRDefault="00961669" w:rsidP="00F671C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SMC</w:t>
            </w:r>
          </w:p>
        </w:tc>
        <w:tc>
          <w:tcPr>
            <w:tcW w:w="789" w:type="dxa"/>
            <w:tcBorders>
              <w:top w:val="single" w:sz="4" w:space="0" w:color="auto"/>
            </w:tcBorders>
            <w:hideMark/>
          </w:tcPr>
          <w:p w14:paraId="78698564" w14:textId="59CC9038"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Dice</w:t>
            </w:r>
          </w:p>
        </w:tc>
        <w:tc>
          <w:tcPr>
            <w:tcW w:w="722" w:type="dxa"/>
            <w:tcBorders>
              <w:top w:val="single" w:sz="4" w:space="0" w:color="auto"/>
            </w:tcBorders>
            <w:hideMark/>
          </w:tcPr>
          <w:p w14:paraId="032F5268" w14:textId="49E9628B"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 match</w:t>
            </w:r>
          </w:p>
        </w:tc>
        <w:tc>
          <w:tcPr>
            <w:tcW w:w="762" w:type="dxa"/>
            <w:tcBorders>
              <w:top w:val="single" w:sz="4" w:space="0" w:color="auto"/>
            </w:tcBorders>
            <w:hideMark/>
          </w:tcPr>
          <w:p w14:paraId="497903AC" w14:textId="61A4E3A2"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Sample (N=6)</w:t>
            </w:r>
          </w:p>
        </w:tc>
        <w:tc>
          <w:tcPr>
            <w:tcW w:w="823" w:type="dxa"/>
            <w:tcBorders>
              <w:top w:val="single" w:sz="4" w:space="0" w:color="auto"/>
            </w:tcBorders>
          </w:tcPr>
          <w:p w14:paraId="015A6D2A" w14:textId="3739E15F" w:rsidR="00961669" w:rsidRPr="00961669" w:rsidRDefault="00961669" w:rsidP="00F671C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SMC</w:t>
            </w:r>
          </w:p>
        </w:tc>
        <w:tc>
          <w:tcPr>
            <w:tcW w:w="823" w:type="dxa"/>
            <w:tcBorders>
              <w:top w:val="single" w:sz="4" w:space="0" w:color="auto"/>
            </w:tcBorders>
            <w:hideMark/>
          </w:tcPr>
          <w:p w14:paraId="428EB78D" w14:textId="514FE6EA"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Dice</w:t>
            </w:r>
          </w:p>
        </w:tc>
        <w:tc>
          <w:tcPr>
            <w:tcW w:w="729" w:type="dxa"/>
            <w:tcBorders>
              <w:top w:val="single" w:sz="4" w:space="0" w:color="auto"/>
            </w:tcBorders>
            <w:hideMark/>
          </w:tcPr>
          <w:p w14:paraId="78247370" w14:textId="0F5BFCD2" w:rsidR="00961669" w:rsidRPr="00961669" w:rsidRDefault="00961669" w:rsidP="00F671C0">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 match</w:t>
            </w:r>
          </w:p>
        </w:tc>
      </w:tr>
      <w:tr w:rsidR="00961669" w:rsidRPr="00961669" w14:paraId="69F94399" w14:textId="77777777" w:rsidTr="00961669">
        <w:trPr>
          <w:cnfStyle w:val="000000100000" w:firstRow="0" w:lastRow="0" w:firstColumn="0" w:lastColumn="0" w:oddVBand="0" w:evenVBand="0" w:oddHBand="1" w:evenHBand="0" w:firstRowFirstColumn="0" w:firstRowLastColumn="0" w:lastRowFirstColumn="0" w:lastRowLastColumn="0"/>
          <w:trHeight w:val="371"/>
        </w:trPr>
        <w:tc>
          <w:tcPr>
            <w:tcW w:w="1438" w:type="dxa"/>
            <w:hideMark/>
          </w:tcPr>
          <w:p w14:paraId="67EE9556" w14:textId="77777777" w:rsidR="00961669" w:rsidRPr="00961669" w:rsidRDefault="00961669" w:rsidP="001B0707">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AD-like</w:t>
            </w:r>
          </w:p>
        </w:tc>
        <w:tc>
          <w:tcPr>
            <w:tcW w:w="828" w:type="dxa"/>
            <w:hideMark/>
          </w:tcPr>
          <w:p w14:paraId="46E3F2B0" w14:textId="31A49FA0"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13</w:t>
            </w:r>
          </w:p>
        </w:tc>
        <w:tc>
          <w:tcPr>
            <w:tcW w:w="881" w:type="dxa"/>
          </w:tcPr>
          <w:p w14:paraId="74575116" w14:textId="692EEBF1" w:rsidR="00961669" w:rsidRPr="00961669" w:rsidRDefault="00961669" w:rsidP="001B070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0.97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0.02</w:t>
            </w:r>
          </w:p>
        </w:tc>
        <w:tc>
          <w:tcPr>
            <w:tcW w:w="880" w:type="dxa"/>
            <w:hideMark/>
          </w:tcPr>
          <w:p w14:paraId="31E219BD" w14:textId="2963CA5E"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 ± 0.1</w:t>
            </w:r>
          </w:p>
        </w:tc>
        <w:tc>
          <w:tcPr>
            <w:tcW w:w="670" w:type="dxa"/>
            <w:hideMark/>
          </w:tcPr>
          <w:p w14:paraId="4A022C4B" w14:textId="5738C0E3"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76%</w:t>
            </w:r>
          </w:p>
        </w:tc>
        <w:tc>
          <w:tcPr>
            <w:tcW w:w="725" w:type="dxa"/>
            <w:hideMark/>
          </w:tcPr>
          <w:p w14:paraId="506A21C5" w14:textId="3F1D7FB4"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5</w:t>
            </w:r>
          </w:p>
        </w:tc>
        <w:tc>
          <w:tcPr>
            <w:tcW w:w="823" w:type="dxa"/>
          </w:tcPr>
          <w:p w14:paraId="1FCAB3CF" w14:textId="1F1B1B95" w:rsidR="00961669" w:rsidRPr="00961669" w:rsidRDefault="00961669" w:rsidP="001B070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0.96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0.03</w:t>
            </w:r>
          </w:p>
        </w:tc>
        <w:tc>
          <w:tcPr>
            <w:tcW w:w="823" w:type="dxa"/>
            <w:hideMark/>
          </w:tcPr>
          <w:p w14:paraId="129E6B52" w14:textId="0A48A410"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 ± 0.1</w:t>
            </w:r>
          </w:p>
        </w:tc>
        <w:tc>
          <w:tcPr>
            <w:tcW w:w="727" w:type="dxa"/>
            <w:hideMark/>
          </w:tcPr>
          <w:p w14:paraId="6287D9B7" w14:textId="77B12844"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80%</w:t>
            </w:r>
          </w:p>
        </w:tc>
        <w:tc>
          <w:tcPr>
            <w:tcW w:w="725" w:type="dxa"/>
            <w:hideMark/>
          </w:tcPr>
          <w:p w14:paraId="10B832C6" w14:textId="51A2FED0"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8</w:t>
            </w:r>
          </w:p>
        </w:tc>
        <w:tc>
          <w:tcPr>
            <w:tcW w:w="790" w:type="dxa"/>
          </w:tcPr>
          <w:p w14:paraId="1C96FEA9" w14:textId="689EFC6C" w:rsidR="00961669" w:rsidRPr="00961669" w:rsidRDefault="001731F9" w:rsidP="001B0707">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0.97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0.01</w:t>
            </w:r>
          </w:p>
        </w:tc>
        <w:tc>
          <w:tcPr>
            <w:tcW w:w="789" w:type="dxa"/>
            <w:hideMark/>
          </w:tcPr>
          <w:p w14:paraId="0580A1FC" w14:textId="12FD5AF4"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 ± 0.1</w:t>
            </w:r>
          </w:p>
        </w:tc>
        <w:tc>
          <w:tcPr>
            <w:tcW w:w="722" w:type="dxa"/>
            <w:hideMark/>
          </w:tcPr>
          <w:p w14:paraId="32D30209" w14:textId="2F5DD3A9"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75%</w:t>
            </w:r>
          </w:p>
        </w:tc>
        <w:tc>
          <w:tcPr>
            <w:tcW w:w="762" w:type="dxa"/>
            <w:hideMark/>
          </w:tcPr>
          <w:p w14:paraId="6401E3AA" w14:textId="0CA530B4"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6886959B" w14:textId="373C64A9" w:rsidR="00961669" w:rsidRPr="00961669" w:rsidRDefault="001731F9" w:rsidP="001B070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3787ED24" w14:textId="051A99B0"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9" w:type="dxa"/>
            <w:hideMark/>
          </w:tcPr>
          <w:p w14:paraId="74A145A2" w14:textId="75C4D8D0" w:rsidR="00961669" w:rsidRPr="00961669" w:rsidRDefault="00961669" w:rsidP="001B0707">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r>
      <w:tr w:rsidR="001731F9" w:rsidRPr="00961669" w14:paraId="396CD841" w14:textId="77777777" w:rsidTr="00961669">
        <w:trPr>
          <w:trHeight w:val="371"/>
        </w:trPr>
        <w:tc>
          <w:tcPr>
            <w:tcW w:w="1438" w:type="dxa"/>
            <w:hideMark/>
          </w:tcPr>
          <w:p w14:paraId="1AA32637" w14:textId="77777777" w:rsidR="001731F9" w:rsidRPr="00961669" w:rsidRDefault="001731F9" w:rsidP="001731F9">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FTD-like</w:t>
            </w:r>
          </w:p>
        </w:tc>
        <w:tc>
          <w:tcPr>
            <w:tcW w:w="828" w:type="dxa"/>
            <w:hideMark/>
          </w:tcPr>
          <w:p w14:paraId="7FFDD974" w14:textId="15982DF0"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3</w:t>
            </w:r>
          </w:p>
        </w:tc>
        <w:tc>
          <w:tcPr>
            <w:tcW w:w="881" w:type="dxa"/>
          </w:tcPr>
          <w:p w14:paraId="1761BEFC" w14:textId="057A2B04"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0.97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0.02</w:t>
            </w:r>
          </w:p>
        </w:tc>
        <w:tc>
          <w:tcPr>
            <w:tcW w:w="880" w:type="dxa"/>
            <w:hideMark/>
          </w:tcPr>
          <w:p w14:paraId="488C304D" w14:textId="54CEAA22"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0.6 ± 0.1</w:t>
            </w:r>
          </w:p>
        </w:tc>
        <w:tc>
          <w:tcPr>
            <w:tcW w:w="670" w:type="dxa"/>
            <w:hideMark/>
          </w:tcPr>
          <w:p w14:paraId="4525C8DF" w14:textId="6D81EE8C"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66%</w:t>
            </w:r>
          </w:p>
        </w:tc>
        <w:tc>
          <w:tcPr>
            <w:tcW w:w="725" w:type="dxa"/>
            <w:hideMark/>
          </w:tcPr>
          <w:p w14:paraId="5597F71D"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w:t>
            </w:r>
          </w:p>
        </w:tc>
        <w:tc>
          <w:tcPr>
            <w:tcW w:w="823" w:type="dxa"/>
          </w:tcPr>
          <w:p w14:paraId="240A3A77" w14:textId="11516C15"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c>
          <w:tcPr>
            <w:tcW w:w="823" w:type="dxa"/>
            <w:hideMark/>
          </w:tcPr>
          <w:p w14:paraId="41F00726" w14:textId="3E60D64E"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w:t>
            </w:r>
          </w:p>
        </w:tc>
        <w:tc>
          <w:tcPr>
            <w:tcW w:w="727" w:type="dxa"/>
            <w:hideMark/>
          </w:tcPr>
          <w:p w14:paraId="304F210F"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100%</w:t>
            </w:r>
          </w:p>
        </w:tc>
        <w:tc>
          <w:tcPr>
            <w:tcW w:w="725" w:type="dxa"/>
            <w:hideMark/>
          </w:tcPr>
          <w:p w14:paraId="66B417A3" w14:textId="0392A4CD"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2</w:t>
            </w:r>
          </w:p>
        </w:tc>
        <w:tc>
          <w:tcPr>
            <w:tcW w:w="790" w:type="dxa"/>
          </w:tcPr>
          <w:p w14:paraId="0DCD17F8" w14:textId="0F491F4B"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0.98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0.01</w:t>
            </w:r>
          </w:p>
        </w:tc>
        <w:tc>
          <w:tcPr>
            <w:tcW w:w="789" w:type="dxa"/>
            <w:hideMark/>
          </w:tcPr>
          <w:p w14:paraId="25FBA43B" w14:textId="67B45FD3"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0.6 ± 0.2</w:t>
            </w:r>
          </w:p>
        </w:tc>
        <w:tc>
          <w:tcPr>
            <w:tcW w:w="722" w:type="dxa"/>
            <w:hideMark/>
          </w:tcPr>
          <w:p w14:paraId="41D82102" w14:textId="116CED69"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50%</w:t>
            </w:r>
          </w:p>
        </w:tc>
        <w:tc>
          <w:tcPr>
            <w:tcW w:w="762" w:type="dxa"/>
            <w:hideMark/>
          </w:tcPr>
          <w:p w14:paraId="1B771EB3"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6DAA45B9" w14:textId="22EE7CE4"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43E16BC1" w14:textId="0E264824"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9" w:type="dxa"/>
            <w:hideMark/>
          </w:tcPr>
          <w:p w14:paraId="39EFA3D4"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r>
      <w:tr w:rsidR="001731F9" w:rsidRPr="00961669" w14:paraId="2C983CAD" w14:textId="77777777" w:rsidTr="00961669">
        <w:trPr>
          <w:cnfStyle w:val="000000100000" w:firstRow="0" w:lastRow="0" w:firstColumn="0" w:lastColumn="0" w:oddVBand="0" w:evenVBand="0" w:oddHBand="1" w:evenHBand="0" w:firstRowFirstColumn="0" w:firstRowLastColumn="0" w:lastRowFirstColumn="0" w:lastRowLastColumn="0"/>
          <w:trHeight w:val="371"/>
        </w:trPr>
        <w:tc>
          <w:tcPr>
            <w:tcW w:w="1438" w:type="dxa"/>
            <w:hideMark/>
          </w:tcPr>
          <w:p w14:paraId="1FB10018" w14:textId="77777777" w:rsidR="001731F9" w:rsidRPr="00961669" w:rsidRDefault="001731F9" w:rsidP="001731F9">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DLB-like</w:t>
            </w:r>
          </w:p>
        </w:tc>
        <w:tc>
          <w:tcPr>
            <w:tcW w:w="828" w:type="dxa"/>
            <w:hideMark/>
          </w:tcPr>
          <w:p w14:paraId="645D6153" w14:textId="145752DB"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w:t>
            </w:r>
          </w:p>
        </w:tc>
        <w:tc>
          <w:tcPr>
            <w:tcW w:w="881" w:type="dxa"/>
          </w:tcPr>
          <w:p w14:paraId="40BDC49A" w14:textId="6EC72333"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880" w:type="dxa"/>
            <w:hideMark/>
          </w:tcPr>
          <w:p w14:paraId="6D6B875D" w14:textId="1BE87ADA"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w:t>
            </w:r>
          </w:p>
        </w:tc>
        <w:tc>
          <w:tcPr>
            <w:tcW w:w="670" w:type="dxa"/>
            <w:hideMark/>
          </w:tcPr>
          <w:p w14:paraId="5134EF4C"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725" w:type="dxa"/>
            <w:hideMark/>
          </w:tcPr>
          <w:p w14:paraId="76CD21D4"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1F6DBF38" w14:textId="7BAC1EB1"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3697BF72" w14:textId="3771AFB0"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7" w:type="dxa"/>
            <w:hideMark/>
          </w:tcPr>
          <w:p w14:paraId="769854F3"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5" w:type="dxa"/>
            <w:hideMark/>
          </w:tcPr>
          <w:p w14:paraId="4CFFD4A1" w14:textId="1B8B9541"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w:t>
            </w:r>
          </w:p>
        </w:tc>
        <w:tc>
          <w:tcPr>
            <w:tcW w:w="790" w:type="dxa"/>
          </w:tcPr>
          <w:p w14:paraId="4AF93741" w14:textId="13222695"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789" w:type="dxa"/>
            <w:hideMark/>
          </w:tcPr>
          <w:p w14:paraId="0D8D0320" w14:textId="101D314E"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w:t>
            </w:r>
          </w:p>
        </w:tc>
        <w:tc>
          <w:tcPr>
            <w:tcW w:w="722" w:type="dxa"/>
            <w:hideMark/>
          </w:tcPr>
          <w:p w14:paraId="75BDA5E8"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762" w:type="dxa"/>
            <w:hideMark/>
          </w:tcPr>
          <w:p w14:paraId="0792B9D5"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4B169CE5" w14:textId="3239F3F9"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22EFE04B" w14:textId="3841B056"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9" w:type="dxa"/>
            <w:hideMark/>
          </w:tcPr>
          <w:p w14:paraId="677C74C3"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r>
      <w:tr w:rsidR="001731F9" w:rsidRPr="00961669" w14:paraId="48AEFF06" w14:textId="77777777" w:rsidTr="00961669">
        <w:trPr>
          <w:trHeight w:val="371"/>
        </w:trPr>
        <w:tc>
          <w:tcPr>
            <w:tcW w:w="1438" w:type="dxa"/>
            <w:hideMark/>
          </w:tcPr>
          <w:p w14:paraId="675C7889" w14:textId="77777777" w:rsidR="001731F9" w:rsidRPr="00961669" w:rsidRDefault="001731F9" w:rsidP="001731F9">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Unclassified</w:t>
            </w:r>
          </w:p>
        </w:tc>
        <w:tc>
          <w:tcPr>
            <w:tcW w:w="828" w:type="dxa"/>
            <w:hideMark/>
          </w:tcPr>
          <w:p w14:paraId="618908BE" w14:textId="5E0F542B"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2</w:t>
            </w:r>
          </w:p>
        </w:tc>
        <w:tc>
          <w:tcPr>
            <w:tcW w:w="881" w:type="dxa"/>
          </w:tcPr>
          <w:p w14:paraId="77B146D6" w14:textId="765CDD90"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0.98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0.01</w:t>
            </w:r>
          </w:p>
        </w:tc>
        <w:tc>
          <w:tcPr>
            <w:tcW w:w="880" w:type="dxa"/>
            <w:hideMark/>
          </w:tcPr>
          <w:p w14:paraId="61214D38" w14:textId="4B2C25C1"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0.6 ± 0.1</w:t>
            </w:r>
          </w:p>
        </w:tc>
        <w:tc>
          <w:tcPr>
            <w:tcW w:w="670" w:type="dxa"/>
            <w:hideMark/>
          </w:tcPr>
          <w:p w14:paraId="559C4245" w14:textId="38DC1752"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50%</w:t>
            </w:r>
          </w:p>
        </w:tc>
        <w:tc>
          <w:tcPr>
            <w:tcW w:w="725" w:type="dxa"/>
            <w:hideMark/>
          </w:tcPr>
          <w:p w14:paraId="66A7449B" w14:textId="5DECE378"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46E961E9" w14:textId="15226DEE"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39FFCB98" w14:textId="504D775F"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7" w:type="dxa"/>
            <w:hideMark/>
          </w:tcPr>
          <w:p w14:paraId="25326588" w14:textId="710A9D0B"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5" w:type="dxa"/>
            <w:hideMark/>
          </w:tcPr>
          <w:p w14:paraId="196DC7AF" w14:textId="4DA013B5"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2</w:t>
            </w:r>
          </w:p>
        </w:tc>
        <w:tc>
          <w:tcPr>
            <w:tcW w:w="790" w:type="dxa"/>
          </w:tcPr>
          <w:p w14:paraId="335D02C9" w14:textId="6961C2ED"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0.97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0.01</w:t>
            </w:r>
          </w:p>
        </w:tc>
        <w:tc>
          <w:tcPr>
            <w:tcW w:w="789" w:type="dxa"/>
            <w:hideMark/>
          </w:tcPr>
          <w:p w14:paraId="23923DAC" w14:textId="55C9A21C"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0.6 ± 0.1</w:t>
            </w:r>
          </w:p>
        </w:tc>
        <w:tc>
          <w:tcPr>
            <w:tcW w:w="722" w:type="dxa"/>
            <w:hideMark/>
          </w:tcPr>
          <w:p w14:paraId="3C54B2B2" w14:textId="27511C92"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50%</w:t>
            </w:r>
          </w:p>
        </w:tc>
        <w:tc>
          <w:tcPr>
            <w:tcW w:w="762" w:type="dxa"/>
            <w:hideMark/>
          </w:tcPr>
          <w:p w14:paraId="18582DE2" w14:textId="75B2EC3E"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823" w:type="dxa"/>
          </w:tcPr>
          <w:p w14:paraId="08AC9AFC" w14:textId="74515352"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23" w:type="dxa"/>
            <w:hideMark/>
          </w:tcPr>
          <w:p w14:paraId="09E4FB11" w14:textId="3D8DEC3C"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c>
          <w:tcPr>
            <w:tcW w:w="729" w:type="dxa"/>
            <w:hideMark/>
          </w:tcPr>
          <w:p w14:paraId="308064FD" w14:textId="1E1079CC"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w:t>
            </w:r>
          </w:p>
        </w:tc>
      </w:tr>
      <w:tr w:rsidR="001731F9" w:rsidRPr="00961669" w14:paraId="10A6384D" w14:textId="77777777" w:rsidTr="00961669">
        <w:trPr>
          <w:cnfStyle w:val="000000100000" w:firstRow="0" w:lastRow="0" w:firstColumn="0" w:lastColumn="0" w:oddVBand="0" w:evenVBand="0" w:oddHBand="1" w:evenHBand="0" w:firstRowFirstColumn="0" w:firstRowLastColumn="0" w:lastRowFirstColumn="0" w:lastRowLastColumn="0"/>
          <w:trHeight w:val="371"/>
        </w:trPr>
        <w:tc>
          <w:tcPr>
            <w:tcW w:w="1438" w:type="dxa"/>
            <w:tcBorders>
              <w:bottom w:val="single" w:sz="4" w:space="0" w:color="auto"/>
            </w:tcBorders>
            <w:hideMark/>
          </w:tcPr>
          <w:p w14:paraId="7C7A5D19" w14:textId="77777777" w:rsidR="001731F9" w:rsidRPr="00961669" w:rsidRDefault="001731F9" w:rsidP="001731F9">
            <w:pPr>
              <w:rPr>
                <w:rFonts w:ascii="Times New Roman" w:eastAsia="Times New Roman" w:hAnsi="Times New Roman" w:cs="Times New Roman"/>
                <w:b/>
                <w:bCs/>
                <w:sz w:val="20"/>
                <w:szCs w:val="20"/>
              </w:rPr>
            </w:pPr>
            <w:r w:rsidRPr="00961669">
              <w:rPr>
                <w:rFonts w:ascii="Times New Roman" w:eastAsia="Times New Roman" w:hAnsi="Times New Roman" w:cs="Times New Roman"/>
                <w:b/>
                <w:bCs/>
                <w:sz w:val="20"/>
                <w:szCs w:val="20"/>
              </w:rPr>
              <w:t>Normal</w:t>
            </w:r>
          </w:p>
        </w:tc>
        <w:tc>
          <w:tcPr>
            <w:tcW w:w="828" w:type="dxa"/>
            <w:tcBorders>
              <w:bottom w:val="single" w:sz="4" w:space="0" w:color="auto"/>
            </w:tcBorders>
            <w:hideMark/>
          </w:tcPr>
          <w:p w14:paraId="7D5272B4" w14:textId="26FEE024"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17</w:t>
            </w:r>
          </w:p>
        </w:tc>
        <w:tc>
          <w:tcPr>
            <w:tcW w:w="881" w:type="dxa"/>
            <w:tcBorders>
              <w:bottom w:val="single" w:sz="4" w:space="0" w:color="auto"/>
            </w:tcBorders>
          </w:tcPr>
          <w:p w14:paraId="3BE6876C" w14:textId="64E3E807"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0.98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0.02</w:t>
            </w:r>
          </w:p>
        </w:tc>
        <w:tc>
          <w:tcPr>
            <w:tcW w:w="880" w:type="dxa"/>
            <w:tcBorders>
              <w:bottom w:val="single" w:sz="4" w:space="0" w:color="auto"/>
            </w:tcBorders>
            <w:hideMark/>
          </w:tcPr>
          <w:p w14:paraId="5F074F83" w14:textId="66F764E5"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0.3 ± 0.1</w:t>
            </w:r>
          </w:p>
        </w:tc>
        <w:tc>
          <w:tcPr>
            <w:tcW w:w="670" w:type="dxa"/>
            <w:tcBorders>
              <w:bottom w:val="single" w:sz="4" w:space="0" w:color="auto"/>
            </w:tcBorders>
            <w:hideMark/>
          </w:tcPr>
          <w:p w14:paraId="368232A0" w14:textId="620B1AB3"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76%</w:t>
            </w:r>
          </w:p>
        </w:tc>
        <w:tc>
          <w:tcPr>
            <w:tcW w:w="725" w:type="dxa"/>
            <w:tcBorders>
              <w:bottom w:val="single" w:sz="4" w:space="0" w:color="auto"/>
            </w:tcBorders>
            <w:hideMark/>
          </w:tcPr>
          <w:p w14:paraId="3BDCFC64"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2</w:t>
            </w:r>
          </w:p>
        </w:tc>
        <w:tc>
          <w:tcPr>
            <w:tcW w:w="823" w:type="dxa"/>
            <w:tcBorders>
              <w:bottom w:val="single" w:sz="4" w:space="0" w:color="auto"/>
            </w:tcBorders>
          </w:tcPr>
          <w:p w14:paraId="6B04485F" w14:textId="74734D37"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0.99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0.01</w:t>
            </w:r>
          </w:p>
        </w:tc>
        <w:tc>
          <w:tcPr>
            <w:tcW w:w="823" w:type="dxa"/>
            <w:tcBorders>
              <w:bottom w:val="single" w:sz="4" w:space="0" w:color="auto"/>
            </w:tcBorders>
            <w:hideMark/>
          </w:tcPr>
          <w:p w14:paraId="27CB611F" w14:textId="025DFECA"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0.5 ± 0.1</w:t>
            </w:r>
          </w:p>
        </w:tc>
        <w:tc>
          <w:tcPr>
            <w:tcW w:w="727" w:type="dxa"/>
            <w:tcBorders>
              <w:bottom w:val="single" w:sz="4" w:space="0" w:color="auto"/>
            </w:tcBorders>
            <w:hideMark/>
          </w:tcPr>
          <w:p w14:paraId="40599F1B" w14:textId="7777777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w:t>
            </w:r>
          </w:p>
        </w:tc>
        <w:tc>
          <w:tcPr>
            <w:tcW w:w="725" w:type="dxa"/>
            <w:tcBorders>
              <w:bottom w:val="single" w:sz="4" w:space="0" w:color="auto"/>
            </w:tcBorders>
            <w:hideMark/>
          </w:tcPr>
          <w:p w14:paraId="4939952B" w14:textId="409E101D"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9</w:t>
            </w:r>
          </w:p>
        </w:tc>
        <w:tc>
          <w:tcPr>
            <w:tcW w:w="790" w:type="dxa"/>
            <w:tcBorders>
              <w:bottom w:val="single" w:sz="4" w:space="0" w:color="auto"/>
            </w:tcBorders>
          </w:tcPr>
          <w:p w14:paraId="5471323E" w14:textId="184F0FFC"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0.98 </w:t>
            </w:r>
            <w:r w:rsidRPr="0096166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0.02</w:t>
            </w:r>
          </w:p>
        </w:tc>
        <w:tc>
          <w:tcPr>
            <w:tcW w:w="789" w:type="dxa"/>
            <w:tcBorders>
              <w:bottom w:val="single" w:sz="4" w:space="0" w:color="auto"/>
            </w:tcBorders>
            <w:hideMark/>
          </w:tcPr>
          <w:p w14:paraId="411C5B9A" w14:textId="1240A11B"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0.3 ± 0.2</w:t>
            </w:r>
          </w:p>
        </w:tc>
        <w:tc>
          <w:tcPr>
            <w:tcW w:w="722" w:type="dxa"/>
            <w:tcBorders>
              <w:bottom w:val="single" w:sz="4" w:space="0" w:color="auto"/>
            </w:tcBorders>
            <w:hideMark/>
          </w:tcPr>
          <w:p w14:paraId="77F2F9A2" w14:textId="724BCB87"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88%</w:t>
            </w:r>
          </w:p>
        </w:tc>
        <w:tc>
          <w:tcPr>
            <w:tcW w:w="762" w:type="dxa"/>
            <w:tcBorders>
              <w:bottom w:val="single" w:sz="4" w:space="0" w:color="auto"/>
            </w:tcBorders>
            <w:hideMark/>
          </w:tcPr>
          <w:p w14:paraId="3F5FC220" w14:textId="54377EDF"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6</w:t>
            </w:r>
          </w:p>
        </w:tc>
        <w:tc>
          <w:tcPr>
            <w:tcW w:w="823" w:type="dxa"/>
            <w:tcBorders>
              <w:bottom w:val="single" w:sz="4" w:space="0" w:color="auto"/>
            </w:tcBorders>
          </w:tcPr>
          <w:p w14:paraId="1AE55824" w14:textId="2026541F" w:rsidR="001731F9" w:rsidRPr="00961669" w:rsidRDefault="001731F9" w:rsidP="001731F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0.99 </w:t>
            </w:r>
            <w:r w:rsidRPr="0096166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0.01</w:t>
            </w:r>
          </w:p>
        </w:tc>
        <w:tc>
          <w:tcPr>
            <w:tcW w:w="823" w:type="dxa"/>
            <w:tcBorders>
              <w:bottom w:val="single" w:sz="4" w:space="0" w:color="auto"/>
            </w:tcBorders>
            <w:hideMark/>
          </w:tcPr>
          <w:p w14:paraId="57A70C48" w14:textId="60C25936"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0.2 ± 0.1</w:t>
            </w:r>
          </w:p>
        </w:tc>
        <w:tc>
          <w:tcPr>
            <w:tcW w:w="729" w:type="dxa"/>
            <w:tcBorders>
              <w:bottom w:val="single" w:sz="4" w:space="0" w:color="auto"/>
            </w:tcBorders>
            <w:hideMark/>
          </w:tcPr>
          <w:p w14:paraId="3E8F0B03" w14:textId="56FFE96A" w:rsidR="001731F9" w:rsidRPr="00961669" w:rsidRDefault="001731F9" w:rsidP="001731F9">
            <w:pPr>
              <w:rPr>
                <w:rFonts w:ascii="Times New Roman" w:eastAsia="Times New Roman" w:hAnsi="Times New Roman" w:cs="Times New Roman"/>
                <w:sz w:val="20"/>
                <w:szCs w:val="20"/>
              </w:rPr>
            </w:pPr>
            <w:r w:rsidRPr="00961669">
              <w:rPr>
                <w:rFonts w:ascii="Times New Roman" w:eastAsia="Times New Roman" w:hAnsi="Times New Roman" w:cs="Times New Roman"/>
                <w:sz w:val="20"/>
                <w:szCs w:val="20"/>
              </w:rPr>
              <w:t>83%</w:t>
            </w:r>
          </w:p>
        </w:tc>
      </w:tr>
      <w:tr w:rsidR="001731F9" w:rsidRPr="00CF1FD4" w14:paraId="1EF68164" w14:textId="77777777" w:rsidTr="002F2BAE">
        <w:trPr>
          <w:trHeight w:val="371"/>
        </w:trPr>
        <w:tc>
          <w:tcPr>
            <w:tcW w:w="13958" w:type="dxa"/>
            <w:gridSpan w:val="17"/>
            <w:tcBorders>
              <w:top w:val="single" w:sz="4" w:space="0" w:color="auto"/>
              <w:bottom w:val="single" w:sz="4" w:space="0" w:color="auto"/>
            </w:tcBorders>
          </w:tcPr>
          <w:p w14:paraId="53CA9D04" w14:textId="6B7329A7" w:rsidR="001731F9" w:rsidRPr="00961669" w:rsidRDefault="001731F9" w:rsidP="001731F9">
            <w:pPr>
              <w:rPr>
                <w:rFonts w:ascii="Times New Roman" w:eastAsia="Times New Roman" w:hAnsi="Times New Roman" w:cs="Times New Roman"/>
                <w:sz w:val="20"/>
                <w:szCs w:val="20"/>
                <w:lang w:val="en-US"/>
              </w:rPr>
            </w:pPr>
            <w:r w:rsidRPr="00961669">
              <w:rPr>
                <w:rFonts w:ascii="Times New Roman" w:eastAsia="Times New Roman" w:hAnsi="Times New Roman" w:cs="Times New Roman"/>
                <w:sz w:val="20"/>
                <w:szCs w:val="20"/>
                <w:lang w:val="en-US"/>
              </w:rPr>
              <w:t>AD=Alzheimer disease; FTD=frontotemporal dementia; DLB =dementia with Lewy bodies; MCI=mild cognitive impairment; CU=cognitively unimpaired, SMC=simple matching coefficient</w:t>
            </w:r>
          </w:p>
        </w:tc>
      </w:tr>
    </w:tbl>
    <w:p w14:paraId="05DC5EC4" w14:textId="77777777" w:rsidR="00080840" w:rsidRDefault="00080840" w:rsidP="00FE3946">
      <w:pPr>
        <w:rPr>
          <w:rFonts w:ascii="Times New Roman" w:hAnsi="Times New Roman" w:cs="Times New Roman"/>
          <w:b/>
          <w:bCs/>
          <w:sz w:val="24"/>
          <w:szCs w:val="24"/>
          <w:lang w:val="en-US"/>
        </w:rPr>
      </w:pPr>
    </w:p>
    <w:p w14:paraId="0166379A" w14:textId="2014113E" w:rsidR="00C17C3A" w:rsidRPr="006A2058" w:rsidRDefault="00C17C3A" w:rsidP="00C17C3A">
      <w:pPr>
        <w:jc w:val="both"/>
        <w:rPr>
          <w:rFonts w:ascii="Times New Roman" w:hAnsi="Times New Roman" w:cs="Times New Roman"/>
          <w:lang w:val="en-US"/>
        </w:rPr>
      </w:pPr>
      <w:r w:rsidRPr="006A2058">
        <w:rPr>
          <w:rFonts w:ascii="Times New Roman" w:hAnsi="Times New Roman" w:cs="Times New Roman"/>
          <w:b/>
          <w:bCs/>
          <w:lang w:val="en-US"/>
        </w:rPr>
        <w:t xml:space="preserve">Figure </w:t>
      </w:r>
      <w:r>
        <w:rPr>
          <w:rFonts w:ascii="Times New Roman" w:hAnsi="Times New Roman" w:cs="Times New Roman"/>
          <w:b/>
          <w:bCs/>
          <w:lang w:val="en-US"/>
        </w:rPr>
        <w:t>S</w:t>
      </w:r>
      <w:r w:rsidRPr="006A2058">
        <w:rPr>
          <w:rFonts w:ascii="Times New Roman" w:hAnsi="Times New Roman" w:cs="Times New Roman"/>
          <w:b/>
          <w:bCs/>
          <w:lang w:val="en-US"/>
        </w:rPr>
        <w:t xml:space="preserve">1. </w:t>
      </w:r>
      <w:r w:rsidR="00AB194C">
        <w:rPr>
          <w:rFonts w:ascii="Times New Roman" w:hAnsi="Times New Roman" w:cs="Times New Roman"/>
          <w:b/>
          <w:bCs/>
          <w:lang w:val="en-US"/>
        </w:rPr>
        <w:t>Alternative m</w:t>
      </w:r>
      <w:r w:rsidRPr="006A2058">
        <w:rPr>
          <w:rFonts w:ascii="Times New Roman" w:hAnsi="Times New Roman" w:cs="Times New Roman"/>
          <w:b/>
          <w:bCs/>
          <w:lang w:val="en-US"/>
        </w:rPr>
        <w:t>eta</w:t>
      </w:r>
      <w:r w:rsidR="00AB194C">
        <w:rPr>
          <w:rFonts w:ascii="Times New Roman" w:hAnsi="Times New Roman" w:cs="Times New Roman"/>
          <w:b/>
          <w:bCs/>
          <w:lang w:val="en-US"/>
        </w:rPr>
        <w:t>-</w:t>
      </w:r>
      <w:r w:rsidRPr="006A2058">
        <w:rPr>
          <w:rFonts w:ascii="Times New Roman" w:hAnsi="Times New Roman" w:cs="Times New Roman"/>
          <w:b/>
          <w:bCs/>
          <w:lang w:val="en-US"/>
        </w:rPr>
        <w:t xml:space="preserve">ROI for </w:t>
      </w:r>
      <w:r w:rsidR="00AB194C">
        <w:rPr>
          <w:rFonts w:ascii="Times New Roman" w:hAnsi="Times New Roman" w:cs="Times New Roman"/>
          <w:b/>
          <w:bCs/>
          <w:lang w:val="en-US"/>
        </w:rPr>
        <w:t>AD-related pattern</w:t>
      </w:r>
      <w:r w:rsidRPr="006A2058">
        <w:rPr>
          <w:rFonts w:ascii="Times New Roman" w:hAnsi="Times New Roman" w:cs="Times New Roman"/>
          <w:b/>
          <w:bCs/>
          <w:lang w:val="en-US"/>
        </w:rPr>
        <w:t xml:space="preserve">. </w:t>
      </w:r>
      <w:r w:rsidRPr="006A2058">
        <w:rPr>
          <w:rFonts w:ascii="Times New Roman" w:hAnsi="Times New Roman" w:cs="Times New Roman"/>
          <w:lang w:val="en-US"/>
        </w:rPr>
        <w:t xml:space="preserve">The </w:t>
      </w:r>
      <w:r w:rsidR="00AB194C">
        <w:rPr>
          <w:rFonts w:ascii="Times New Roman" w:hAnsi="Times New Roman" w:cs="Times New Roman"/>
          <w:lang w:val="en-US"/>
        </w:rPr>
        <w:t>meta-</w:t>
      </w:r>
      <w:r w:rsidRPr="006A2058">
        <w:rPr>
          <w:rFonts w:ascii="Times New Roman" w:hAnsi="Times New Roman" w:cs="Times New Roman"/>
          <w:lang w:val="en-US"/>
        </w:rPr>
        <w:t xml:space="preserve">ROI </w:t>
      </w:r>
      <w:r w:rsidR="00AB194C">
        <w:rPr>
          <w:rFonts w:ascii="Times New Roman" w:hAnsi="Times New Roman" w:cs="Times New Roman"/>
          <w:lang w:val="en-US"/>
        </w:rPr>
        <w:t xml:space="preserve">is based on </w:t>
      </w:r>
      <w:r w:rsidR="002300FF">
        <w:rPr>
          <w:rFonts w:ascii="Times New Roman" w:hAnsi="Times New Roman" w:cs="Times New Roman"/>
          <w:lang w:val="en-US"/>
        </w:rPr>
        <w:t>previous</w:t>
      </w:r>
      <w:r w:rsidR="00AB194C">
        <w:rPr>
          <w:rFonts w:ascii="Times New Roman" w:hAnsi="Times New Roman" w:cs="Times New Roman"/>
          <w:lang w:val="en-US"/>
        </w:rPr>
        <w:t xml:space="preserve"> literature </w:t>
      </w:r>
      <w:r w:rsidR="002300FF">
        <w:rPr>
          <w:rFonts w:ascii="Times New Roman" w:hAnsi="Times New Roman" w:cs="Times New Roman"/>
          <w:lang w:val="en-US"/>
        </w:rPr>
        <w:t>resembling</w:t>
      </w:r>
      <w:r w:rsidRPr="006A2058">
        <w:rPr>
          <w:rFonts w:ascii="Times New Roman" w:hAnsi="Times New Roman" w:cs="Times New Roman"/>
          <w:lang w:val="en-US"/>
        </w:rPr>
        <w:t xml:space="preserve"> the Alzheimer’s disease-typical hypometabolic pattern including temporoparietal regions and has been used to extract the SUVR for early-phase perfusion</w:t>
      </w:r>
      <w:r w:rsidR="002300FF">
        <w:rPr>
          <w:rFonts w:ascii="Times New Roman" w:hAnsi="Times New Roman" w:cs="Times New Roman"/>
          <w:lang w:val="en-US"/>
        </w:rPr>
        <w:t xml:space="preserve"> and hypometabolic</w:t>
      </w:r>
      <w:r w:rsidRPr="006A2058">
        <w:rPr>
          <w:rFonts w:ascii="Times New Roman" w:hAnsi="Times New Roman" w:cs="Times New Roman"/>
          <w:lang w:val="en-US"/>
        </w:rPr>
        <w:t xml:space="preserve"> images</w:t>
      </w:r>
      <w:r w:rsidR="002300FF">
        <w:rPr>
          <w:rFonts w:ascii="Times New Roman" w:hAnsi="Times New Roman" w:cs="Times New Roman"/>
          <w:lang w:val="en-US"/>
        </w:rPr>
        <w:t xml:space="preserve"> as an alternative and parallel approach to Landau’s AD composite meta-ROI.</w:t>
      </w:r>
    </w:p>
    <w:p w14:paraId="496FBB87" w14:textId="0AC3D56B" w:rsidR="00C17C3A" w:rsidRPr="00854CD4" w:rsidRDefault="00C17C3A" w:rsidP="00C17C3A">
      <w:pPr>
        <w:rPr>
          <w:lang w:val="en-US"/>
        </w:rPr>
      </w:pPr>
    </w:p>
    <w:p w14:paraId="41A351D4" w14:textId="6F38AB7F" w:rsidR="00C17C3A" w:rsidRDefault="00D11084" w:rsidP="00D11084">
      <w:pPr>
        <w:jc w:val="center"/>
        <w:rPr>
          <w:lang w:val="en-US"/>
        </w:rPr>
      </w:pPr>
      <w:r>
        <w:rPr>
          <w:noProof/>
          <w:lang w:val="en-US"/>
        </w:rPr>
        <w:lastRenderedPageBreak/>
        <w:drawing>
          <wp:inline distT="0" distB="0" distL="0" distR="0" wp14:anchorId="6592B9CD" wp14:editId="4C85C4A8">
            <wp:extent cx="4419600" cy="2667158"/>
            <wp:effectExtent l="0" t="0" r="0" b="0"/>
            <wp:docPr id="1210157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4909" cy="2676397"/>
                    </a:xfrm>
                    <a:prstGeom prst="rect">
                      <a:avLst/>
                    </a:prstGeom>
                    <a:noFill/>
                  </pic:spPr>
                </pic:pic>
              </a:graphicData>
            </a:graphic>
          </wp:inline>
        </w:drawing>
      </w:r>
    </w:p>
    <w:p w14:paraId="26BBCCC4" w14:textId="77777777" w:rsidR="00C17C3A" w:rsidRDefault="00C17C3A" w:rsidP="00C17C3A">
      <w:pPr>
        <w:rPr>
          <w:lang w:val="en-US"/>
        </w:rPr>
      </w:pPr>
    </w:p>
    <w:p w14:paraId="58430B7A" w14:textId="7CEDB85A" w:rsidR="005A2A2E" w:rsidRDefault="005A2A2E" w:rsidP="00EC0C76">
      <w:pPr>
        <w:spacing w:line="480" w:lineRule="auto"/>
        <w:rPr>
          <w:rFonts w:ascii="Times New Roman" w:hAnsi="Times New Roman" w:cs="Times New Roman"/>
          <w:b/>
          <w:bCs/>
          <w:sz w:val="24"/>
          <w:szCs w:val="24"/>
          <w:lang w:val="en-US"/>
        </w:rPr>
      </w:pPr>
      <w:r w:rsidRPr="005A2A2E">
        <w:rPr>
          <w:rFonts w:ascii="Times New Roman" w:hAnsi="Times New Roman" w:cs="Times New Roman"/>
          <w:b/>
          <w:bCs/>
          <w:sz w:val="24"/>
          <w:szCs w:val="24"/>
          <w:lang w:val="en-US"/>
        </w:rPr>
        <w:t>References</w:t>
      </w:r>
    </w:p>
    <w:p w14:paraId="150D18D8" w14:textId="07FCD728" w:rsidR="00F37B35" w:rsidRPr="00C02A5B" w:rsidRDefault="005A2A2E" w:rsidP="00F37B35">
      <w:pPr>
        <w:widowControl w:val="0"/>
        <w:autoSpaceDE w:val="0"/>
        <w:autoSpaceDN w:val="0"/>
        <w:adjustRightInd w:val="0"/>
        <w:spacing w:line="480" w:lineRule="auto"/>
        <w:ind w:left="640" w:hanging="640"/>
        <w:rPr>
          <w:rFonts w:ascii="Times New Roman" w:hAnsi="Times New Roman" w:cs="Times New Roman"/>
          <w:noProof/>
          <w:sz w:val="24"/>
          <w:lang w:val="en-US"/>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00F37B35" w:rsidRPr="00C02A5B">
        <w:rPr>
          <w:rFonts w:ascii="Times New Roman" w:hAnsi="Times New Roman" w:cs="Times New Roman"/>
          <w:noProof/>
          <w:sz w:val="24"/>
          <w:lang w:val="en-US"/>
        </w:rPr>
        <w:t xml:space="preserve">1. </w:t>
      </w:r>
      <w:r w:rsidR="00F37B35" w:rsidRPr="00C02A5B">
        <w:rPr>
          <w:rFonts w:ascii="Times New Roman" w:hAnsi="Times New Roman" w:cs="Times New Roman"/>
          <w:noProof/>
          <w:sz w:val="24"/>
          <w:lang w:val="en-US"/>
        </w:rPr>
        <w:tab/>
        <w:t xml:space="preserve">Guedj E, Varrone A, Boellaard R, et al. EANM procedure guidelines for brain PET imaging using [18F]FDG, version 3. </w:t>
      </w:r>
      <w:r w:rsidR="00F37B35" w:rsidRPr="00C02A5B">
        <w:rPr>
          <w:rFonts w:ascii="Times New Roman" w:hAnsi="Times New Roman" w:cs="Times New Roman"/>
          <w:i/>
          <w:iCs/>
          <w:noProof/>
          <w:sz w:val="24"/>
          <w:lang w:val="en-US"/>
        </w:rPr>
        <w:t>Eur J Nucl Med Mol Imaging</w:t>
      </w:r>
      <w:r w:rsidR="00F37B35" w:rsidRPr="00C02A5B">
        <w:rPr>
          <w:rFonts w:ascii="Times New Roman" w:hAnsi="Times New Roman" w:cs="Times New Roman"/>
          <w:noProof/>
          <w:sz w:val="24"/>
          <w:lang w:val="en-US"/>
        </w:rPr>
        <w:t>. 2021.</w:t>
      </w:r>
    </w:p>
    <w:p w14:paraId="327EC36D" w14:textId="77777777" w:rsidR="00F37B35" w:rsidRPr="00C02A5B" w:rsidRDefault="00F37B35" w:rsidP="00F37B35">
      <w:pPr>
        <w:widowControl w:val="0"/>
        <w:autoSpaceDE w:val="0"/>
        <w:autoSpaceDN w:val="0"/>
        <w:adjustRightInd w:val="0"/>
        <w:spacing w:line="480" w:lineRule="auto"/>
        <w:ind w:left="640" w:hanging="640"/>
        <w:rPr>
          <w:rFonts w:ascii="Times New Roman" w:hAnsi="Times New Roman" w:cs="Times New Roman"/>
          <w:noProof/>
          <w:sz w:val="24"/>
          <w:lang w:val="en-US"/>
        </w:rPr>
      </w:pPr>
      <w:r w:rsidRPr="00C02A5B">
        <w:rPr>
          <w:rFonts w:ascii="Times New Roman" w:hAnsi="Times New Roman" w:cs="Times New Roman"/>
          <w:noProof/>
          <w:sz w:val="24"/>
          <w:lang w:val="en-US"/>
        </w:rPr>
        <w:t xml:space="preserve">2. </w:t>
      </w:r>
      <w:r w:rsidRPr="00C02A5B">
        <w:rPr>
          <w:rFonts w:ascii="Times New Roman" w:hAnsi="Times New Roman" w:cs="Times New Roman"/>
          <w:noProof/>
          <w:sz w:val="24"/>
          <w:lang w:val="en-US"/>
        </w:rPr>
        <w:tab/>
        <w:t xml:space="preserve">Boellaard R, Delgado-Bolton R, Oyen WJG, et al. FDG PET/CT: EANM procedure guidelines for tumour imaging: version 2.0. </w:t>
      </w:r>
      <w:r w:rsidRPr="00C02A5B">
        <w:rPr>
          <w:rFonts w:ascii="Times New Roman" w:hAnsi="Times New Roman" w:cs="Times New Roman"/>
          <w:i/>
          <w:iCs/>
          <w:noProof/>
          <w:sz w:val="24"/>
          <w:lang w:val="en-US"/>
        </w:rPr>
        <w:t>Eur J Nucl Med Mol Imaging</w:t>
      </w:r>
      <w:r w:rsidRPr="00C02A5B">
        <w:rPr>
          <w:rFonts w:ascii="Times New Roman" w:hAnsi="Times New Roman" w:cs="Times New Roman"/>
          <w:noProof/>
          <w:sz w:val="24"/>
          <w:lang w:val="en-US"/>
        </w:rPr>
        <w:t>. 2015;42:328-354.</w:t>
      </w:r>
    </w:p>
    <w:p w14:paraId="441C05D6" w14:textId="77777777" w:rsidR="00F37B35" w:rsidRPr="00C02A5B" w:rsidRDefault="00F37B35" w:rsidP="00F37B35">
      <w:pPr>
        <w:widowControl w:val="0"/>
        <w:autoSpaceDE w:val="0"/>
        <w:autoSpaceDN w:val="0"/>
        <w:adjustRightInd w:val="0"/>
        <w:spacing w:line="480" w:lineRule="auto"/>
        <w:ind w:left="640" w:hanging="640"/>
        <w:rPr>
          <w:rFonts w:ascii="Times New Roman" w:hAnsi="Times New Roman" w:cs="Times New Roman"/>
          <w:noProof/>
          <w:sz w:val="24"/>
          <w:lang w:val="en-US"/>
        </w:rPr>
      </w:pPr>
      <w:r w:rsidRPr="00C02A5B">
        <w:rPr>
          <w:rFonts w:ascii="Times New Roman" w:hAnsi="Times New Roman" w:cs="Times New Roman"/>
          <w:noProof/>
          <w:sz w:val="24"/>
          <w:lang w:val="en-US"/>
        </w:rPr>
        <w:t xml:space="preserve">3. </w:t>
      </w:r>
      <w:r w:rsidRPr="00C02A5B">
        <w:rPr>
          <w:rFonts w:ascii="Times New Roman" w:hAnsi="Times New Roman" w:cs="Times New Roman"/>
          <w:noProof/>
          <w:sz w:val="24"/>
          <w:lang w:val="en-US"/>
        </w:rPr>
        <w:tab/>
        <w:t xml:space="preserve">Shcherbinin S, Schwarz AJ, Joshi A, et al. Kinetics of the tau PET tracer 18F-AV-1451 (T807) in subjects with normal cognitive function, mild cognitive impairment, and Alzheimer disease. </w:t>
      </w:r>
      <w:r w:rsidRPr="00C02A5B">
        <w:rPr>
          <w:rFonts w:ascii="Times New Roman" w:hAnsi="Times New Roman" w:cs="Times New Roman"/>
          <w:i/>
          <w:iCs/>
          <w:noProof/>
          <w:sz w:val="24"/>
          <w:lang w:val="en-US"/>
        </w:rPr>
        <w:t>J Nucl Med</w:t>
      </w:r>
      <w:r w:rsidRPr="00C02A5B">
        <w:rPr>
          <w:rFonts w:ascii="Times New Roman" w:hAnsi="Times New Roman" w:cs="Times New Roman"/>
          <w:noProof/>
          <w:sz w:val="24"/>
          <w:lang w:val="en-US"/>
        </w:rPr>
        <w:t>. 2016.</w:t>
      </w:r>
    </w:p>
    <w:p w14:paraId="0218C966" w14:textId="77777777" w:rsidR="00F37B35" w:rsidRPr="00C02A5B" w:rsidRDefault="00F37B35" w:rsidP="00F37B35">
      <w:pPr>
        <w:widowControl w:val="0"/>
        <w:autoSpaceDE w:val="0"/>
        <w:autoSpaceDN w:val="0"/>
        <w:adjustRightInd w:val="0"/>
        <w:spacing w:line="480" w:lineRule="auto"/>
        <w:ind w:left="640" w:hanging="640"/>
        <w:rPr>
          <w:rFonts w:ascii="Times New Roman" w:hAnsi="Times New Roman" w:cs="Times New Roman"/>
          <w:noProof/>
          <w:sz w:val="24"/>
          <w:lang w:val="en-US"/>
        </w:rPr>
      </w:pPr>
      <w:r w:rsidRPr="00C02A5B">
        <w:rPr>
          <w:rFonts w:ascii="Times New Roman" w:hAnsi="Times New Roman" w:cs="Times New Roman"/>
          <w:noProof/>
          <w:sz w:val="24"/>
          <w:lang w:val="en-US"/>
        </w:rPr>
        <w:lastRenderedPageBreak/>
        <w:t xml:space="preserve">4. </w:t>
      </w:r>
      <w:r w:rsidRPr="00C02A5B">
        <w:rPr>
          <w:rFonts w:ascii="Times New Roman" w:hAnsi="Times New Roman" w:cs="Times New Roman"/>
          <w:noProof/>
          <w:sz w:val="24"/>
          <w:lang w:val="en-US"/>
        </w:rPr>
        <w:tab/>
        <w:t xml:space="preserve">Fleisher AS, Pontecorvo MJ, Devous MD, et al. Positron Emission Tomography Imaging with [18F]flortaucipir and Postmortem Assessment of Alzheimer Disease Neuropathologic Changes. </w:t>
      </w:r>
      <w:r w:rsidRPr="00C02A5B">
        <w:rPr>
          <w:rFonts w:ascii="Times New Roman" w:hAnsi="Times New Roman" w:cs="Times New Roman"/>
          <w:i/>
          <w:iCs/>
          <w:noProof/>
          <w:sz w:val="24"/>
          <w:lang w:val="en-US"/>
        </w:rPr>
        <w:t>JAMA Neurol</w:t>
      </w:r>
      <w:r w:rsidRPr="00C02A5B">
        <w:rPr>
          <w:rFonts w:ascii="Times New Roman" w:hAnsi="Times New Roman" w:cs="Times New Roman"/>
          <w:noProof/>
          <w:sz w:val="24"/>
          <w:lang w:val="en-US"/>
        </w:rPr>
        <w:t>. 2020.</w:t>
      </w:r>
    </w:p>
    <w:p w14:paraId="0BF2FBB1" w14:textId="77777777" w:rsidR="00F37B35" w:rsidRPr="00C02A5B" w:rsidRDefault="00F37B35" w:rsidP="00F37B35">
      <w:pPr>
        <w:widowControl w:val="0"/>
        <w:autoSpaceDE w:val="0"/>
        <w:autoSpaceDN w:val="0"/>
        <w:adjustRightInd w:val="0"/>
        <w:spacing w:line="480" w:lineRule="auto"/>
        <w:ind w:left="640" w:hanging="640"/>
        <w:rPr>
          <w:rFonts w:ascii="Times New Roman" w:hAnsi="Times New Roman" w:cs="Times New Roman"/>
          <w:noProof/>
          <w:sz w:val="24"/>
          <w:lang w:val="en-US"/>
        </w:rPr>
      </w:pPr>
      <w:r w:rsidRPr="00C02A5B">
        <w:rPr>
          <w:rFonts w:ascii="Times New Roman" w:hAnsi="Times New Roman" w:cs="Times New Roman"/>
          <w:noProof/>
          <w:sz w:val="24"/>
          <w:lang w:val="en-US"/>
        </w:rPr>
        <w:t xml:space="preserve">5. </w:t>
      </w:r>
      <w:r w:rsidRPr="00C02A5B">
        <w:rPr>
          <w:rFonts w:ascii="Times New Roman" w:hAnsi="Times New Roman" w:cs="Times New Roman"/>
          <w:noProof/>
          <w:sz w:val="24"/>
          <w:lang w:val="en-US"/>
        </w:rPr>
        <w:tab/>
        <w:t xml:space="preserve">Mathoux G, Boccalini C, Peretti DE, et al. A comparison of visual assessment and semi-quantification for the diagnostic and prognostic use of [18F] flortaucipir PET in a memory clinic cohort. </w:t>
      </w:r>
      <w:r w:rsidRPr="00C02A5B">
        <w:rPr>
          <w:rFonts w:ascii="Times New Roman" w:hAnsi="Times New Roman" w:cs="Times New Roman"/>
          <w:i/>
          <w:iCs/>
          <w:noProof/>
          <w:sz w:val="24"/>
          <w:lang w:val="en-US"/>
        </w:rPr>
        <w:t>Eur J Nucl Med Mol Imaging</w:t>
      </w:r>
      <w:r w:rsidRPr="00C02A5B">
        <w:rPr>
          <w:rFonts w:ascii="Times New Roman" w:hAnsi="Times New Roman" w:cs="Times New Roman"/>
          <w:noProof/>
          <w:sz w:val="24"/>
          <w:lang w:val="en-US"/>
        </w:rPr>
        <w:t>. 2024:1-12.</w:t>
      </w:r>
    </w:p>
    <w:p w14:paraId="03AE5A2C" w14:textId="77777777" w:rsidR="00F37B35" w:rsidRPr="00F37B35" w:rsidRDefault="00F37B35" w:rsidP="00F37B35">
      <w:pPr>
        <w:widowControl w:val="0"/>
        <w:autoSpaceDE w:val="0"/>
        <w:autoSpaceDN w:val="0"/>
        <w:adjustRightInd w:val="0"/>
        <w:spacing w:line="480" w:lineRule="auto"/>
        <w:ind w:left="640" w:hanging="640"/>
        <w:rPr>
          <w:rFonts w:ascii="Times New Roman" w:hAnsi="Times New Roman" w:cs="Times New Roman"/>
          <w:noProof/>
          <w:sz w:val="24"/>
        </w:rPr>
      </w:pPr>
      <w:r w:rsidRPr="00C02A5B">
        <w:rPr>
          <w:rFonts w:ascii="Times New Roman" w:hAnsi="Times New Roman" w:cs="Times New Roman"/>
          <w:noProof/>
          <w:sz w:val="24"/>
          <w:lang w:val="en-US"/>
        </w:rPr>
        <w:t xml:space="preserve">6. </w:t>
      </w:r>
      <w:r w:rsidRPr="00C02A5B">
        <w:rPr>
          <w:rFonts w:ascii="Times New Roman" w:hAnsi="Times New Roman" w:cs="Times New Roman"/>
          <w:noProof/>
          <w:sz w:val="24"/>
          <w:lang w:val="en-US"/>
        </w:rPr>
        <w:tab/>
        <w:t xml:space="preserve">Savio A, Fünger S, Tahmasian M, et al. Resting-state networks as simultaneously measured with functional MRI and PET. </w:t>
      </w:r>
      <w:r w:rsidRPr="00F37B35">
        <w:rPr>
          <w:rFonts w:ascii="Times New Roman" w:hAnsi="Times New Roman" w:cs="Times New Roman"/>
          <w:i/>
          <w:iCs/>
          <w:noProof/>
          <w:sz w:val="24"/>
        </w:rPr>
        <w:t>J Nucl Med</w:t>
      </w:r>
      <w:r w:rsidRPr="00F37B35">
        <w:rPr>
          <w:rFonts w:ascii="Times New Roman" w:hAnsi="Times New Roman" w:cs="Times New Roman"/>
          <w:noProof/>
          <w:sz w:val="24"/>
        </w:rPr>
        <w:t>. 2017;58:1314-1317.</w:t>
      </w:r>
    </w:p>
    <w:p w14:paraId="52C5FC2D" w14:textId="77777777" w:rsidR="00F37B35" w:rsidRPr="00F37B35" w:rsidRDefault="00F37B35" w:rsidP="00F37B35">
      <w:pPr>
        <w:widowControl w:val="0"/>
        <w:autoSpaceDE w:val="0"/>
        <w:autoSpaceDN w:val="0"/>
        <w:adjustRightInd w:val="0"/>
        <w:spacing w:line="480" w:lineRule="auto"/>
        <w:ind w:left="640" w:hanging="640"/>
        <w:rPr>
          <w:rFonts w:ascii="Times New Roman" w:hAnsi="Times New Roman" w:cs="Times New Roman"/>
          <w:noProof/>
          <w:sz w:val="24"/>
        </w:rPr>
      </w:pPr>
      <w:r w:rsidRPr="00F37B35">
        <w:rPr>
          <w:rFonts w:ascii="Times New Roman" w:hAnsi="Times New Roman" w:cs="Times New Roman"/>
          <w:noProof/>
          <w:sz w:val="24"/>
        </w:rPr>
        <w:t xml:space="preserve">7. </w:t>
      </w:r>
      <w:r w:rsidRPr="00F37B35">
        <w:rPr>
          <w:rFonts w:ascii="Times New Roman" w:hAnsi="Times New Roman" w:cs="Times New Roman"/>
          <w:noProof/>
          <w:sz w:val="24"/>
        </w:rPr>
        <w:tab/>
        <w:t xml:space="preserve">Perani D, Della Rosa PA, Cerami C, et al. </w:t>
      </w:r>
      <w:r w:rsidRPr="00C02A5B">
        <w:rPr>
          <w:rFonts w:ascii="Times New Roman" w:hAnsi="Times New Roman" w:cs="Times New Roman"/>
          <w:noProof/>
          <w:sz w:val="24"/>
          <w:lang w:val="en-US"/>
        </w:rPr>
        <w:t xml:space="preserve">Validation of an optimized SPM procedure for FDG-PET in dementia diagnosis in a clinical setting. </w:t>
      </w:r>
      <w:r w:rsidRPr="00F37B35">
        <w:rPr>
          <w:rFonts w:ascii="Times New Roman" w:hAnsi="Times New Roman" w:cs="Times New Roman"/>
          <w:i/>
          <w:iCs/>
          <w:noProof/>
          <w:sz w:val="24"/>
        </w:rPr>
        <w:t>NeuroImage Clin</w:t>
      </w:r>
      <w:r w:rsidRPr="00F37B35">
        <w:rPr>
          <w:rFonts w:ascii="Times New Roman" w:hAnsi="Times New Roman" w:cs="Times New Roman"/>
          <w:noProof/>
          <w:sz w:val="24"/>
        </w:rPr>
        <w:t>. 2014;6:445-454.</w:t>
      </w:r>
    </w:p>
    <w:p w14:paraId="46C64324" w14:textId="6765BDB9" w:rsidR="005A2A2E" w:rsidRPr="005A2A2E" w:rsidRDefault="005A2A2E" w:rsidP="00EC0C76">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sectPr w:rsidR="005A2A2E" w:rsidRPr="005A2A2E" w:rsidSect="009672C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N7AwN7MwMTOyMDBS0lEKTi0uzszPAykwNKgFANjKj1MtAAAA"/>
  </w:docVars>
  <w:rsids>
    <w:rsidRoot w:val="00383E48"/>
    <w:rsid w:val="00000DDF"/>
    <w:rsid w:val="00012056"/>
    <w:rsid w:val="00020931"/>
    <w:rsid w:val="000273F3"/>
    <w:rsid w:val="00080840"/>
    <w:rsid w:val="00084906"/>
    <w:rsid w:val="000A579C"/>
    <w:rsid w:val="000A6C0C"/>
    <w:rsid w:val="000B6BE2"/>
    <w:rsid w:val="000F224E"/>
    <w:rsid w:val="0012199E"/>
    <w:rsid w:val="00134668"/>
    <w:rsid w:val="00162AC3"/>
    <w:rsid w:val="001731F9"/>
    <w:rsid w:val="00190FC2"/>
    <w:rsid w:val="00194A58"/>
    <w:rsid w:val="001B0707"/>
    <w:rsid w:val="001F1DC1"/>
    <w:rsid w:val="00206EA9"/>
    <w:rsid w:val="002300FF"/>
    <w:rsid w:val="00230D2B"/>
    <w:rsid w:val="00243D4C"/>
    <w:rsid w:val="00250C64"/>
    <w:rsid w:val="00273BE8"/>
    <w:rsid w:val="00293952"/>
    <w:rsid w:val="002A6DA6"/>
    <w:rsid w:val="002B6E2C"/>
    <w:rsid w:val="002C31D4"/>
    <w:rsid w:val="002D1E78"/>
    <w:rsid w:val="002E0049"/>
    <w:rsid w:val="003337EA"/>
    <w:rsid w:val="0034086E"/>
    <w:rsid w:val="003677A0"/>
    <w:rsid w:val="00383E48"/>
    <w:rsid w:val="003E7508"/>
    <w:rsid w:val="003F6A99"/>
    <w:rsid w:val="00450BFA"/>
    <w:rsid w:val="004665E8"/>
    <w:rsid w:val="004B2383"/>
    <w:rsid w:val="004C22F8"/>
    <w:rsid w:val="004C372B"/>
    <w:rsid w:val="004C3971"/>
    <w:rsid w:val="00514E92"/>
    <w:rsid w:val="00541380"/>
    <w:rsid w:val="00546DCC"/>
    <w:rsid w:val="0056641D"/>
    <w:rsid w:val="005913E2"/>
    <w:rsid w:val="005A2A2E"/>
    <w:rsid w:val="005E4780"/>
    <w:rsid w:val="00652ADE"/>
    <w:rsid w:val="006640B6"/>
    <w:rsid w:val="006656F2"/>
    <w:rsid w:val="006840E4"/>
    <w:rsid w:val="006B2915"/>
    <w:rsid w:val="006F5295"/>
    <w:rsid w:val="00712661"/>
    <w:rsid w:val="00787506"/>
    <w:rsid w:val="007A1710"/>
    <w:rsid w:val="007B0E93"/>
    <w:rsid w:val="007C4013"/>
    <w:rsid w:val="007F3FF9"/>
    <w:rsid w:val="007F4EF8"/>
    <w:rsid w:val="007F6800"/>
    <w:rsid w:val="0083211C"/>
    <w:rsid w:val="00840812"/>
    <w:rsid w:val="00842A81"/>
    <w:rsid w:val="008513C9"/>
    <w:rsid w:val="00854CD4"/>
    <w:rsid w:val="008A1850"/>
    <w:rsid w:val="009055EA"/>
    <w:rsid w:val="00913AE6"/>
    <w:rsid w:val="00933752"/>
    <w:rsid w:val="009358D4"/>
    <w:rsid w:val="00943227"/>
    <w:rsid w:val="009465CA"/>
    <w:rsid w:val="00961669"/>
    <w:rsid w:val="009672CC"/>
    <w:rsid w:val="0099479B"/>
    <w:rsid w:val="00997329"/>
    <w:rsid w:val="009A0584"/>
    <w:rsid w:val="009C5CCC"/>
    <w:rsid w:val="009D1E94"/>
    <w:rsid w:val="009E479D"/>
    <w:rsid w:val="00A07E41"/>
    <w:rsid w:val="00A34760"/>
    <w:rsid w:val="00A367A9"/>
    <w:rsid w:val="00A4400A"/>
    <w:rsid w:val="00A75334"/>
    <w:rsid w:val="00A909D9"/>
    <w:rsid w:val="00A97503"/>
    <w:rsid w:val="00AA2FF9"/>
    <w:rsid w:val="00AA7E7F"/>
    <w:rsid w:val="00AB194C"/>
    <w:rsid w:val="00AB3ABB"/>
    <w:rsid w:val="00AB5C0C"/>
    <w:rsid w:val="00AC4BD7"/>
    <w:rsid w:val="00AD2A7A"/>
    <w:rsid w:val="00B444A7"/>
    <w:rsid w:val="00B4685A"/>
    <w:rsid w:val="00B55FF3"/>
    <w:rsid w:val="00B83179"/>
    <w:rsid w:val="00B9151C"/>
    <w:rsid w:val="00BC2158"/>
    <w:rsid w:val="00BC38E8"/>
    <w:rsid w:val="00C02A5B"/>
    <w:rsid w:val="00C12123"/>
    <w:rsid w:val="00C17C3A"/>
    <w:rsid w:val="00C32A6C"/>
    <w:rsid w:val="00C355BE"/>
    <w:rsid w:val="00C74FE3"/>
    <w:rsid w:val="00C8558D"/>
    <w:rsid w:val="00C949F6"/>
    <w:rsid w:val="00CF1FD4"/>
    <w:rsid w:val="00D11084"/>
    <w:rsid w:val="00D111A9"/>
    <w:rsid w:val="00D51277"/>
    <w:rsid w:val="00D56D64"/>
    <w:rsid w:val="00D63C22"/>
    <w:rsid w:val="00D65EEF"/>
    <w:rsid w:val="00D87D8F"/>
    <w:rsid w:val="00D91038"/>
    <w:rsid w:val="00D940F6"/>
    <w:rsid w:val="00D9572C"/>
    <w:rsid w:val="00DD674B"/>
    <w:rsid w:val="00DF5E2D"/>
    <w:rsid w:val="00E3030F"/>
    <w:rsid w:val="00E6643E"/>
    <w:rsid w:val="00E70BE0"/>
    <w:rsid w:val="00EB73E1"/>
    <w:rsid w:val="00EC0C76"/>
    <w:rsid w:val="00EF2E97"/>
    <w:rsid w:val="00F138B3"/>
    <w:rsid w:val="00F37B35"/>
    <w:rsid w:val="00F51EF9"/>
    <w:rsid w:val="00F64277"/>
    <w:rsid w:val="00F86A9C"/>
    <w:rsid w:val="00FA1FAD"/>
    <w:rsid w:val="00FE3946"/>
    <w:rsid w:val="00FF0C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4BD77"/>
  <w15:chartTrackingRefBased/>
  <w15:docId w15:val="{067EF6E3-3499-4495-B755-A59FE0A0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E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E4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83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4906"/>
    <w:rPr>
      <w:color w:val="0563C1" w:themeColor="hyperlink"/>
      <w:u w:val="single"/>
    </w:rPr>
  </w:style>
  <w:style w:type="character" w:styleId="UnresolvedMention">
    <w:name w:val="Unresolved Mention"/>
    <w:basedOn w:val="DefaultParagraphFont"/>
    <w:uiPriority w:val="99"/>
    <w:semiHidden/>
    <w:unhideWhenUsed/>
    <w:rsid w:val="009C5CCC"/>
    <w:rPr>
      <w:color w:val="605E5C"/>
      <w:shd w:val="clear" w:color="auto" w:fill="E1DFDD"/>
    </w:rPr>
  </w:style>
  <w:style w:type="character" w:styleId="CommentReference">
    <w:name w:val="annotation reference"/>
    <w:basedOn w:val="DefaultParagraphFont"/>
    <w:uiPriority w:val="99"/>
    <w:semiHidden/>
    <w:unhideWhenUsed/>
    <w:rsid w:val="00250C64"/>
    <w:rPr>
      <w:sz w:val="16"/>
      <w:szCs w:val="16"/>
    </w:rPr>
  </w:style>
  <w:style w:type="paragraph" w:styleId="CommentText">
    <w:name w:val="annotation text"/>
    <w:basedOn w:val="Normal"/>
    <w:link w:val="CommentTextChar"/>
    <w:uiPriority w:val="99"/>
    <w:unhideWhenUsed/>
    <w:rsid w:val="00250C64"/>
    <w:pPr>
      <w:spacing w:line="240" w:lineRule="auto"/>
    </w:pPr>
    <w:rPr>
      <w:sz w:val="20"/>
      <w:szCs w:val="20"/>
    </w:rPr>
  </w:style>
  <w:style w:type="character" w:customStyle="1" w:styleId="CommentTextChar">
    <w:name w:val="Comment Text Char"/>
    <w:basedOn w:val="DefaultParagraphFont"/>
    <w:link w:val="CommentText"/>
    <w:uiPriority w:val="99"/>
    <w:rsid w:val="00250C64"/>
    <w:rPr>
      <w:sz w:val="20"/>
      <w:szCs w:val="20"/>
    </w:rPr>
  </w:style>
  <w:style w:type="table" w:styleId="PlainTable4">
    <w:name w:val="Plain Table 4"/>
    <w:basedOn w:val="TableNormal"/>
    <w:uiPriority w:val="44"/>
    <w:rsid w:val="005664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80840"/>
    <w:pPr>
      <w:spacing w:after="0" w:line="240" w:lineRule="auto"/>
    </w:pPr>
    <w:rPr>
      <w:kern w:val="2"/>
      <w:lang w:val="fr-CH"/>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245479">
      <w:bodyDiv w:val="1"/>
      <w:marLeft w:val="0"/>
      <w:marRight w:val="0"/>
      <w:marTop w:val="0"/>
      <w:marBottom w:val="0"/>
      <w:divBdr>
        <w:top w:val="none" w:sz="0" w:space="0" w:color="auto"/>
        <w:left w:val="none" w:sz="0" w:space="0" w:color="auto"/>
        <w:bottom w:val="none" w:sz="0" w:space="0" w:color="auto"/>
        <w:right w:val="none" w:sz="0" w:space="0" w:color="auto"/>
      </w:divBdr>
    </w:div>
    <w:div w:id="8203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ma.europa.eu/documents/product-information/amyvid-epar-product-information_en.pdf" TargetMode="External"/><Relationship Id="rId5" Type="http://schemas.openxmlformats.org/officeDocument/2006/relationships/hyperlink" Target="https://www.ema.europa.eu/documents/product-information/vizamyl-epar%20productinformation_en.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0C971-BB19-486A-91E7-0B7FC051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8</Pages>
  <Words>5578</Words>
  <Characters>28003</Characters>
  <Application>Microsoft Office Word</Application>
  <DocSecurity>0</DocSecurity>
  <Lines>1647</Lines>
  <Paragraphs>1399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Boccalini</dc:creator>
  <cp:keywords/>
  <dc:description/>
  <cp:lastModifiedBy>Cécilia Boccalini</cp:lastModifiedBy>
  <cp:revision>102</cp:revision>
  <dcterms:created xsi:type="dcterms:W3CDTF">2022-05-24T13:01:00Z</dcterms:created>
  <dcterms:modified xsi:type="dcterms:W3CDTF">2024-08-28T07:49:00Z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http://www.zotero.org/styles/annals-of-neurology</vt:lpwstr>
  </property>
  <property fmtid="{D5CDD505-2E9C-101B-9397-08002B2CF9AE}" pid="5" name="Mendeley Recent Style Name 1_1">
    <vt:lpwstr>Annals of Neurology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http://www.zotero.org/styles/parkinsonism-and-related-disorders</vt:lpwstr>
  </property>
  <property fmtid="{D5CDD505-2E9C-101B-9397-08002B2CF9AE}" pid="19" name="Mendeley Recent Style Name 8_1">
    <vt:lpwstr>Parkinsonism and Related Disorders</vt:lpwstr>
  </property>
  <property fmtid="{D5CDD505-2E9C-101B-9397-08002B2CF9AE}" pid="20" name="Mendeley Recent Style Id 9_1">
    <vt:lpwstr>http://www.zotero.org/styles/the-journal-of-nuclear-medicine</vt:lpwstr>
  </property>
  <property fmtid="{D5CDD505-2E9C-101B-9397-08002B2CF9AE}" pid="21" name="Mendeley Recent Style Name 9_1">
    <vt:lpwstr>The Journal of Nuclear Medicine</vt:lpwstr>
  </property>
  <property fmtid="{D5CDD505-2E9C-101B-9397-08002B2CF9AE}" pid="22" name="Mendeley Document_1">
    <vt:lpwstr>True</vt:lpwstr>
  </property>
  <property fmtid="{D5CDD505-2E9C-101B-9397-08002B2CF9AE}" pid="23" name="Mendeley Unique User Id_1">
    <vt:lpwstr>db290fc1-ce97-3283-8965-3c6b6537f3e6</vt:lpwstr>
  </property>
  <property fmtid="{D5CDD505-2E9C-101B-9397-08002B2CF9AE}" pid="24" name="Mendeley Citation Style_1">
    <vt:lpwstr>http://www.zotero.org/styles/the-journal-of-nuclear-medicine</vt:lpwstr>
  </property>
  <property fmtid="{D5CDD505-2E9C-101B-9397-08002B2CF9AE}" pid="25" name="GrammarlyDocumentId">
    <vt:lpwstr>f6bdca0fc8c469d3ac882c39a8619200fcced1ab5d3ac9b08e4fbb552ec48f81</vt:lpwstr>
  </property>
</Properties>
</file>