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760B06" w14:textId="1EFFD59F" w:rsidR="00EF2850" w:rsidRDefault="00D21D95" w:rsidP="00E65AC2">
      <w:pPr>
        <w:pStyle w:val="Heading1"/>
        <w:spacing w:before="0" w:after="240" w:line="276" w:lineRule="auto"/>
        <w:jc w:val="center"/>
        <w:rPr>
          <w:rFonts w:ascii="Arial" w:hAnsi="Arial" w:cs="Arial"/>
          <w:color w:val="000000" w:themeColor="text1"/>
        </w:rPr>
      </w:pPr>
      <w:r w:rsidRPr="00D21D95">
        <w:rPr>
          <w:rFonts w:ascii="Arial" w:hAnsi="Arial" w:cs="Arial"/>
          <w:color w:val="000000" w:themeColor="text1"/>
        </w:rPr>
        <w:t>Supplementary Material</w:t>
      </w:r>
    </w:p>
    <w:p w14:paraId="3DBC837D" w14:textId="50FB2CC5" w:rsidR="00263032" w:rsidRDefault="00E33A2C" w:rsidP="00E33A2C">
      <w:pPr>
        <w:pStyle w:val="Caption"/>
        <w:spacing w:line="276" w:lineRule="auto"/>
        <w:ind w:firstLine="0"/>
        <w:rPr>
          <w:i w:val="0"/>
          <w:iCs w:val="0"/>
          <w:color w:val="auto"/>
          <w:sz w:val="20"/>
          <w:szCs w:val="20"/>
        </w:rPr>
      </w:pPr>
      <w:r w:rsidRPr="00E33A2C">
        <w:rPr>
          <w:i w:val="0"/>
          <w:iCs w:val="0"/>
          <w:color w:val="auto"/>
          <w:sz w:val="24"/>
          <w:szCs w:val="24"/>
          <w:u w:val="single"/>
        </w:rPr>
        <w:t xml:space="preserve">Table </w:t>
      </w:r>
      <w:r w:rsidR="009B133B">
        <w:rPr>
          <w:i w:val="0"/>
          <w:iCs w:val="0"/>
          <w:color w:val="auto"/>
          <w:sz w:val="24"/>
          <w:szCs w:val="24"/>
          <w:u w:val="single"/>
        </w:rPr>
        <w:t>1</w:t>
      </w:r>
      <w:r w:rsidRPr="00E33A2C">
        <w:rPr>
          <w:i w:val="0"/>
          <w:iCs w:val="0"/>
          <w:color w:val="auto"/>
          <w:sz w:val="24"/>
          <w:szCs w:val="24"/>
          <w:u w:val="single"/>
        </w:rPr>
        <w:t>:</w:t>
      </w:r>
      <w:r w:rsidRPr="00085BF9">
        <w:rPr>
          <w:i w:val="0"/>
          <w:iCs w:val="0"/>
          <w:color w:val="auto"/>
          <w:sz w:val="20"/>
          <w:szCs w:val="20"/>
        </w:rPr>
        <w:tab/>
      </w:r>
      <w:r w:rsidR="00AD149F">
        <w:rPr>
          <w:rFonts w:cs="Arial"/>
          <w:i w:val="0"/>
          <w:iCs w:val="0"/>
          <w:color w:val="000000" w:themeColor="text1"/>
          <w:sz w:val="24"/>
          <w:szCs w:val="24"/>
        </w:rPr>
        <w:t>Confusion m</w:t>
      </w:r>
      <w:r w:rsidR="00E03657" w:rsidRPr="007E0D1A">
        <w:rPr>
          <w:rFonts w:cs="Arial"/>
          <w:i w:val="0"/>
          <w:iCs w:val="0"/>
          <w:color w:val="000000" w:themeColor="text1"/>
          <w:sz w:val="24"/>
          <w:szCs w:val="24"/>
        </w:rPr>
        <w:t xml:space="preserve">atrix for </w:t>
      </w:r>
      <w:r w:rsidR="00135609" w:rsidRPr="007E0D1A">
        <w:rPr>
          <w:rFonts w:cs="Arial"/>
          <w:i w:val="0"/>
          <w:iCs w:val="0"/>
          <w:color w:val="000000" w:themeColor="text1"/>
          <w:sz w:val="24"/>
          <w:szCs w:val="24"/>
        </w:rPr>
        <w:t xml:space="preserve">Total-Body (TB) </w:t>
      </w:r>
      <w:r w:rsidR="00093FB8">
        <w:rPr>
          <w:rFonts w:cs="Arial"/>
          <w:i w:val="0"/>
          <w:iCs w:val="0"/>
          <w:color w:val="000000" w:themeColor="text1"/>
          <w:sz w:val="24"/>
          <w:szCs w:val="24"/>
        </w:rPr>
        <w:t xml:space="preserve">and </w:t>
      </w:r>
      <w:r w:rsidR="00093FB8" w:rsidRPr="007E0D1A">
        <w:rPr>
          <w:rFonts w:cs="Arial"/>
          <w:i w:val="0"/>
          <w:iCs w:val="0"/>
          <w:color w:val="000000" w:themeColor="text1"/>
          <w:sz w:val="24"/>
          <w:szCs w:val="24"/>
        </w:rPr>
        <w:t xml:space="preserve">short-axial field-of-view (SAFOV) </w:t>
      </w:r>
      <w:r w:rsidR="00135609" w:rsidRPr="007E0D1A">
        <w:rPr>
          <w:rFonts w:cs="Arial"/>
          <w:i w:val="0"/>
          <w:iCs w:val="0"/>
          <w:color w:val="000000" w:themeColor="text1"/>
          <w:sz w:val="24"/>
          <w:szCs w:val="24"/>
        </w:rPr>
        <w:t xml:space="preserve">PET/CT. </w:t>
      </w:r>
      <w:r w:rsidR="008A14BD">
        <w:rPr>
          <w:rFonts w:cs="Arial"/>
          <w:i w:val="0"/>
          <w:iCs w:val="0"/>
          <w:color w:val="000000" w:themeColor="text1"/>
          <w:sz w:val="24"/>
          <w:szCs w:val="24"/>
        </w:rPr>
        <w:t>Positive and negative</w:t>
      </w:r>
      <w:r w:rsidR="0081466E" w:rsidRPr="007E0D1A">
        <w:rPr>
          <w:rFonts w:cs="Arial"/>
          <w:i w:val="0"/>
          <w:iCs w:val="0"/>
          <w:color w:val="000000" w:themeColor="text1"/>
          <w:sz w:val="24"/>
          <w:szCs w:val="24"/>
        </w:rPr>
        <w:t xml:space="preserve"> results from </w:t>
      </w:r>
      <w:r w:rsidR="008A14BD">
        <w:rPr>
          <w:rFonts w:cs="Arial"/>
          <w:i w:val="0"/>
          <w:iCs w:val="0"/>
          <w:color w:val="000000" w:themeColor="text1"/>
          <w:sz w:val="24"/>
          <w:szCs w:val="24"/>
        </w:rPr>
        <w:t xml:space="preserve">both tests as well as </w:t>
      </w:r>
      <w:r w:rsidR="003C49A8">
        <w:rPr>
          <w:rFonts w:cs="Arial"/>
          <w:i w:val="0"/>
          <w:iCs w:val="0"/>
          <w:color w:val="000000" w:themeColor="text1"/>
          <w:sz w:val="24"/>
          <w:szCs w:val="24"/>
        </w:rPr>
        <w:t>from the</w:t>
      </w:r>
      <w:r w:rsidR="008A14BD">
        <w:rPr>
          <w:rFonts w:cs="Arial"/>
          <w:i w:val="0"/>
          <w:iCs w:val="0"/>
          <w:color w:val="000000" w:themeColor="text1"/>
          <w:sz w:val="24"/>
          <w:szCs w:val="24"/>
        </w:rPr>
        <w:t xml:space="preserve"> composite reference standard (CRS) for </w:t>
      </w:r>
      <w:r w:rsidR="007E0D1A" w:rsidRPr="007E0D1A">
        <w:rPr>
          <w:rFonts w:cs="Arial"/>
          <w:i w:val="0"/>
          <w:iCs w:val="0"/>
          <w:color w:val="000000" w:themeColor="text1"/>
          <w:sz w:val="24"/>
          <w:szCs w:val="24"/>
        </w:rPr>
        <w:t xml:space="preserve">N-staging </w:t>
      </w:r>
      <w:r w:rsidR="008A14BD">
        <w:rPr>
          <w:rFonts w:cs="Arial"/>
          <w:i w:val="0"/>
          <w:iCs w:val="0"/>
          <w:color w:val="000000" w:themeColor="text1"/>
          <w:sz w:val="24"/>
          <w:szCs w:val="24"/>
        </w:rPr>
        <w:t>of the</w:t>
      </w:r>
      <w:r w:rsidR="007E0D1A" w:rsidRPr="007E0D1A">
        <w:rPr>
          <w:rFonts w:cs="Arial"/>
          <w:i w:val="0"/>
          <w:iCs w:val="0"/>
          <w:color w:val="000000" w:themeColor="text1"/>
          <w:sz w:val="24"/>
          <w:szCs w:val="24"/>
        </w:rPr>
        <w:t xml:space="preserve"> enrolled patients with NSCLC.</w:t>
      </w:r>
      <w:r w:rsidR="007E0D1A">
        <w:rPr>
          <w:i w:val="0"/>
          <w:iCs w:val="0"/>
          <w:color w:val="auto"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8A14BD" w14:paraId="1696144C" w14:textId="77777777" w:rsidTr="0096029E">
        <w:tc>
          <w:tcPr>
            <w:tcW w:w="1870" w:type="dxa"/>
            <w:vAlign w:val="center"/>
          </w:tcPr>
          <w:p w14:paraId="317CE538" w14:textId="7F866223" w:rsidR="008A14BD" w:rsidRDefault="008A14BD" w:rsidP="008A14BD">
            <w:pPr>
              <w:jc w:val="center"/>
            </w:pPr>
            <w:r>
              <w:t>CRS</w:t>
            </w:r>
          </w:p>
        </w:tc>
        <w:tc>
          <w:tcPr>
            <w:tcW w:w="3740" w:type="dxa"/>
            <w:gridSpan w:val="2"/>
            <w:vAlign w:val="center"/>
          </w:tcPr>
          <w:p w14:paraId="7FB96270" w14:textId="48927D1F" w:rsidR="008A14BD" w:rsidRDefault="00093FB8" w:rsidP="008A14BD">
            <w:pPr>
              <w:jc w:val="center"/>
            </w:pPr>
            <w:r>
              <w:t>TB</w:t>
            </w:r>
            <w:r w:rsidR="008A14BD">
              <w:t xml:space="preserve"> PET/CT</w:t>
            </w:r>
          </w:p>
        </w:tc>
        <w:tc>
          <w:tcPr>
            <w:tcW w:w="3740" w:type="dxa"/>
            <w:gridSpan w:val="2"/>
            <w:vAlign w:val="center"/>
          </w:tcPr>
          <w:p w14:paraId="2528501C" w14:textId="529E3FAE" w:rsidR="008A14BD" w:rsidRDefault="00093FB8" w:rsidP="008A14BD">
            <w:pPr>
              <w:jc w:val="center"/>
            </w:pPr>
            <w:r>
              <w:t>SAFOV</w:t>
            </w:r>
            <w:r w:rsidR="008A14BD">
              <w:t xml:space="preserve"> PET/CT</w:t>
            </w:r>
          </w:p>
        </w:tc>
      </w:tr>
      <w:tr w:rsidR="002A07C1" w14:paraId="31BD2E64" w14:textId="77777777" w:rsidTr="0096029E">
        <w:tc>
          <w:tcPr>
            <w:tcW w:w="1870" w:type="dxa"/>
            <w:vAlign w:val="center"/>
          </w:tcPr>
          <w:p w14:paraId="16955E16" w14:textId="77777777" w:rsidR="002A07C1" w:rsidRDefault="002A07C1" w:rsidP="008A14BD">
            <w:pPr>
              <w:jc w:val="center"/>
            </w:pPr>
          </w:p>
        </w:tc>
        <w:tc>
          <w:tcPr>
            <w:tcW w:w="1870" w:type="dxa"/>
            <w:vAlign w:val="center"/>
          </w:tcPr>
          <w:p w14:paraId="7B47277D" w14:textId="0D9ABD15" w:rsidR="002A07C1" w:rsidRDefault="002A07C1" w:rsidP="008A14BD">
            <w:pPr>
              <w:jc w:val="center"/>
            </w:pPr>
            <w:r>
              <w:t>positive</w:t>
            </w:r>
          </w:p>
        </w:tc>
        <w:tc>
          <w:tcPr>
            <w:tcW w:w="1870" w:type="dxa"/>
            <w:vAlign w:val="center"/>
          </w:tcPr>
          <w:p w14:paraId="73C2DAC5" w14:textId="15C2694C" w:rsidR="002A07C1" w:rsidRDefault="002A07C1" w:rsidP="008A14BD">
            <w:pPr>
              <w:jc w:val="center"/>
            </w:pPr>
            <w:r>
              <w:t>negative</w:t>
            </w:r>
          </w:p>
        </w:tc>
        <w:tc>
          <w:tcPr>
            <w:tcW w:w="1870" w:type="dxa"/>
            <w:vAlign w:val="center"/>
          </w:tcPr>
          <w:p w14:paraId="154FBB38" w14:textId="5A71C531" w:rsidR="002A07C1" w:rsidRDefault="002A07C1" w:rsidP="008A14BD">
            <w:pPr>
              <w:jc w:val="center"/>
            </w:pPr>
            <w:r>
              <w:t>positive</w:t>
            </w:r>
          </w:p>
        </w:tc>
        <w:tc>
          <w:tcPr>
            <w:tcW w:w="1870" w:type="dxa"/>
            <w:vAlign w:val="center"/>
          </w:tcPr>
          <w:p w14:paraId="2ECE0C5E" w14:textId="2670BDCB" w:rsidR="002A07C1" w:rsidRDefault="002A07C1" w:rsidP="008A14BD">
            <w:pPr>
              <w:jc w:val="center"/>
            </w:pPr>
            <w:r>
              <w:t>negative</w:t>
            </w:r>
          </w:p>
        </w:tc>
      </w:tr>
      <w:tr w:rsidR="002A07C1" w14:paraId="027986F2" w14:textId="77777777" w:rsidTr="0096029E">
        <w:tc>
          <w:tcPr>
            <w:tcW w:w="1870" w:type="dxa"/>
            <w:vAlign w:val="center"/>
          </w:tcPr>
          <w:p w14:paraId="41A98DAA" w14:textId="42480627" w:rsidR="002A07C1" w:rsidRDefault="002A07C1" w:rsidP="008A14BD">
            <w:pPr>
              <w:jc w:val="center"/>
            </w:pPr>
            <w:r>
              <w:t>positive</w:t>
            </w:r>
          </w:p>
        </w:tc>
        <w:tc>
          <w:tcPr>
            <w:tcW w:w="1870" w:type="dxa"/>
            <w:vAlign w:val="center"/>
          </w:tcPr>
          <w:p w14:paraId="20AC9CB5" w14:textId="76A70BEA" w:rsidR="002A07C1" w:rsidRDefault="00C96CF4" w:rsidP="008A14BD">
            <w:pPr>
              <w:jc w:val="center"/>
            </w:pPr>
            <w:r>
              <w:t>4</w:t>
            </w:r>
            <w:r w:rsidR="00093FB8">
              <w:t>9</w:t>
            </w:r>
          </w:p>
        </w:tc>
        <w:tc>
          <w:tcPr>
            <w:tcW w:w="1870" w:type="dxa"/>
            <w:vAlign w:val="center"/>
          </w:tcPr>
          <w:p w14:paraId="19049F74" w14:textId="181746A2" w:rsidR="002A07C1" w:rsidRDefault="00093FB8" w:rsidP="008A14BD">
            <w:pPr>
              <w:jc w:val="center"/>
            </w:pPr>
            <w:r>
              <w:t>8</w:t>
            </w:r>
          </w:p>
        </w:tc>
        <w:tc>
          <w:tcPr>
            <w:tcW w:w="1870" w:type="dxa"/>
            <w:vAlign w:val="center"/>
          </w:tcPr>
          <w:p w14:paraId="6165D47E" w14:textId="4BB18378" w:rsidR="002A07C1" w:rsidRDefault="00C96CF4" w:rsidP="008A14BD">
            <w:pPr>
              <w:jc w:val="center"/>
            </w:pPr>
            <w:r>
              <w:t>4</w:t>
            </w:r>
            <w:r w:rsidR="00093FB8">
              <w:t>4</w:t>
            </w:r>
          </w:p>
        </w:tc>
        <w:tc>
          <w:tcPr>
            <w:tcW w:w="1870" w:type="dxa"/>
            <w:vAlign w:val="center"/>
          </w:tcPr>
          <w:p w14:paraId="1A95DE30" w14:textId="36837C00" w:rsidR="002A07C1" w:rsidRDefault="00093FB8" w:rsidP="008A14BD">
            <w:pPr>
              <w:jc w:val="center"/>
            </w:pPr>
            <w:r>
              <w:t>13</w:t>
            </w:r>
          </w:p>
        </w:tc>
      </w:tr>
      <w:tr w:rsidR="002A07C1" w14:paraId="4D962D6D" w14:textId="77777777" w:rsidTr="0096029E">
        <w:tc>
          <w:tcPr>
            <w:tcW w:w="1870" w:type="dxa"/>
            <w:vAlign w:val="center"/>
          </w:tcPr>
          <w:p w14:paraId="0B3AAB8A" w14:textId="6C3067F2" w:rsidR="002A07C1" w:rsidRDefault="002A07C1" w:rsidP="008A14BD">
            <w:pPr>
              <w:jc w:val="center"/>
            </w:pPr>
            <w:r>
              <w:t>negative</w:t>
            </w:r>
          </w:p>
        </w:tc>
        <w:tc>
          <w:tcPr>
            <w:tcW w:w="1870" w:type="dxa"/>
            <w:vAlign w:val="center"/>
          </w:tcPr>
          <w:p w14:paraId="64D37465" w14:textId="3777E193" w:rsidR="002A07C1" w:rsidRDefault="00F8723E" w:rsidP="008A14BD">
            <w:pPr>
              <w:jc w:val="center"/>
            </w:pPr>
            <w:r>
              <w:t>1</w:t>
            </w:r>
            <w:r w:rsidR="00093FB8">
              <w:t>1</w:t>
            </w:r>
          </w:p>
        </w:tc>
        <w:tc>
          <w:tcPr>
            <w:tcW w:w="1870" w:type="dxa"/>
            <w:vAlign w:val="center"/>
          </w:tcPr>
          <w:p w14:paraId="1F253E6B" w14:textId="537641EC" w:rsidR="002A07C1" w:rsidRDefault="00F8723E" w:rsidP="008A14BD">
            <w:pPr>
              <w:jc w:val="center"/>
            </w:pPr>
            <w:r>
              <w:t>6</w:t>
            </w:r>
            <w:r w:rsidR="00093FB8">
              <w:t>32</w:t>
            </w:r>
          </w:p>
        </w:tc>
        <w:tc>
          <w:tcPr>
            <w:tcW w:w="1870" w:type="dxa"/>
            <w:vAlign w:val="center"/>
          </w:tcPr>
          <w:p w14:paraId="72D86376" w14:textId="12A673B7" w:rsidR="002A07C1" w:rsidRDefault="00F8723E" w:rsidP="008A14BD">
            <w:pPr>
              <w:jc w:val="center"/>
            </w:pPr>
            <w:r>
              <w:t>1</w:t>
            </w:r>
            <w:r w:rsidR="00093FB8">
              <w:t>7</w:t>
            </w:r>
          </w:p>
        </w:tc>
        <w:tc>
          <w:tcPr>
            <w:tcW w:w="1870" w:type="dxa"/>
            <w:vAlign w:val="center"/>
          </w:tcPr>
          <w:p w14:paraId="726CA8D7" w14:textId="60F4DE45" w:rsidR="002A07C1" w:rsidRDefault="00F8723E" w:rsidP="008A14BD">
            <w:pPr>
              <w:jc w:val="center"/>
            </w:pPr>
            <w:r>
              <w:t>6</w:t>
            </w:r>
            <w:r w:rsidR="00093FB8">
              <w:t>26</w:t>
            </w:r>
          </w:p>
        </w:tc>
      </w:tr>
    </w:tbl>
    <w:p w14:paraId="71D30420" w14:textId="77777777" w:rsidR="007E0D1A" w:rsidRDefault="007E0D1A" w:rsidP="007E0D1A"/>
    <w:p w14:paraId="37C0ECB3" w14:textId="77777777" w:rsidR="007E0D1A" w:rsidRDefault="007E0D1A" w:rsidP="007E0D1A"/>
    <w:p w14:paraId="0EA04225" w14:textId="149C4406" w:rsidR="00E33A2C" w:rsidRDefault="00263032" w:rsidP="00E33A2C">
      <w:pPr>
        <w:pStyle w:val="Caption"/>
        <w:spacing w:line="276" w:lineRule="auto"/>
        <w:ind w:firstLine="0"/>
        <w:rPr>
          <w:i w:val="0"/>
          <w:iCs w:val="0"/>
          <w:color w:val="auto"/>
          <w:sz w:val="20"/>
          <w:szCs w:val="20"/>
        </w:rPr>
      </w:pPr>
      <w:r w:rsidRPr="00263032">
        <w:rPr>
          <w:i w:val="0"/>
          <w:iCs w:val="0"/>
          <w:color w:val="auto"/>
          <w:sz w:val="24"/>
          <w:szCs w:val="24"/>
          <w:u w:val="single"/>
        </w:rPr>
        <w:t>Table 2:</w:t>
      </w:r>
      <w:r w:rsidRPr="00263032">
        <w:rPr>
          <w:i w:val="0"/>
          <w:iCs w:val="0"/>
          <w:color w:val="auto"/>
          <w:sz w:val="24"/>
          <w:szCs w:val="24"/>
        </w:rPr>
        <w:tab/>
      </w:r>
      <w:r w:rsidR="00040BAF" w:rsidRPr="00E33A2C">
        <w:rPr>
          <w:rFonts w:cs="Arial"/>
          <w:i w:val="0"/>
          <w:iCs w:val="0"/>
          <w:color w:val="000000" w:themeColor="text1"/>
          <w:sz w:val="24"/>
          <w:szCs w:val="24"/>
        </w:rPr>
        <w:t>Maximum</w:t>
      </w:r>
      <w:r w:rsidR="00E33A2C" w:rsidRPr="00E33A2C">
        <w:rPr>
          <w:rFonts w:cs="Arial"/>
          <w:i w:val="0"/>
          <w:iCs w:val="0"/>
          <w:color w:val="000000" w:themeColor="text1"/>
          <w:sz w:val="24"/>
          <w:szCs w:val="24"/>
        </w:rPr>
        <w:t xml:space="preserve"> standardized uptake value (</w:t>
      </w:r>
      <w:proofErr w:type="spellStart"/>
      <w:r w:rsidR="00E33A2C" w:rsidRPr="00E33A2C">
        <w:rPr>
          <w:rFonts w:cs="Arial"/>
          <w:i w:val="0"/>
          <w:iCs w:val="0"/>
          <w:color w:val="000000" w:themeColor="text1"/>
          <w:sz w:val="24"/>
          <w:szCs w:val="24"/>
        </w:rPr>
        <w:t>SUV</w:t>
      </w:r>
      <w:r w:rsidR="00E33A2C" w:rsidRPr="00040BAF">
        <w:rPr>
          <w:rFonts w:cs="Arial"/>
          <w:i w:val="0"/>
          <w:iCs w:val="0"/>
          <w:color w:val="000000" w:themeColor="text1"/>
          <w:sz w:val="24"/>
          <w:szCs w:val="24"/>
          <w:vertAlign w:val="subscript"/>
        </w:rPr>
        <w:t>max</w:t>
      </w:r>
      <w:proofErr w:type="spellEnd"/>
      <w:r w:rsidR="00E33A2C" w:rsidRPr="00E33A2C">
        <w:rPr>
          <w:rFonts w:cs="Arial"/>
          <w:i w:val="0"/>
          <w:iCs w:val="0"/>
          <w:color w:val="000000" w:themeColor="text1"/>
          <w:sz w:val="24"/>
          <w:szCs w:val="24"/>
        </w:rPr>
        <w:t>), tumor-to-background ratio (TBR), metabolic tumor volume (MTV) and total lesion glycolysis (TLG) thresholds for Total-Body (TB) and short-axial field-of-view (SAFOV) PET/CT.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2"/>
        <w:gridCol w:w="1244"/>
        <w:gridCol w:w="10"/>
        <w:gridCol w:w="1264"/>
        <w:gridCol w:w="1296"/>
        <w:gridCol w:w="1244"/>
        <w:gridCol w:w="10"/>
        <w:gridCol w:w="1264"/>
        <w:gridCol w:w="1296"/>
      </w:tblGrid>
      <w:tr w:rsidR="00E33A2C" w14:paraId="3AB78073" w14:textId="77777777" w:rsidTr="001E189A">
        <w:tc>
          <w:tcPr>
            <w:tcW w:w="2125" w:type="dxa"/>
          </w:tcPr>
          <w:p w14:paraId="35164AC0" w14:textId="77777777" w:rsidR="00E33A2C" w:rsidRDefault="00E33A2C" w:rsidP="001E189A"/>
        </w:tc>
        <w:tc>
          <w:tcPr>
            <w:tcW w:w="3618" w:type="dxa"/>
            <w:gridSpan w:val="4"/>
          </w:tcPr>
          <w:p w14:paraId="333E8244" w14:textId="77777777" w:rsidR="00E33A2C" w:rsidRDefault="00E33A2C" w:rsidP="001E189A">
            <w:pPr>
              <w:jc w:val="center"/>
            </w:pPr>
            <w:r>
              <w:t>TB</w:t>
            </w:r>
          </w:p>
        </w:tc>
        <w:tc>
          <w:tcPr>
            <w:tcW w:w="3617" w:type="dxa"/>
            <w:gridSpan w:val="4"/>
          </w:tcPr>
          <w:p w14:paraId="00182E5E" w14:textId="77777777" w:rsidR="00E33A2C" w:rsidRDefault="00E33A2C" w:rsidP="001E189A">
            <w:pPr>
              <w:jc w:val="center"/>
            </w:pPr>
            <w:r>
              <w:t>SAFOV</w:t>
            </w:r>
          </w:p>
        </w:tc>
      </w:tr>
      <w:tr w:rsidR="00E33A2C" w14:paraId="01205B4F" w14:textId="77777777" w:rsidTr="001E189A">
        <w:tc>
          <w:tcPr>
            <w:tcW w:w="2125" w:type="dxa"/>
          </w:tcPr>
          <w:p w14:paraId="2CC78D61" w14:textId="77777777" w:rsidR="00E33A2C" w:rsidRDefault="00E33A2C" w:rsidP="001E189A"/>
        </w:tc>
        <w:tc>
          <w:tcPr>
            <w:tcW w:w="1195" w:type="dxa"/>
          </w:tcPr>
          <w:p w14:paraId="7E877BEE" w14:textId="77777777" w:rsidR="00E33A2C" w:rsidRDefault="00E33A2C" w:rsidP="001E189A">
            <w:r>
              <w:t>Threshold</w:t>
            </w:r>
          </w:p>
        </w:tc>
        <w:tc>
          <w:tcPr>
            <w:tcW w:w="1216" w:type="dxa"/>
            <w:gridSpan w:val="2"/>
          </w:tcPr>
          <w:p w14:paraId="2EAA546B" w14:textId="77777777" w:rsidR="00E33A2C" w:rsidRDefault="00E33A2C" w:rsidP="001E189A">
            <w:r>
              <w:t>Sensitivity</w:t>
            </w:r>
          </w:p>
        </w:tc>
        <w:tc>
          <w:tcPr>
            <w:tcW w:w="1207" w:type="dxa"/>
          </w:tcPr>
          <w:p w14:paraId="5775698E" w14:textId="77777777" w:rsidR="00E33A2C" w:rsidRDefault="00E33A2C" w:rsidP="001E189A">
            <w:r>
              <w:t>Specificity</w:t>
            </w:r>
          </w:p>
        </w:tc>
        <w:tc>
          <w:tcPr>
            <w:tcW w:w="1195" w:type="dxa"/>
          </w:tcPr>
          <w:p w14:paraId="4E5F60E0" w14:textId="77777777" w:rsidR="00E33A2C" w:rsidRDefault="00E33A2C" w:rsidP="001E189A">
            <w:r>
              <w:t>Threshold</w:t>
            </w:r>
          </w:p>
        </w:tc>
        <w:tc>
          <w:tcPr>
            <w:tcW w:w="1215" w:type="dxa"/>
            <w:gridSpan w:val="2"/>
          </w:tcPr>
          <w:p w14:paraId="3C14479E" w14:textId="77777777" w:rsidR="00E33A2C" w:rsidRDefault="00E33A2C" w:rsidP="001E189A">
            <w:r>
              <w:t>Sensitivity</w:t>
            </w:r>
          </w:p>
        </w:tc>
        <w:tc>
          <w:tcPr>
            <w:tcW w:w="1207" w:type="dxa"/>
          </w:tcPr>
          <w:p w14:paraId="710C54DB" w14:textId="77777777" w:rsidR="00E33A2C" w:rsidRDefault="00E33A2C" w:rsidP="001E189A">
            <w:r>
              <w:t>Specificity</w:t>
            </w:r>
          </w:p>
        </w:tc>
      </w:tr>
      <w:tr w:rsidR="00E33A2C" w14:paraId="749052B5" w14:textId="77777777" w:rsidTr="001E189A">
        <w:tc>
          <w:tcPr>
            <w:tcW w:w="2125" w:type="dxa"/>
          </w:tcPr>
          <w:p w14:paraId="515BA204" w14:textId="77777777" w:rsidR="00E33A2C" w:rsidRDefault="00E33A2C" w:rsidP="001E189A">
            <w:proofErr w:type="spellStart"/>
            <w:r>
              <w:t>SUV</w:t>
            </w:r>
            <w:r w:rsidRPr="00085BF9">
              <w:rPr>
                <w:vertAlign w:val="subscript"/>
              </w:rPr>
              <w:t>max</w:t>
            </w:r>
            <w:proofErr w:type="spellEnd"/>
          </w:p>
        </w:tc>
        <w:tc>
          <w:tcPr>
            <w:tcW w:w="1205" w:type="dxa"/>
            <w:gridSpan w:val="2"/>
          </w:tcPr>
          <w:p w14:paraId="436355C3" w14:textId="77777777" w:rsidR="00E33A2C" w:rsidRDefault="00E33A2C" w:rsidP="001E189A">
            <w:r>
              <w:t>3.0</w:t>
            </w:r>
          </w:p>
        </w:tc>
        <w:tc>
          <w:tcPr>
            <w:tcW w:w="1206" w:type="dxa"/>
          </w:tcPr>
          <w:p w14:paraId="54DDE4C4" w14:textId="77777777" w:rsidR="00E33A2C" w:rsidRDefault="00E33A2C" w:rsidP="001E189A">
            <w:r>
              <w:t>81%</w:t>
            </w:r>
          </w:p>
        </w:tc>
        <w:tc>
          <w:tcPr>
            <w:tcW w:w="1207" w:type="dxa"/>
          </w:tcPr>
          <w:p w14:paraId="5F9E259E" w14:textId="77777777" w:rsidR="00E33A2C" w:rsidRDefault="00E33A2C" w:rsidP="001E189A">
            <w:r>
              <w:t>84%</w:t>
            </w:r>
          </w:p>
        </w:tc>
        <w:tc>
          <w:tcPr>
            <w:tcW w:w="1205" w:type="dxa"/>
            <w:gridSpan w:val="2"/>
          </w:tcPr>
          <w:p w14:paraId="51160640" w14:textId="77777777" w:rsidR="00E33A2C" w:rsidRDefault="00E33A2C" w:rsidP="001E189A">
            <w:r>
              <w:t>3.0</w:t>
            </w:r>
          </w:p>
        </w:tc>
        <w:tc>
          <w:tcPr>
            <w:tcW w:w="1205" w:type="dxa"/>
          </w:tcPr>
          <w:p w14:paraId="54FA95A6" w14:textId="77777777" w:rsidR="00E33A2C" w:rsidRDefault="00E33A2C" w:rsidP="001E189A">
            <w:r>
              <w:t>90%</w:t>
            </w:r>
          </w:p>
        </w:tc>
        <w:tc>
          <w:tcPr>
            <w:tcW w:w="1207" w:type="dxa"/>
          </w:tcPr>
          <w:p w14:paraId="2C4BD753" w14:textId="77777777" w:rsidR="00E33A2C" w:rsidRDefault="00E33A2C" w:rsidP="001E189A">
            <w:r>
              <w:t>85%</w:t>
            </w:r>
          </w:p>
        </w:tc>
      </w:tr>
      <w:tr w:rsidR="00E33A2C" w14:paraId="31496216" w14:textId="77777777" w:rsidTr="001E189A">
        <w:tc>
          <w:tcPr>
            <w:tcW w:w="2125" w:type="dxa"/>
          </w:tcPr>
          <w:p w14:paraId="5FC1D580" w14:textId="77777777" w:rsidR="00E33A2C" w:rsidRDefault="00E33A2C" w:rsidP="001E189A">
            <w:r>
              <w:t>TBR</w:t>
            </w:r>
          </w:p>
        </w:tc>
        <w:tc>
          <w:tcPr>
            <w:tcW w:w="1205" w:type="dxa"/>
            <w:gridSpan w:val="2"/>
          </w:tcPr>
          <w:p w14:paraId="2A287122" w14:textId="77777777" w:rsidR="00E33A2C" w:rsidRDefault="00E33A2C" w:rsidP="001E189A">
            <w:r>
              <w:t>1.2</w:t>
            </w:r>
          </w:p>
        </w:tc>
        <w:tc>
          <w:tcPr>
            <w:tcW w:w="1206" w:type="dxa"/>
          </w:tcPr>
          <w:p w14:paraId="6C88F2D3" w14:textId="77777777" w:rsidR="00E33A2C" w:rsidRDefault="00E33A2C" w:rsidP="001E189A">
            <w:r>
              <w:t>96%</w:t>
            </w:r>
          </w:p>
        </w:tc>
        <w:tc>
          <w:tcPr>
            <w:tcW w:w="1207" w:type="dxa"/>
          </w:tcPr>
          <w:p w14:paraId="5CD881CF" w14:textId="77777777" w:rsidR="00E33A2C" w:rsidRDefault="00E33A2C" w:rsidP="001E189A">
            <w:r>
              <w:t>84%</w:t>
            </w:r>
          </w:p>
        </w:tc>
        <w:tc>
          <w:tcPr>
            <w:tcW w:w="1205" w:type="dxa"/>
            <w:gridSpan w:val="2"/>
          </w:tcPr>
          <w:p w14:paraId="78F8D775" w14:textId="77777777" w:rsidR="00E33A2C" w:rsidRDefault="00E33A2C" w:rsidP="001E189A">
            <w:r>
              <w:t>1.7</w:t>
            </w:r>
          </w:p>
        </w:tc>
        <w:tc>
          <w:tcPr>
            <w:tcW w:w="1205" w:type="dxa"/>
          </w:tcPr>
          <w:p w14:paraId="7D6EADF8" w14:textId="77777777" w:rsidR="00E33A2C" w:rsidRDefault="00E33A2C" w:rsidP="001E189A">
            <w:r>
              <w:t>84%</w:t>
            </w:r>
          </w:p>
        </w:tc>
        <w:tc>
          <w:tcPr>
            <w:tcW w:w="1207" w:type="dxa"/>
          </w:tcPr>
          <w:p w14:paraId="1A14F6B6" w14:textId="77777777" w:rsidR="00E33A2C" w:rsidRDefault="00E33A2C" w:rsidP="001E189A">
            <w:r>
              <w:t>83%</w:t>
            </w:r>
          </w:p>
        </w:tc>
      </w:tr>
      <w:tr w:rsidR="00E33A2C" w14:paraId="5A459A7E" w14:textId="77777777" w:rsidTr="001E189A">
        <w:tc>
          <w:tcPr>
            <w:tcW w:w="2125" w:type="dxa"/>
          </w:tcPr>
          <w:p w14:paraId="6744A1C8" w14:textId="77777777" w:rsidR="00E33A2C" w:rsidRDefault="00E33A2C" w:rsidP="001E189A">
            <w:r>
              <w:t>MTV (ml)</w:t>
            </w:r>
          </w:p>
        </w:tc>
        <w:tc>
          <w:tcPr>
            <w:tcW w:w="1205" w:type="dxa"/>
            <w:gridSpan w:val="2"/>
          </w:tcPr>
          <w:p w14:paraId="4EFF73E9" w14:textId="77777777" w:rsidR="00E33A2C" w:rsidRDefault="00E33A2C" w:rsidP="001E189A">
            <w:r>
              <w:t>0.5</w:t>
            </w:r>
          </w:p>
        </w:tc>
        <w:tc>
          <w:tcPr>
            <w:tcW w:w="1206" w:type="dxa"/>
          </w:tcPr>
          <w:p w14:paraId="390E8DF5" w14:textId="77777777" w:rsidR="00E33A2C" w:rsidRDefault="00E33A2C" w:rsidP="001E189A">
            <w:r>
              <w:t>81%</w:t>
            </w:r>
          </w:p>
        </w:tc>
        <w:tc>
          <w:tcPr>
            <w:tcW w:w="1207" w:type="dxa"/>
          </w:tcPr>
          <w:p w14:paraId="7E68C173" w14:textId="77777777" w:rsidR="00E33A2C" w:rsidRDefault="00E33A2C" w:rsidP="001E189A">
            <w:r>
              <w:t>95%</w:t>
            </w:r>
          </w:p>
        </w:tc>
        <w:tc>
          <w:tcPr>
            <w:tcW w:w="1205" w:type="dxa"/>
            <w:gridSpan w:val="2"/>
          </w:tcPr>
          <w:p w14:paraId="13D243A1" w14:textId="77777777" w:rsidR="00E33A2C" w:rsidRDefault="00E33A2C" w:rsidP="001E189A">
            <w:r>
              <w:t>1.0</w:t>
            </w:r>
          </w:p>
        </w:tc>
        <w:tc>
          <w:tcPr>
            <w:tcW w:w="1205" w:type="dxa"/>
          </w:tcPr>
          <w:p w14:paraId="04792BDE" w14:textId="77777777" w:rsidR="00E33A2C" w:rsidRDefault="00E33A2C" w:rsidP="001E189A">
            <w:r>
              <w:t>84%</w:t>
            </w:r>
          </w:p>
        </w:tc>
        <w:tc>
          <w:tcPr>
            <w:tcW w:w="1207" w:type="dxa"/>
          </w:tcPr>
          <w:p w14:paraId="379495DA" w14:textId="77777777" w:rsidR="00E33A2C" w:rsidRDefault="00E33A2C" w:rsidP="001E189A">
            <w:r>
              <w:t>86%</w:t>
            </w:r>
          </w:p>
        </w:tc>
      </w:tr>
      <w:tr w:rsidR="00E33A2C" w14:paraId="202E8B5F" w14:textId="77777777" w:rsidTr="001E189A">
        <w:tc>
          <w:tcPr>
            <w:tcW w:w="2125" w:type="dxa"/>
          </w:tcPr>
          <w:p w14:paraId="3B44CCDC" w14:textId="77777777" w:rsidR="00E33A2C" w:rsidRDefault="00E33A2C" w:rsidP="001E189A">
            <w:r>
              <w:t>TLG (ml)</w:t>
            </w:r>
          </w:p>
        </w:tc>
        <w:tc>
          <w:tcPr>
            <w:tcW w:w="1205" w:type="dxa"/>
            <w:gridSpan w:val="2"/>
          </w:tcPr>
          <w:p w14:paraId="5973DBC7" w14:textId="77777777" w:rsidR="00E33A2C" w:rsidRDefault="00E33A2C" w:rsidP="001E189A">
            <w:r>
              <w:t>1.0</w:t>
            </w:r>
          </w:p>
        </w:tc>
        <w:tc>
          <w:tcPr>
            <w:tcW w:w="1206" w:type="dxa"/>
          </w:tcPr>
          <w:p w14:paraId="4CC3428D" w14:textId="77777777" w:rsidR="00E33A2C" w:rsidRDefault="00E33A2C" w:rsidP="001E189A">
            <w:r>
              <w:t>91%</w:t>
            </w:r>
          </w:p>
        </w:tc>
        <w:tc>
          <w:tcPr>
            <w:tcW w:w="1207" w:type="dxa"/>
          </w:tcPr>
          <w:p w14:paraId="79DCEC38" w14:textId="77777777" w:rsidR="00E33A2C" w:rsidRDefault="00E33A2C" w:rsidP="001E189A">
            <w:r>
              <w:t>81%</w:t>
            </w:r>
          </w:p>
        </w:tc>
        <w:tc>
          <w:tcPr>
            <w:tcW w:w="1205" w:type="dxa"/>
            <w:gridSpan w:val="2"/>
          </w:tcPr>
          <w:p w14:paraId="2B5F07BF" w14:textId="77777777" w:rsidR="00E33A2C" w:rsidRDefault="00E33A2C" w:rsidP="001E189A">
            <w:r>
              <w:t>3.0</w:t>
            </w:r>
          </w:p>
        </w:tc>
        <w:tc>
          <w:tcPr>
            <w:tcW w:w="1206" w:type="dxa"/>
          </w:tcPr>
          <w:p w14:paraId="77B8F756" w14:textId="77777777" w:rsidR="00E33A2C" w:rsidRDefault="00E33A2C" w:rsidP="001E189A">
            <w:r>
              <w:t>84%</w:t>
            </w:r>
          </w:p>
        </w:tc>
        <w:tc>
          <w:tcPr>
            <w:tcW w:w="1206" w:type="dxa"/>
          </w:tcPr>
          <w:p w14:paraId="0DF58CFD" w14:textId="77777777" w:rsidR="00E33A2C" w:rsidRDefault="00E33A2C" w:rsidP="001E189A">
            <w:r>
              <w:t>91%</w:t>
            </w:r>
          </w:p>
        </w:tc>
      </w:tr>
    </w:tbl>
    <w:p w14:paraId="29A9FC28" w14:textId="77777777" w:rsidR="00EF2850" w:rsidRDefault="00EF2850" w:rsidP="00E65AC2">
      <w:pPr>
        <w:spacing w:line="276" w:lineRule="auto"/>
        <w:rPr>
          <w:rFonts w:ascii="Arial" w:hAnsi="Arial" w:cs="Arial"/>
          <w:color w:val="000000" w:themeColor="text1"/>
        </w:rPr>
      </w:pPr>
    </w:p>
    <w:p w14:paraId="6CDA22A8" w14:textId="2B101456" w:rsidR="00D21D95" w:rsidRDefault="00D21D95" w:rsidP="00E65AC2">
      <w:pPr>
        <w:spacing w:line="276" w:lineRule="auto"/>
        <w:rPr>
          <w:rFonts w:ascii="Arial" w:hAnsi="Arial" w:cs="Arial"/>
          <w:color w:val="000000" w:themeColor="text1"/>
        </w:rPr>
      </w:pPr>
    </w:p>
    <w:p w14:paraId="4D8CB614" w14:textId="2D6557BF" w:rsidR="00E65AC2" w:rsidRDefault="007E5016" w:rsidP="00E65AC2">
      <w:pPr>
        <w:spacing w:line="276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</w:rPr>
        <w:drawing>
          <wp:inline distT="0" distB="0" distL="0" distR="0" wp14:anchorId="23E3FC40" wp14:editId="7E3C0E87">
            <wp:extent cx="5943600" cy="1854200"/>
            <wp:effectExtent l="0" t="0" r="0" b="0"/>
            <wp:docPr id="75441814" name="Picture 1" descr="A black scree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41814" name="Picture 1" descr="A black screen with white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1FAED" w14:textId="77777777" w:rsidR="00E65AC2" w:rsidRDefault="00E65AC2" w:rsidP="00E65AC2">
      <w:pPr>
        <w:spacing w:line="276" w:lineRule="auto"/>
        <w:rPr>
          <w:rFonts w:ascii="Arial" w:hAnsi="Arial" w:cs="Arial"/>
          <w:color w:val="000000" w:themeColor="text1"/>
        </w:rPr>
      </w:pPr>
      <w:r w:rsidRPr="00E65AC2">
        <w:rPr>
          <w:rFonts w:ascii="Arial" w:hAnsi="Arial" w:cs="Arial"/>
          <w:color w:val="000000" w:themeColor="text1"/>
          <w:u w:val="single"/>
        </w:rPr>
        <w:t>Figure 1:</w:t>
      </w:r>
      <w:r>
        <w:rPr>
          <w:rFonts w:ascii="Arial" w:hAnsi="Arial" w:cs="Arial"/>
          <w:color w:val="000000" w:themeColor="text1"/>
        </w:rPr>
        <w:tab/>
        <w:t xml:space="preserve">Flow chart to establish the composite reference standard (CRS) for each PET-positive mediastinal lymph node. TP=true positive, FP=false positive, TN=true negative and FN=false negative. </w:t>
      </w:r>
    </w:p>
    <w:p w14:paraId="7DEAB533" w14:textId="77777777" w:rsidR="00D21D95" w:rsidRDefault="00D21D95">
      <w:pPr>
        <w:rPr>
          <w:rFonts w:ascii="Arial" w:hAnsi="Arial" w:cs="Arial"/>
          <w:color w:val="000000" w:themeColor="text1"/>
        </w:rPr>
      </w:pPr>
    </w:p>
    <w:p w14:paraId="7BCF10AE" w14:textId="77777777" w:rsidR="00AA3C52" w:rsidRDefault="00AA3C52">
      <w:pPr>
        <w:rPr>
          <w:rFonts w:ascii="Arial" w:hAnsi="Arial" w:cs="Arial"/>
          <w:color w:val="000000" w:themeColor="text1"/>
        </w:rPr>
      </w:pPr>
    </w:p>
    <w:p w14:paraId="461772C6" w14:textId="66613292" w:rsidR="00AA3C52" w:rsidRDefault="00484D60" w:rsidP="00973967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39DDF73C" wp14:editId="43491081">
            <wp:extent cx="5259589" cy="5314660"/>
            <wp:effectExtent l="0" t="0" r="0" b="0"/>
            <wp:docPr id="1517299566" name="Picture 1" descr="A graph of different types of tumor cel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299566" name="Picture 1" descr="A graph of different types of tumor cells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7192" cy="535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261BE" w14:textId="19F14A32" w:rsidR="0027239D" w:rsidRPr="00D21D95" w:rsidRDefault="0027239D">
      <w:pPr>
        <w:rPr>
          <w:rFonts w:ascii="Arial" w:hAnsi="Arial" w:cs="Arial"/>
          <w:color w:val="000000" w:themeColor="text1"/>
        </w:rPr>
      </w:pPr>
      <w:r w:rsidRPr="00043ACA">
        <w:rPr>
          <w:rFonts w:ascii="Arial" w:hAnsi="Arial" w:cs="Arial"/>
          <w:color w:val="000000" w:themeColor="text1"/>
          <w:u w:val="single"/>
        </w:rPr>
        <w:t>Figure 2:</w:t>
      </w:r>
      <w:r>
        <w:rPr>
          <w:rFonts w:ascii="Arial" w:hAnsi="Arial" w:cs="Arial"/>
          <w:color w:val="000000" w:themeColor="text1"/>
        </w:rPr>
        <w:tab/>
      </w:r>
      <w:r w:rsidR="000C0330">
        <w:rPr>
          <w:rFonts w:ascii="Arial" w:hAnsi="Arial" w:cs="Arial"/>
          <w:color w:val="000000" w:themeColor="text1"/>
        </w:rPr>
        <w:t xml:space="preserve">Displayed are metabolic tumor volumes </w:t>
      </w:r>
      <w:r w:rsidR="00A64549">
        <w:rPr>
          <w:rFonts w:ascii="Arial" w:hAnsi="Arial" w:cs="Arial"/>
          <w:color w:val="000000" w:themeColor="text1"/>
        </w:rPr>
        <w:t xml:space="preserve">(MTV, A) and total lesion glycolysis (TLG, B) on Total-Body (TB) and short-axial field-of-view (SAFOV) PET/CT. C and D show </w:t>
      </w:r>
      <w:r w:rsidR="00043ACA">
        <w:rPr>
          <w:rFonts w:ascii="Arial" w:hAnsi="Arial" w:cs="Arial"/>
          <w:color w:val="000000" w:themeColor="text1"/>
        </w:rPr>
        <w:t xml:space="preserve">TLG receiver operator characteristics (ROC) for both scanners. </w:t>
      </w:r>
    </w:p>
    <w:sectPr w:rsidR="0027239D" w:rsidRPr="00D21D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95"/>
    <w:rsid w:val="00040BAF"/>
    <w:rsid w:val="00043ACA"/>
    <w:rsid w:val="000559E5"/>
    <w:rsid w:val="00093425"/>
    <w:rsid w:val="00093FB8"/>
    <w:rsid w:val="000A497B"/>
    <w:rsid w:val="000A777E"/>
    <w:rsid w:val="000C0330"/>
    <w:rsid w:val="000D38AB"/>
    <w:rsid w:val="000E7408"/>
    <w:rsid w:val="000F4A65"/>
    <w:rsid w:val="001014EB"/>
    <w:rsid w:val="00135609"/>
    <w:rsid w:val="0016096F"/>
    <w:rsid w:val="00160C0B"/>
    <w:rsid w:val="00166B6F"/>
    <w:rsid w:val="00186C2F"/>
    <w:rsid w:val="001A0A4C"/>
    <w:rsid w:val="00201BF3"/>
    <w:rsid w:val="00210F6E"/>
    <w:rsid w:val="00262DEE"/>
    <w:rsid w:val="00263032"/>
    <w:rsid w:val="0027239D"/>
    <w:rsid w:val="002A07C1"/>
    <w:rsid w:val="002C1456"/>
    <w:rsid w:val="002E01C0"/>
    <w:rsid w:val="002F4EA6"/>
    <w:rsid w:val="003135E2"/>
    <w:rsid w:val="00326094"/>
    <w:rsid w:val="003363CF"/>
    <w:rsid w:val="003512D8"/>
    <w:rsid w:val="003838C0"/>
    <w:rsid w:val="003A5B6C"/>
    <w:rsid w:val="003C49A8"/>
    <w:rsid w:val="003C5BC7"/>
    <w:rsid w:val="003D6E17"/>
    <w:rsid w:val="003F140C"/>
    <w:rsid w:val="00400C0D"/>
    <w:rsid w:val="004124AD"/>
    <w:rsid w:val="004126D0"/>
    <w:rsid w:val="00412FEE"/>
    <w:rsid w:val="00416E89"/>
    <w:rsid w:val="00484D60"/>
    <w:rsid w:val="004F7AB0"/>
    <w:rsid w:val="00504ED6"/>
    <w:rsid w:val="00525E93"/>
    <w:rsid w:val="00571775"/>
    <w:rsid w:val="005D707B"/>
    <w:rsid w:val="005F2BDE"/>
    <w:rsid w:val="0060027C"/>
    <w:rsid w:val="006201D4"/>
    <w:rsid w:val="00667B5A"/>
    <w:rsid w:val="006A2609"/>
    <w:rsid w:val="00732815"/>
    <w:rsid w:val="00746930"/>
    <w:rsid w:val="0075406A"/>
    <w:rsid w:val="00757500"/>
    <w:rsid w:val="00762257"/>
    <w:rsid w:val="00776479"/>
    <w:rsid w:val="00781A2D"/>
    <w:rsid w:val="007A236A"/>
    <w:rsid w:val="007B6DF3"/>
    <w:rsid w:val="007C41B6"/>
    <w:rsid w:val="007D6D1D"/>
    <w:rsid w:val="007E0924"/>
    <w:rsid w:val="007E0D1A"/>
    <w:rsid w:val="007E5016"/>
    <w:rsid w:val="007F5772"/>
    <w:rsid w:val="00802ADA"/>
    <w:rsid w:val="00802EC1"/>
    <w:rsid w:val="00803526"/>
    <w:rsid w:val="00806D49"/>
    <w:rsid w:val="0081466E"/>
    <w:rsid w:val="008A14BD"/>
    <w:rsid w:val="00917C87"/>
    <w:rsid w:val="0094676D"/>
    <w:rsid w:val="0096029E"/>
    <w:rsid w:val="00973967"/>
    <w:rsid w:val="0097746C"/>
    <w:rsid w:val="00985526"/>
    <w:rsid w:val="0099766B"/>
    <w:rsid w:val="009B133B"/>
    <w:rsid w:val="009B5233"/>
    <w:rsid w:val="00A20BE8"/>
    <w:rsid w:val="00A20FEC"/>
    <w:rsid w:val="00A572E2"/>
    <w:rsid w:val="00A64549"/>
    <w:rsid w:val="00A8155D"/>
    <w:rsid w:val="00A94912"/>
    <w:rsid w:val="00AA3C52"/>
    <w:rsid w:val="00AD149F"/>
    <w:rsid w:val="00AD2BE1"/>
    <w:rsid w:val="00B22872"/>
    <w:rsid w:val="00B437D7"/>
    <w:rsid w:val="00B529DE"/>
    <w:rsid w:val="00B768A1"/>
    <w:rsid w:val="00BA1D18"/>
    <w:rsid w:val="00BA56E2"/>
    <w:rsid w:val="00BB0AC7"/>
    <w:rsid w:val="00C05A14"/>
    <w:rsid w:val="00C249E6"/>
    <w:rsid w:val="00C51916"/>
    <w:rsid w:val="00C96CF4"/>
    <w:rsid w:val="00CD3BA9"/>
    <w:rsid w:val="00CF4BA3"/>
    <w:rsid w:val="00D21D95"/>
    <w:rsid w:val="00D268DF"/>
    <w:rsid w:val="00D34FD0"/>
    <w:rsid w:val="00D37DB2"/>
    <w:rsid w:val="00D4120F"/>
    <w:rsid w:val="00D4732A"/>
    <w:rsid w:val="00D63A82"/>
    <w:rsid w:val="00D720E4"/>
    <w:rsid w:val="00D75F9D"/>
    <w:rsid w:val="00D85C50"/>
    <w:rsid w:val="00D962DB"/>
    <w:rsid w:val="00D9666E"/>
    <w:rsid w:val="00D96834"/>
    <w:rsid w:val="00D979A7"/>
    <w:rsid w:val="00DA2CB8"/>
    <w:rsid w:val="00DB1D2C"/>
    <w:rsid w:val="00DB2C9F"/>
    <w:rsid w:val="00DB52F5"/>
    <w:rsid w:val="00E03657"/>
    <w:rsid w:val="00E079F6"/>
    <w:rsid w:val="00E156DE"/>
    <w:rsid w:val="00E33A2C"/>
    <w:rsid w:val="00E64284"/>
    <w:rsid w:val="00E65AC2"/>
    <w:rsid w:val="00E67934"/>
    <w:rsid w:val="00E84841"/>
    <w:rsid w:val="00E957C8"/>
    <w:rsid w:val="00ED2D3E"/>
    <w:rsid w:val="00ED7989"/>
    <w:rsid w:val="00EF2850"/>
    <w:rsid w:val="00F209B6"/>
    <w:rsid w:val="00F37663"/>
    <w:rsid w:val="00F400D0"/>
    <w:rsid w:val="00F51BEE"/>
    <w:rsid w:val="00F8723E"/>
    <w:rsid w:val="00F8778A"/>
    <w:rsid w:val="00F94C80"/>
    <w:rsid w:val="00FC2A8A"/>
    <w:rsid w:val="00FD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33E01A"/>
  <w15:chartTrackingRefBased/>
  <w15:docId w15:val="{B5F6E32A-F7A9-1943-9159-499194D1D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1D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1D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1D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1D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1D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1D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1D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1D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1D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1D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1D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1D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1D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1D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1D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1D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1D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1D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1D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D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1D9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1D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1D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1D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1D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1D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1D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1D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1D9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F2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F4A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4A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4A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4A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4A65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E33A2C"/>
    <w:pPr>
      <w:spacing w:after="200"/>
      <w:ind w:firstLine="720"/>
      <w:jc w:val="both"/>
    </w:pPr>
    <w:rPr>
      <w:rFonts w:ascii="Arial" w:hAnsi="Arial" w:cs="Times New Roman (Body CS)"/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Clemens Mingels</dc:creator>
  <cp:keywords/>
  <dc:description/>
  <cp:lastModifiedBy>Clemens Mingels</cp:lastModifiedBy>
  <cp:revision>29</cp:revision>
  <dcterms:created xsi:type="dcterms:W3CDTF">2024-06-05T21:46:00Z</dcterms:created>
  <dcterms:modified xsi:type="dcterms:W3CDTF">2024-07-25T17:23:00Z</dcterms:modified>
</cp:coreProperties>
</file>