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Data</w:t>
      </w: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Tables and Figures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3827"/>
        <w:gridCol w:w="3119"/>
      </w:tblGrid>
      <w:tr w:rsidR="00D73563" w:rsidTr="00201E3F">
        <w:trPr>
          <w:trHeight w:val="285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Visual Assessment</w:t>
            </w:r>
          </w:p>
        </w:tc>
      </w:tr>
      <w:tr w:rsidR="00D73563" w:rsidTr="00201E3F">
        <w:trPr>
          <w:trHeight w:val="29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de-DE" w:eastAsia="de-DE"/>
              </w:rPr>
              <w:t>Assessment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PSMA-PET/CT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18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F]FDG-PET/CT</w:t>
            </w:r>
          </w:p>
        </w:tc>
      </w:tr>
      <w:tr w:rsidR="00D73563" w:rsidTr="00201E3F">
        <w:trPr>
          <w:trHeight w:val="29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de-DE" w:eastAsia="de-DE"/>
              </w:rPr>
              <w:t>TNM staging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de-DE" w:eastAsia="de-DE"/>
              </w:rPr>
              <w:t>PROMISE criteria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de-DE" w:eastAsia="de-DE"/>
              </w:rPr>
              <w:t>Adapted PROMISE criteria</w:t>
            </w:r>
          </w:p>
        </w:tc>
      </w:tr>
      <w:tr w:rsidR="00D73563" w:rsidTr="00201E3F">
        <w:trPr>
          <w:trHeight w:val="29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  <w:t>Intensity of tracer uptake</w:t>
            </w:r>
          </w:p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</w:p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  <w:t>≥ Salivary glands = high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  <w:t>≥ Liver x2 = high</w:t>
            </w:r>
          </w:p>
        </w:tc>
      </w:tr>
      <w:tr w:rsidR="00D73563" w:rsidTr="00201E3F">
        <w:trPr>
          <w:trHeight w:val="295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  <w:t>≥ Liver/spleen*= intermediate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  <w:t>≥ Liver = intermediate</w:t>
            </w:r>
          </w:p>
        </w:tc>
      </w:tr>
      <w:tr w:rsidR="00D73563" w:rsidTr="00201E3F">
        <w:trPr>
          <w:trHeight w:val="295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&lt; Liver/spleen, &gt; blood pool = low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&lt; Liver/spleen, &gt; blood pool = low</w:t>
            </w:r>
          </w:p>
        </w:tc>
      </w:tr>
      <w:tr w:rsidR="00D73563" w:rsidTr="00201E3F">
        <w:trPr>
          <w:trHeight w:val="11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F]FDG-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PSMA mismatch evaluation</w:t>
            </w:r>
          </w:p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Clinically relevant mismatch: </w:t>
            </w:r>
          </w:p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1) Visceral metastases/soft tissue lesions with longest diameter of ≥10 mm and PSMA uptake lower than liver</w:t>
            </w:r>
          </w:p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2) Lymph nodes with short axis diameter exceeds 15 mm and PSMA uptake lower than liver</w:t>
            </w:r>
          </w:p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3) ≥3 bone metastases with [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de-D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F]FDG uptake higher than liver and PSMA uptake lower than liver </w:t>
            </w:r>
          </w:p>
        </w:tc>
      </w:tr>
      <w:tr w:rsidR="00D73563" w:rsidTr="00201E3F">
        <w:trPr>
          <w:trHeight w:val="46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Match: All the lesions should have PSMA uptake higher than liver, and similar or lower [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de-D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F]FDG uptake </w:t>
            </w:r>
          </w:p>
        </w:tc>
      </w:tr>
      <w:tr w:rsidR="00D73563" w:rsidTr="00201E3F">
        <w:trPr>
          <w:trHeight w:val="310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Semiquantitative Assessment</w:t>
            </w:r>
          </w:p>
        </w:tc>
      </w:tr>
      <w:tr w:rsidR="00D73563" w:rsidTr="00201E3F">
        <w:trPr>
          <w:trHeight w:val="29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de-DE" w:eastAsia="de-DE"/>
              </w:rPr>
              <w:t>Assessment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PSMA-PET/CT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18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F]FDG-PET/CT</w:t>
            </w:r>
          </w:p>
        </w:tc>
      </w:tr>
      <w:tr w:rsidR="00D73563" w:rsidTr="00201E3F">
        <w:trPr>
          <w:trHeight w:val="29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  <w:t>Threshold SUV for volume segmentation</w:t>
            </w:r>
          </w:p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  <w:t>According to RECIP 1.0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  <w:t>According to PERCIST</w:t>
            </w:r>
          </w:p>
        </w:tc>
      </w:tr>
      <w:tr w:rsidR="00D73563" w:rsidTr="00201E3F">
        <w:trPr>
          <w:trHeight w:val="533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Higher than 3 for bone lesions and 4.3x(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SUVmean+SD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 of liver))/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SUVmean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 of liver for other regions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SUV higher than 1.5x liver SUVmean+2SD of liver SUV</w:t>
            </w:r>
          </w:p>
        </w:tc>
      </w:tr>
      <w:tr w:rsidR="00D73563" w:rsidTr="00201E3F">
        <w:trPr>
          <w:trHeight w:val="32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Obtained Parameters from whole body tumor burden</w:t>
            </w:r>
          </w:p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 </w:t>
            </w:r>
          </w:p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PT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PT" w:eastAsia="de-DE"/>
              </w:rPr>
              <w:t>PSMA-VOL, PSMA-TL, PSMA-SUVmean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FDG-VOL, FDG-TLG, FDG-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SUVmean</w:t>
            </w:r>
            <w:proofErr w:type="spellEnd"/>
          </w:p>
        </w:tc>
      </w:tr>
      <w:tr w:rsidR="00D73563" w:rsidTr="00201E3F">
        <w:trPr>
          <w:trHeight w:val="295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Average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SUVpeak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 of all PSMA-positive lesions,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averageSUVmax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 of all PSMA-positive lesions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Average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SUVpeak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 of all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FDG-positive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lesions, average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SUVmax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 of all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FDG-positive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 lesions</w:t>
            </w:r>
          </w:p>
        </w:tc>
      </w:tr>
      <w:tr w:rsidR="00D73563" w:rsidTr="00201E3F">
        <w:trPr>
          <w:trHeight w:val="295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Number of PSMA-positive lesions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Number of FDG-positive lesions</w:t>
            </w:r>
          </w:p>
        </w:tc>
      </w:tr>
      <w:tr w:rsidR="00D73563" w:rsidTr="00201E3F">
        <w:trPr>
          <w:trHeight w:val="29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Per tumor site evaluation (T, N, M1a, M1b, M1c)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it-IT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it-IT" w:eastAsia="de-DE"/>
              </w:rPr>
              <w:t>PSMA-VOL, PSMA-TL per region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it-IT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it-IT" w:eastAsia="de-DE"/>
              </w:rPr>
              <w:t>FDG-VOL, FDG-TLG per region</w:t>
            </w:r>
          </w:p>
        </w:tc>
      </w:tr>
      <w:tr w:rsidR="00D73563" w:rsidTr="00201E3F">
        <w:trPr>
          <w:trHeight w:val="31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F]FDG-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PSMA mismatch evaluation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According to PERCIST</w:t>
            </w:r>
          </w:p>
        </w:tc>
      </w:tr>
      <w:tr w:rsidR="00D73563" w:rsidTr="00201E3F">
        <w:trPr>
          <w:trHeight w:val="246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de-DE" w:eastAsia="de-DE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63" w:rsidRDefault="00D73563" w:rsidP="0020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FDG-VOL mismatch, FDG-TLG mismatch</w:t>
            </w:r>
          </w:p>
        </w:tc>
      </w:tr>
    </w:tbl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Supplementary Table 1.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Summary of Imaging Analyses.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*spleen was used for [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18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F]PSMA-1007</w:t>
      </w: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73563" w:rsidRDefault="00D73563" w:rsidP="00D7356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73563" w:rsidRDefault="00D73563" w:rsidP="00D7356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73563" w:rsidRDefault="00D73563" w:rsidP="00D7356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73563" w:rsidRDefault="00D73563" w:rsidP="00D7356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73563" w:rsidRDefault="00D73563" w:rsidP="00D7356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73563" w:rsidRDefault="00D73563" w:rsidP="00D7356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73563" w:rsidRDefault="00D73563" w:rsidP="00D7356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950"/>
        <w:gridCol w:w="2581"/>
        <w:gridCol w:w="2541"/>
      </w:tblGrid>
      <w:tr w:rsidR="00D73563" w:rsidTr="00201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258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D73563" w:rsidRDefault="00D73563" w:rsidP="00201E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Hazard Ratio [95% CI]</w:t>
            </w:r>
          </w:p>
        </w:tc>
        <w:tc>
          <w:tcPr>
            <w:tcW w:w="254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D73563" w:rsidRDefault="00D73563" w:rsidP="00201E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single" w:sz="4" w:space="0" w:color="auto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PSMA_min_SUVmax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0.548 [0.126, 2.377]</w:t>
            </w:r>
          </w:p>
        </w:tc>
        <w:tc>
          <w:tcPr>
            <w:tcW w:w="2541" w:type="dxa"/>
            <w:tcBorders>
              <w:top w:val="single" w:sz="4" w:space="0" w:color="auto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0.422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PSMA_max_SUVmax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0.987 [0.94, 1.037]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0.608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PSMA_mean_SUVmax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0.855 [0.669, 1.093]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0.211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PSMA_mean_SUVpeak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0.681 [0.424, 1.095]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0.113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PSMA_mean_SUVmean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0.557 [0.284, 1.095]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PSMA_TL_local_pelvic_lymph_nodes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1.178 [0.885, 1.568]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0.263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PSMA_TL_M1a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 [0.626, 1.022]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0.074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PSMA_TL_M1b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1.054 [1.022, 1.086]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PSMA_TL_M1c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1.094 [0.865, 1.383]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0.453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PSMA_TV_local_pelvic_lymph_nodes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1.93 [1.025, 3.633]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0.042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PSMA_TV_M1a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0.749 [0.492, 1.141]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0.178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PSMA_TV_M1b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1.057 [1.027, 1.089]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PSMA_TV_M1c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1.421 [1.033, 1.953]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0.031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PSMA_stage_M1a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0.995 [0.638, 1.551]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0.982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single" w:sz="4" w:space="0" w:color="auto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PSMA_stage_M1b</w:t>
            </w:r>
          </w:p>
        </w:tc>
        <w:tc>
          <w:tcPr>
            <w:tcW w:w="2581" w:type="dxa"/>
            <w:tcBorders>
              <w:top w:val="nil"/>
              <w:bottom w:val="single" w:sz="4" w:space="0" w:color="auto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6.477 [0.9, 46.583]</w:t>
            </w:r>
          </w:p>
        </w:tc>
        <w:tc>
          <w:tcPr>
            <w:tcW w:w="2541" w:type="dxa"/>
            <w:tcBorders>
              <w:top w:val="nil"/>
              <w:bottom w:val="single" w:sz="4" w:space="0" w:color="auto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0.063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single" w:sz="4" w:space="0" w:color="auto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FDG_min_SUVmax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1.034 [0.574, 1.862]</w:t>
            </w:r>
          </w:p>
        </w:tc>
        <w:tc>
          <w:tcPr>
            <w:tcW w:w="2541" w:type="dxa"/>
            <w:tcBorders>
              <w:top w:val="single" w:sz="4" w:space="0" w:color="auto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0.911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FDG_max_SUVmax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1.139 [1.01, 1.284]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0.034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FDG_mean_SUVmax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1.109 [0.807, 1.525]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0.522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FDG_mean_SUVpeak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1.131 [0.646, 1.981]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0.667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FDG_mean_SUVmean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1.391 [0.637, 3.037]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0.407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FDG_TLG_local_pelvic_lymph_nodes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1.456 [0.916, 2.315]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0.112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FDG_TLG_M1a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0.846 [0.592, 1.209]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0.359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FDG_TLG_M1b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1.223 [1.089, 1.373]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FDG_TLG_M1c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1.79 [1.377, 2.327]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FDG_MTV_local_pelvic_lymph_nodes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6.008 [2.784, 12.961]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FDG_MTV_M1a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0.824 [0.546, 1.243]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0.356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FDG_MTV_M1b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1.193 [1.098, 1.296]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FDG_MTV_M1c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1.417 [1.222, 1.643]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FDG_stage_M1a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0.966 [0.632, 1.476]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0.873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FDG_stage_M1b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7.162 [1.752, 29.279]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single" w:sz="4" w:space="0" w:color="auto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FDG_stage_M1c</w:t>
            </w:r>
          </w:p>
        </w:tc>
        <w:tc>
          <w:tcPr>
            <w:tcW w:w="2581" w:type="dxa"/>
            <w:tcBorders>
              <w:top w:val="nil"/>
              <w:bottom w:val="single" w:sz="4" w:space="0" w:color="auto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1.067 [0.679, 1.676]</w:t>
            </w:r>
          </w:p>
        </w:tc>
        <w:tc>
          <w:tcPr>
            <w:tcW w:w="2541" w:type="dxa"/>
            <w:tcBorders>
              <w:top w:val="nil"/>
              <w:bottom w:val="single" w:sz="4" w:space="0" w:color="auto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</w:tr>
    </w:tbl>
    <w:p w:rsidR="00D73563" w:rsidRDefault="00D73563" w:rsidP="00D73563">
      <w:pPr>
        <w:pStyle w:val="EndNoteBibliography"/>
        <w:numPr>
          <w:ilvl w:val="0"/>
          <w:numId w:val="0"/>
        </w:numPr>
        <w:spacing w:before="24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Supplementary Table 2.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Results of </w:t>
      </w:r>
      <w:r>
        <w:rPr>
          <w:rFonts w:ascii="Times New Roman" w:eastAsiaTheme="minorEastAsia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univariate Cox Proportional Hazards Model of Overall Survival for aditional parameters within the LuPSMA group.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Hazard ratios (HR), 95% confidence intervals (95%CI) and p-values are presented for the LuPSMA treated and SOC group</w:t>
      </w:r>
    </w:p>
    <w:p w:rsidR="00D73563" w:rsidRDefault="00D73563" w:rsidP="00D73563">
      <w:pPr>
        <w:pStyle w:val="EndNoteBibliography"/>
        <w:numPr>
          <w:ilvl w:val="0"/>
          <w:numId w:val="0"/>
        </w:numPr>
        <w:spacing w:before="24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73563" w:rsidRDefault="00D73563" w:rsidP="00D73563">
      <w:pPr>
        <w:pStyle w:val="EndNoteBibliography"/>
        <w:numPr>
          <w:ilvl w:val="0"/>
          <w:numId w:val="0"/>
        </w:numPr>
        <w:spacing w:before="24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73563" w:rsidRDefault="00D73563" w:rsidP="00D73563">
      <w:pPr>
        <w:pStyle w:val="EndNoteBibliography"/>
        <w:numPr>
          <w:ilvl w:val="0"/>
          <w:numId w:val="0"/>
        </w:numPr>
        <w:spacing w:before="24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73563" w:rsidRDefault="00D73563" w:rsidP="00D73563">
      <w:pPr>
        <w:pStyle w:val="EndNoteBibliography"/>
        <w:numPr>
          <w:ilvl w:val="0"/>
          <w:numId w:val="0"/>
        </w:numPr>
        <w:spacing w:before="24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950"/>
        <w:gridCol w:w="2581"/>
        <w:gridCol w:w="2541"/>
      </w:tblGrid>
      <w:tr w:rsidR="00D73563" w:rsidTr="00201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258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D73563" w:rsidRDefault="00D73563" w:rsidP="00201E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Hazard Ratio [95% CI]</w:t>
            </w:r>
          </w:p>
        </w:tc>
        <w:tc>
          <w:tcPr>
            <w:tcW w:w="254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D73563" w:rsidRDefault="00D73563" w:rsidP="00201E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single" w:sz="4" w:space="0" w:color="auto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PSMA_min_SUVmax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0.846 [0.198, 3.614]</w:t>
            </w:r>
          </w:p>
        </w:tc>
        <w:tc>
          <w:tcPr>
            <w:tcW w:w="2541" w:type="dxa"/>
            <w:tcBorders>
              <w:top w:val="single" w:sz="4" w:space="0" w:color="auto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0.821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PSMA_max_SUVmax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1.022 [0.95, 1.1]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0.561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PSMA_mean_SUVmax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1.099 [0.839, 1.441]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0.493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PSMA_mean_SUVpeak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1.244 [0.762, 2.032]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0.383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PSMA_mean_SUVmean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1.073 [0.723, 1.592]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0.728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PSMA_TL_local_pelvic_lymph_nodes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1.071 [0.942, 1.218]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0.296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PSMA_TL_M1a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1.132 [0.863, 1.484]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PSMA_TL_M1b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1.059 [1.0, 1.121]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PSMA_TL_M1c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1.172 [1.081, 1.27]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PSMA_TV_local_pelvic_lymph_nodes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1.269 [0.96, 1.678]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0.094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PSMA_TV_M1a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2.409 [0.989, 5.868]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0.053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PSMA_TV_M1b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1.059 [1.007, 1.114]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0.027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single" w:sz="4" w:space="0" w:color="auto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PSMA_TV_M1c</w:t>
            </w:r>
          </w:p>
        </w:tc>
        <w:tc>
          <w:tcPr>
            <w:tcW w:w="2581" w:type="dxa"/>
            <w:tcBorders>
              <w:top w:val="nil"/>
              <w:bottom w:val="single" w:sz="4" w:space="0" w:color="auto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1.54 [1.281, 1.851]</w:t>
            </w:r>
          </w:p>
        </w:tc>
        <w:tc>
          <w:tcPr>
            <w:tcW w:w="2541" w:type="dxa"/>
            <w:tcBorders>
              <w:top w:val="nil"/>
              <w:bottom w:val="single" w:sz="4" w:space="0" w:color="auto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single" w:sz="4" w:space="0" w:color="auto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FDG_min_SUVmax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1.61 [0.374, 6.918]</w:t>
            </w:r>
          </w:p>
        </w:tc>
        <w:tc>
          <w:tcPr>
            <w:tcW w:w="2541" w:type="dxa"/>
            <w:tcBorders>
              <w:top w:val="single" w:sz="4" w:space="0" w:color="auto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0.522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FDG_max_SUVmax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1.398 [1.157, 1.689]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FDG_mean_SUVmax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1.769 [1.11, 2.82]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0.016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FDG_mean_SUVpeak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2.843 [1.063, 7.605]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0.037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FDG_mean_SUVmean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5.397 [1.103, 26.411]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0.037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FDG_TLG_local_pelvic_lymph_nodes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1.341 [0.845, 2.126]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0.213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FDG_TLG_M1a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1.908 [1.231, 2.958]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FDG_TLG_M1b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1.089 [0.977, 1.213]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0.124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FDG_TLG_M1c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1.129 [1.049, 1.216]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FDG_MTV_local_pelvic_lymph_nodes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1.368 [0.909, 2.059]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0.133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FDG_MTV_M1a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1.561 [1.166, 2.091]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FDG_MTV_M1b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1.081 [0.987, 1.185]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0.094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FDG_MTV_M1c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1.121 [1.053, 1.193]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FDG_stage_M1a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1.774 [0.97, 3.243]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0.063</w:t>
            </w:r>
          </w:p>
        </w:tc>
      </w:tr>
      <w:tr w:rsidR="00D73563" w:rsidTr="00201E3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FDG_stage_M1b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1.239 [0.442, 3.477]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:rsidR="00D73563" w:rsidRDefault="00D73563" w:rsidP="00201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0.684</w:t>
            </w:r>
          </w:p>
        </w:tc>
      </w:tr>
      <w:tr w:rsidR="00D73563" w:rsidTr="00201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nil"/>
              <w:bottom w:val="single" w:sz="4" w:space="0" w:color="auto"/>
            </w:tcBorders>
          </w:tcPr>
          <w:p w:rsidR="00D73563" w:rsidRDefault="00D73563" w:rsidP="00201E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FDG_stage_M1c</w:t>
            </w:r>
          </w:p>
        </w:tc>
        <w:tc>
          <w:tcPr>
            <w:tcW w:w="2581" w:type="dxa"/>
            <w:tcBorders>
              <w:top w:val="nil"/>
              <w:bottom w:val="single" w:sz="4" w:space="0" w:color="auto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2.263 [1.207, 4.243]</w:t>
            </w:r>
          </w:p>
        </w:tc>
        <w:tc>
          <w:tcPr>
            <w:tcW w:w="2541" w:type="dxa"/>
            <w:tcBorders>
              <w:top w:val="nil"/>
              <w:bottom w:val="single" w:sz="4" w:space="0" w:color="auto"/>
            </w:tcBorders>
          </w:tcPr>
          <w:p w:rsidR="00D73563" w:rsidRDefault="00D73563" w:rsidP="00201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0.011</w:t>
            </w:r>
          </w:p>
        </w:tc>
      </w:tr>
    </w:tbl>
    <w:p w:rsidR="00D73563" w:rsidRDefault="00D73563" w:rsidP="00D73563">
      <w:pPr>
        <w:pStyle w:val="EndNoteBibliography"/>
        <w:numPr>
          <w:ilvl w:val="0"/>
          <w:numId w:val="0"/>
        </w:numPr>
        <w:spacing w:before="24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Supplementary Table 3.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Results of </w:t>
      </w:r>
      <w:r>
        <w:rPr>
          <w:rFonts w:ascii="Times New Roman" w:eastAsiaTheme="minorEastAsia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univariate Cox Proportional Hazards Model of overall survival for aditional parameters of SOC group.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Hazard ratios (HR), 95% confidence intervals (95%CI) and p-values are presented for the LuPSMA treated and SOC group</w:t>
      </w: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PH" w:eastAsia="en-PH"/>
        </w:rPr>
        <w:lastRenderedPageBreak/>
        <w:drawing>
          <wp:inline distT="0" distB="0" distL="0" distR="0" wp14:anchorId="5241656F" wp14:editId="31DD30D6">
            <wp:extent cx="5760720" cy="7467312"/>
            <wp:effectExtent l="0" t="0" r="0" b="635"/>
            <wp:docPr id="11" name="Picture 11" descr="C:\Users\E1019000\Documents\phd_bern\projects\fdg_psma_survival\SupFi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1019000\Documents\phd_bern\projects\fdg_psma_survival\SupFig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563" w:rsidRDefault="00D73563" w:rsidP="00D73563">
      <w:pPr>
        <w:pStyle w:val="paragraph"/>
        <w:spacing w:line="480" w:lineRule="auto"/>
        <w:rPr>
          <w:color w:val="000000" w:themeColor="text1"/>
        </w:rPr>
      </w:pPr>
      <w:proofErr w:type="gramStart"/>
      <w:r>
        <w:rPr>
          <w:rFonts w:eastAsiaTheme="minorEastAsia"/>
          <w:b/>
          <w:color w:val="000000" w:themeColor="text1"/>
          <w:sz w:val="20"/>
          <w:szCs w:val="20"/>
          <w:shd w:val="clear" w:color="auto" w:fill="FFFFFF"/>
        </w:rPr>
        <w:lastRenderedPageBreak/>
        <w:t>Supplementary Figure 1.</w:t>
      </w:r>
      <w:proofErr w:type="gramEnd"/>
      <w:r>
        <w:rPr>
          <w:rFonts w:eastAsiaTheme="minorEastAsia"/>
          <w:b/>
          <w:color w:val="000000" w:themeColor="text1"/>
          <w:sz w:val="20"/>
          <w:szCs w:val="20"/>
          <w:shd w:val="clear" w:color="auto" w:fill="FFFFFF"/>
        </w:rPr>
        <w:t xml:space="preserve"> Forest plots of univariate Cox Proportional Hazards Model of </w:t>
      </w:r>
      <w:r>
        <w:rPr>
          <w:b/>
          <w:color w:val="000000" w:themeColor="text1"/>
          <w:sz w:val="20"/>
          <w:szCs w:val="20"/>
        </w:rPr>
        <w:t>[⁶⁸Ga</w:t>
      </w:r>
      <w:proofErr w:type="gramStart"/>
      <w:r>
        <w:rPr>
          <w:b/>
          <w:color w:val="000000" w:themeColor="text1"/>
          <w:sz w:val="20"/>
          <w:szCs w:val="20"/>
        </w:rPr>
        <w:t>]Ga</w:t>
      </w:r>
      <w:proofErr w:type="gramEnd"/>
      <w:r>
        <w:rPr>
          <w:b/>
          <w:color w:val="000000" w:themeColor="text1"/>
          <w:sz w:val="20"/>
          <w:szCs w:val="20"/>
        </w:rPr>
        <w:t>-PSMA-11</w:t>
      </w:r>
      <w:r>
        <w:rPr>
          <w:color w:val="000000" w:themeColor="text1"/>
          <w:sz w:val="20"/>
          <w:szCs w:val="20"/>
        </w:rPr>
        <w:t xml:space="preserve"> </w:t>
      </w:r>
      <w:r>
        <w:rPr>
          <w:rFonts w:eastAsiaTheme="minorEastAsia"/>
          <w:b/>
          <w:color w:val="000000" w:themeColor="text1"/>
          <w:sz w:val="20"/>
          <w:szCs w:val="20"/>
          <w:shd w:val="clear" w:color="auto" w:fill="FFFFFF"/>
        </w:rPr>
        <w:t xml:space="preserve">group in A) </w:t>
      </w:r>
      <w:proofErr w:type="spellStart"/>
      <w:r>
        <w:rPr>
          <w:rFonts w:eastAsiaTheme="minorEastAsia"/>
          <w:b/>
          <w:color w:val="000000" w:themeColor="text1"/>
          <w:sz w:val="20"/>
          <w:szCs w:val="20"/>
          <w:shd w:val="clear" w:color="auto" w:fill="FFFFFF"/>
        </w:rPr>
        <w:t>LuPSMA</w:t>
      </w:r>
      <w:proofErr w:type="spellEnd"/>
      <w:r>
        <w:rPr>
          <w:rFonts w:eastAsiaTheme="minorEastAsia"/>
          <w:b/>
          <w:color w:val="000000" w:themeColor="text1"/>
          <w:sz w:val="20"/>
          <w:szCs w:val="20"/>
          <w:shd w:val="clear" w:color="auto" w:fill="FFFFFF"/>
        </w:rPr>
        <w:t xml:space="preserve"> and B) other SOC</w:t>
      </w:r>
      <w:r>
        <w:rPr>
          <w:b/>
          <w:color w:val="000000" w:themeColor="text1"/>
          <w:sz w:val="20"/>
          <w:szCs w:val="20"/>
          <w:shd w:val="clear" w:color="auto" w:fill="FFFFFF"/>
        </w:rPr>
        <w:t xml:space="preserve"> group.</w:t>
      </w:r>
      <w:r>
        <w:rPr>
          <w:color w:val="000000" w:themeColor="text1"/>
          <w:sz w:val="20"/>
          <w:szCs w:val="20"/>
          <w:shd w:val="clear" w:color="auto" w:fill="FFFFFF"/>
        </w:rPr>
        <w:t xml:space="preserve"> Hazard ratios, 95% confidence intervals (95% CI) as well as p-values of each univariate cox model are presented.</w:t>
      </w: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PH" w:eastAsia="en-PH"/>
        </w:rPr>
        <w:drawing>
          <wp:inline distT="0" distB="0" distL="0" distR="0" wp14:anchorId="6E01475B" wp14:editId="421B4D11">
            <wp:extent cx="5760720" cy="7467312"/>
            <wp:effectExtent l="0" t="0" r="0" b="635"/>
            <wp:docPr id="12" name="Picture 12" descr="C:\Users\E1019000\Documents\phd_bern\projects\fdg_psma_survival\SupFi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1019000\Documents\phd_bern\projects\fdg_psma_survival\SupFig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563" w:rsidRDefault="00D73563" w:rsidP="00D73563">
      <w:pPr>
        <w:pStyle w:val="paragraph"/>
        <w:spacing w:line="480" w:lineRule="auto"/>
        <w:rPr>
          <w:color w:val="000000" w:themeColor="text1"/>
          <w:sz w:val="20"/>
          <w:szCs w:val="20"/>
          <w:shd w:val="clear" w:color="auto" w:fill="FFFFFF"/>
        </w:rPr>
      </w:pPr>
      <w:proofErr w:type="gramStart"/>
      <w:r>
        <w:rPr>
          <w:rFonts w:eastAsiaTheme="minorEastAsia"/>
          <w:b/>
          <w:color w:val="000000" w:themeColor="text1"/>
          <w:sz w:val="20"/>
          <w:szCs w:val="20"/>
          <w:shd w:val="clear" w:color="auto" w:fill="FFFFFF"/>
        </w:rPr>
        <w:lastRenderedPageBreak/>
        <w:t>Supplementary Figure 2.</w:t>
      </w:r>
      <w:proofErr w:type="gramEnd"/>
      <w:r>
        <w:rPr>
          <w:rFonts w:eastAsiaTheme="minorEastAsia"/>
          <w:b/>
          <w:color w:val="000000" w:themeColor="text1"/>
          <w:sz w:val="20"/>
          <w:szCs w:val="20"/>
          <w:shd w:val="clear" w:color="auto" w:fill="FFFFFF"/>
        </w:rPr>
        <w:t xml:space="preserve"> Forest plots of univariate Cox Proportional Hazards Model of </w:t>
      </w:r>
      <w:r>
        <w:rPr>
          <w:b/>
          <w:color w:val="000000" w:themeColor="text1"/>
          <w:sz w:val="20"/>
          <w:szCs w:val="20"/>
        </w:rPr>
        <w:t>[</w:t>
      </w:r>
      <w:r>
        <w:rPr>
          <w:b/>
          <w:color w:val="000000" w:themeColor="text1"/>
          <w:sz w:val="20"/>
          <w:szCs w:val="20"/>
          <w:vertAlign w:val="superscript"/>
        </w:rPr>
        <w:t>18</w:t>
      </w:r>
      <w:r>
        <w:rPr>
          <w:b/>
          <w:color w:val="000000" w:themeColor="text1"/>
          <w:sz w:val="20"/>
          <w:szCs w:val="20"/>
        </w:rPr>
        <w:t>F</w:t>
      </w:r>
      <w:proofErr w:type="gramStart"/>
      <w:r>
        <w:rPr>
          <w:b/>
          <w:color w:val="000000" w:themeColor="text1"/>
          <w:sz w:val="20"/>
          <w:szCs w:val="20"/>
        </w:rPr>
        <w:t>]PSMA</w:t>
      </w:r>
      <w:proofErr w:type="gramEnd"/>
      <w:r>
        <w:rPr>
          <w:b/>
          <w:color w:val="000000" w:themeColor="text1"/>
          <w:sz w:val="20"/>
          <w:szCs w:val="20"/>
        </w:rPr>
        <w:t>-1007</w:t>
      </w:r>
      <w:r>
        <w:rPr>
          <w:color w:val="000000" w:themeColor="text1"/>
          <w:sz w:val="20"/>
          <w:szCs w:val="20"/>
        </w:rPr>
        <w:t xml:space="preserve">  </w:t>
      </w:r>
      <w:r>
        <w:rPr>
          <w:rFonts w:eastAsiaTheme="minorEastAsia"/>
          <w:b/>
          <w:color w:val="000000" w:themeColor="text1"/>
          <w:sz w:val="20"/>
          <w:szCs w:val="20"/>
          <w:shd w:val="clear" w:color="auto" w:fill="FFFFFF"/>
        </w:rPr>
        <w:t xml:space="preserve">group in A) </w:t>
      </w:r>
      <w:proofErr w:type="spellStart"/>
      <w:r>
        <w:rPr>
          <w:rFonts w:eastAsiaTheme="minorEastAsia"/>
          <w:b/>
          <w:color w:val="000000" w:themeColor="text1"/>
          <w:sz w:val="20"/>
          <w:szCs w:val="20"/>
          <w:shd w:val="clear" w:color="auto" w:fill="FFFFFF"/>
        </w:rPr>
        <w:t>LuPSMA</w:t>
      </w:r>
      <w:proofErr w:type="spellEnd"/>
      <w:r>
        <w:rPr>
          <w:rFonts w:eastAsiaTheme="minorEastAsia"/>
          <w:b/>
          <w:color w:val="000000" w:themeColor="text1"/>
          <w:sz w:val="20"/>
          <w:szCs w:val="20"/>
          <w:shd w:val="clear" w:color="auto" w:fill="FFFFFF"/>
        </w:rPr>
        <w:t xml:space="preserve"> and B) SOC group.</w:t>
      </w:r>
      <w:r>
        <w:rPr>
          <w:rFonts w:eastAsiaTheme="minorEastAsia"/>
          <w:color w:val="000000" w:themeColor="text1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  <w:sz w:val="20"/>
          <w:szCs w:val="20"/>
          <w:shd w:val="clear" w:color="auto" w:fill="FFFFFF"/>
        </w:rPr>
        <w:t>Hazard ratios, 95% confidence intervals (95% CI) as well as p-values of each univariate cox model are presented.</w:t>
      </w: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color w:val="000000" w:themeColor="text1"/>
        </w:rPr>
        <w:t xml:space="preserve"> </w:t>
      </w:r>
      <w:r>
        <w:rPr>
          <w:color w:val="000000" w:themeColor="text1"/>
          <w:lang w:val="en-PH" w:eastAsia="en-PH"/>
        </w:rPr>
        <w:drawing>
          <wp:inline distT="0" distB="0" distL="0" distR="0" wp14:anchorId="5F04F115" wp14:editId="5BA197EE">
            <wp:extent cx="5403850" cy="3602567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8811" cy="360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  <w:color w:val="000000" w:themeColor="text1"/>
          <w:sz w:val="20"/>
          <w:szCs w:val="20"/>
          <w:shd w:val="clear" w:color="auto" w:fill="FFFFFF"/>
        </w:rPr>
        <w:t> </w:t>
      </w: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Supplementary Figure 3. Correlation between FDG mean SUV and PSMA mean SUV.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Correlation was assessed by Spearman’s test, and correlation coefficient and p-value are shown.</w:t>
      </w:r>
    </w:p>
    <w:p w:rsidR="00D73563" w:rsidRDefault="00D73563" w:rsidP="00D73563">
      <w:pPr>
        <w:pStyle w:val="paragraph"/>
        <w:spacing w:line="480" w:lineRule="auto"/>
        <w:rPr>
          <w:rFonts w:eastAsiaTheme="minorEastAsia"/>
          <w:color w:val="000000" w:themeColor="text1"/>
          <w:shd w:val="clear" w:color="auto" w:fill="FFFFFF"/>
        </w:rPr>
      </w:pP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Results</w:t>
      </w: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ind w:left="720" w:hanging="36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Overall Survival Evaluation in [⁶⁸Ga]Ga-PSMA-11 PET and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[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</w:rPr>
        <w:t>18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F]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PSMA-1007 PET groups</w:t>
      </w: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[⁶⁸Ga]Ga-PSMA-11 PET/CT: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univariate cox model results for the [⁶⁸Ga]Ga-PSMA-11 group are presented in Supplementary Figure 1. In LuPSMA patients, all assessed PET parameters except PSMA-TL, PSMA-M1c and FDG-SUVmean were significant prognostic factors of overall survival. PSMA-SUVmean (HR  0.56 [95%CI 0.33 - 0.95]; p=0.030) was a protective significant prognostic factor and PSMA-VOL (HR 1.06 [95%CI 1.02 - 1.09];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p=0.003), number of PSMA-positive lesions (HR 1.04 [95%CI 1.01 - 1.06]; p=0.001) were significantly prognostic of worse outcome. Regarding FDG paramenters, FDG-TLG (HR 1.19 [95%CI 1.05 - 1.35]; p=0.007), FDG-VOL (HR 1.19 [95%CI 1.08 - 1.30]; p&lt;0.001) and number of FDG-positive lesions (HR 1.11 [95%CI 1.06 - 1.16]; p&lt;0.001) were significantly prognostic of worse outcome.</w:t>
      </w: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ind w:firstLine="708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SOC patients, PSMA-TL (HR = 1.11 [1.05 - 1.18]; p&lt;0.001) and PSMA-VOL (HR 1.13 [95%CI 1.06 - 1.20]; p&lt;0.001), were significantly prognostic of worse outcome. For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[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18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F]FDG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-PET, FDG-TLG (HR 1.14 [95%CI 1.06 - 1.24]; p=0.001), FDG-VOL (HR 1.13 [95%CI 1.06 - 1.21]; p&lt;0.001), and number of FDG-positive lesions (HR 1.10 [95%CI 1.03 - 1.16]; p=0.002) were significantly prognostic of worse outcome.</w:t>
      </w: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[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</w:rPr>
        <w:t>18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F]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PSMA-1007 PET: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univariate cox model results for the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[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18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F]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PSMA-1007 group are presented in Supplementary Figure 2. In LuPSMA patients, only PSMA-TL (HR 1.06 [95%CI 1.01 - 1.11]; p=0.015) and PSMA-VOL (HR 1.09 [95%CI 1.02 - 1.16]; p=0.006) were significantly prognostic of worse outcome. Regarding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[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18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F]FDG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-PET paramenters, only FDG-VOL (HR 1.27 [95%CI 1.09 - 1.47]; p=0.002) was significantly prognostic of worse outcome.</w:t>
      </w: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ind w:firstLine="708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SOC patients, number of PSMA-positive lesions (HR  1.05 [95%CI 1.00 - 1.11]; p=0.049) was significantly prognostic of worse outcome. For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[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18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F]FDG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-PET, FDG-TLG (HR 1.19 [95%CI 1.02 - 1.39]; p=0.029), FDG-TLG mismatch (HR 1.31 [95%CI 1.02 - 1.68]; p=0.035), FDG-VOL (HR 1.16 [95%CI 1.02 - 1.32]; p=0.021), FDG-VOL mismatch (HR 1.28 [95%CI 1.03 - 1.60]; p=0.026), and number of FDG-positive lesions (HR 1.21 [95%CI 1.05 - 1.40]; p=0.008) were significantly prognostic of worse outcome.</w:t>
      </w: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ind w:firstLine="708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PSA decline (&gt;50%) in [⁶⁸Ga]Ga-PSMA-11 PET and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[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</w:rPr>
        <w:t>18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F]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PSMA-1007 PET groups</w:t>
      </w: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[⁶⁸Ga]Ga-PSMA-11 group, only PSMA-SUVmean (OR 3.16 [95%CI 1.20 – 10.76], p=0.030) was a significant predictor of PSA decline (&gt;50%). In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[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18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F]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PSMA-1007 group no significant predictors were found.</w:t>
      </w: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73563" w:rsidRDefault="00D73563" w:rsidP="00D73563">
      <w:pPr>
        <w:pStyle w:val="EndNoteBibliography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C47AE" w:rsidRDefault="009C47AE"/>
    <w:sectPr w:rsidR="009C47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F0438"/>
    <w:multiLevelType w:val="multilevel"/>
    <w:tmpl w:val="3800A34A"/>
    <w:lvl w:ilvl="0">
      <w:numFmt w:val="decimal"/>
      <w:pStyle w:val="EndNoteBibliography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63"/>
    <w:rsid w:val="000055A0"/>
    <w:rsid w:val="00010C07"/>
    <w:rsid w:val="0001242A"/>
    <w:rsid w:val="0003093D"/>
    <w:rsid w:val="00044512"/>
    <w:rsid w:val="00050AAD"/>
    <w:rsid w:val="000702E4"/>
    <w:rsid w:val="00072420"/>
    <w:rsid w:val="000776B2"/>
    <w:rsid w:val="00082722"/>
    <w:rsid w:val="0008466A"/>
    <w:rsid w:val="000D77CC"/>
    <w:rsid w:val="000E08C5"/>
    <w:rsid w:val="00122FF2"/>
    <w:rsid w:val="001338DD"/>
    <w:rsid w:val="001465B3"/>
    <w:rsid w:val="00163996"/>
    <w:rsid w:val="00173762"/>
    <w:rsid w:val="00187C3B"/>
    <w:rsid w:val="00195D17"/>
    <w:rsid w:val="001A027D"/>
    <w:rsid w:val="001C244C"/>
    <w:rsid w:val="001C4FBB"/>
    <w:rsid w:val="00220CCF"/>
    <w:rsid w:val="00246ABE"/>
    <w:rsid w:val="0025644E"/>
    <w:rsid w:val="0026037F"/>
    <w:rsid w:val="00275DE0"/>
    <w:rsid w:val="00293140"/>
    <w:rsid w:val="002A04B6"/>
    <w:rsid w:val="002B0BFB"/>
    <w:rsid w:val="002B30DF"/>
    <w:rsid w:val="002E02C5"/>
    <w:rsid w:val="002E30E5"/>
    <w:rsid w:val="00305E8B"/>
    <w:rsid w:val="00311D68"/>
    <w:rsid w:val="00336A5E"/>
    <w:rsid w:val="00342DA1"/>
    <w:rsid w:val="00343D32"/>
    <w:rsid w:val="0035799E"/>
    <w:rsid w:val="00387BBB"/>
    <w:rsid w:val="003940CB"/>
    <w:rsid w:val="003C42DE"/>
    <w:rsid w:val="003D1CDD"/>
    <w:rsid w:val="003D426B"/>
    <w:rsid w:val="004061E4"/>
    <w:rsid w:val="00413697"/>
    <w:rsid w:val="00422F79"/>
    <w:rsid w:val="00430945"/>
    <w:rsid w:val="00434880"/>
    <w:rsid w:val="00451905"/>
    <w:rsid w:val="00460126"/>
    <w:rsid w:val="004656F7"/>
    <w:rsid w:val="00470305"/>
    <w:rsid w:val="00493406"/>
    <w:rsid w:val="004A2578"/>
    <w:rsid w:val="004D0799"/>
    <w:rsid w:val="004D32F2"/>
    <w:rsid w:val="004F0A62"/>
    <w:rsid w:val="004F24E4"/>
    <w:rsid w:val="0050503B"/>
    <w:rsid w:val="00524607"/>
    <w:rsid w:val="005264E8"/>
    <w:rsid w:val="00526873"/>
    <w:rsid w:val="005366DD"/>
    <w:rsid w:val="005416EE"/>
    <w:rsid w:val="00544A15"/>
    <w:rsid w:val="00564046"/>
    <w:rsid w:val="00576D2D"/>
    <w:rsid w:val="00585E8C"/>
    <w:rsid w:val="005924B1"/>
    <w:rsid w:val="0059639E"/>
    <w:rsid w:val="005A1CFC"/>
    <w:rsid w:val="005A2770"/>
    <w:rsid w:val="005C3323"/>
    <w:rsid w:val="005C52E6"/>
    <w:rsid w:val="005E4403"/>
    <w:rsid w:val="0060094A"/>
    <w:rsid w:val="00603E4E"/>
    <w:rsid w:val="00627B65"/>
    <w:rsid w:val="00630A40"/>
    <w:rsid w:val="00632D51"/>
    <w:rsid w:val="0063643F"/>
    <w:rsid w:val="00637506"/>
    <w:rsid w:val="00660D80"/>
    <w:rsid w:val="006764D2"/>
    <w:rsid w:val="006811D1"/>
    <w:rsid w:val="00686AE5"/>
    <w:rsid w:val="006C22B2"/>
    <w:rsid w:val="006C6A62"/>
    <w:rsid w:val="006C6A9B"/>
    <w:rsid w:val="006F3148"/>
    <w:rsid w:val="006F339F"/>
    <w:rsid w:val="007004FE"/>
    <w:rsid w:val="00712829"/>
    <w:rsid w:val="0072698E"/>
    <w:rsid w:val="00737826"/>
    <w:rsid w:val="00744CBC"/>
    <w:rsid w:val="007518EA"/>
    <w:rsid w:val="00763E51"/>
    <w:rsid w:val="0077079F"/>
    <w:rsid w:val="007A5D2D"/>
    <w:rsid w:val="007B7833"/>
    <w:rsid w:val="007D3472"/>
    <w:rsid w:val="007E5B36"/>
    <w:rsid w:val="007F5E86"/>
    <w:rsid w:val="00801627"/>
    <w:rsid w:val="00803526"/>
    <w:rsid w:val="008405BD"/>
    <w:rsid w:val="00852F61"/>
    <w:rsid w:val="008632DD"/>
    <w:rsid w:val="00877F8D"/>
    <w:rsid w:val="00882C8B"/>
    <w:rsid w:val="00885B08"/>
    <w:rsid w:val="00890D39"/>
    <w:rsid w:val="008A4C58"/>
    <w:rsid w:val="008A6BA6"/>
    <w:rsid w:val="008C3A4D"/>
    <w:rsid w:val="008F32FB"/>
    <w:rsid w:val="00907DC9"/>
    <w:rsid w:val="0091159F"/>
    <w:rsid w:val="009255B7"/>
    <w:rsid w:val="00957B4D"/>
    <w:rsid w:val="00984351"/>
    <w:rsid w:val="009861D7"/>
    <w:rsid w:val="009873C2"/>
    <w:rsid w:val="00987804"/>
    <w:rsid w:val="009A6B2D"/>
    <w:rsid w:val="009B03D1"/>
    <w:rsid w:val="009B11BA"/>
    <w:rsid w:val="009B1F86"/>
    <w:rsid w:val="009B552A"/>
    <w:rsid w:val="009C0811"/>
    <w:rsid w:val="009C47AE"/>
    <w:rsid w:val="009C47F6"/>
    <w:rsid w:val="009D0DFA"/>
    <w:rsid w:val="009E70CA"/>
    <w:rsid w:val="009F7C2E"/>
    <w:rsid w:val="00A00F3B"/>
    <w:rsid w:val="00A0542A"/>
    <w:rsid w:val="00A16E9B"/>
    <w:rsid w:val="00A21C71"/>
    <w:rsid w:val="00A34709"/>
    <w:rsid w:val="00A35DE8"/>
    <w:rsid w:val="00A461C8"/>
    <w:rsid w:val="00A52049"/>
    <w:rsid w:val="00A534B9"/>
    <w:rsid w:val="00A54F73"/>
    <w:rsid w:val="00A63052"/>
    <w:rsid w:val="00A6773B"/>
    <w:rsid w:val="00A70F1A"/>
    <w:rsid w:val="00A85825"/>
    <w:rsid w:val="00AB1B6A"/>
    <w:rsid w:val="00AD18AC"/>
    <w:rsid w:val="00AE4C39"/>
    <w:rsid w:val="00B41A99"/>
    <w:rsid w:val="00B448BC"/>
    <w:rsid w:val="00B665BA"/>
    <w:rsid w:val="00B66FB6"/>
    <w:rsid w:val="00B71EB2"/>
    <w:rsid w:val="00B74C64"/>
    <w:rsid w:val="00BA18F9"/>
    <w:rsid w:val="00BD3366"/>
    <w:rsid w:val="00BE4948"/>
    <w:rsid w:val="00BE799A"/>
    <w:rsid w:val="00BF26B4"/>
    <w:rsid w:val="00BF506E"/>
    <w:rsid w:val="00C21A4B"/>
    <w:rsid w:val="00C446B7"/>
    <w:rsid w:val="00C4480E"/>
    <w:rsid w:val="00C744D1"/>
    <w:rsid w:val="00C753AC"/>
    <w:rsid w:val="00C81ABA"/>
    <w:rsid w:val="00C8684E"/>
    <w:rsid w:val="00CA2BAC"/>
    <w:rsid w:val="00CD663C"/>
    <w:rsid w:val="00CE0394"/>
    <w:rsid w:val="00CE3A0C"/>
    <w:rsid w:val="00CE5602"/>
    <w:rsid w:val="00D05668"/>
    <w:rsid w:val="00D206E1"/>
    <w:rsid w:val="00D20CB4"/>
    <w:rsid w:val="00D514C9"/>
    <w:rsid w:val="00D57DFC"/>
    <w:rsid w:val="00D73563"/>
    <w:rsid w:val="00D81A2B"/>
    <w:rsid w:val="00D90B59"/>
    <w:rsid w:val="00D90EFF"/>
    <w:rsid w:val="00D954D9"/>
    <w:rsid w:val="00D962B5"/>
    <w:rsid w:val="00DA2578"/>
    <w:rsid w:val="00DA7596"/>
    <w:rsid w:val="00DA7EC3"/>
    <w:rsid w:val="00DB317E"/>
    <w:rsid w:val="00DB4D2B"/>
    <w:rsid w:val="00DB5186"/>
    <w:rsid w:val="00DD3932"/>
    <w:rsid w:val="00DE5470"/>
    <w:rsid w:val="00DE5A98"/>
    <w:rsid w:val="00DF03F4"/>
    <w:rsid w:val="00E029FB"/>
    <w:rsid w:val="00E04DFC"/>
    <w:rsid w:val="00E05557"/>
    <w:rsid w:val="00E70952"/>
    <w:rsid w:val="00E740AD"/>
    <w:rsid w:val="00E74194"/>
    <w:rsid w:val="00E81978"/>
    <w:rsid w:val="00E94F48"/>
    <w:rsid w:val="00E96779"/>
    <w:rsid w:val="00EA4250"/>
    <w:rsid w:val="00EA5A53"/>
    <w:rsid w:val="00EC1C5C"/>
    <w:rsid w:val="00ED46BD"/>
    <w:rsid w:val="00ED6055"/>
    <w:rsid w:val="00EE6BAB"/>
    <w:rsid w:val="00F31ACE"/>
    <w:rsid w:val="00F60048"/>
    <w:rsid w:val="00F97D3E"/>
    <w:rsid w:val="00FB1988"/>
    <w:rsid w:val="00FB4FFA"/>
    <w:rsid w:val="00FE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563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D73563"/>
    <w:pPr>
      <w:numPr>
        <w:numId w:val="1"/>
      </w:num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73563"/>
    <w:rPr>
      <w:rFonts w:ascii="Calibri" w:hAnsi="Calibri" w:cs="Calibri"/>
      <w:noProof/>
      <w:lang w:val="en-US"/>
    </w:rPr>
  </w:style>
  <w:style w:type="paragraph" w:customStyle="1" w:styleId="paragraph">
    <w:name w:val="paragraph"/>
    <w:basedOn w:val="Normal"/>
    <w:rsid w:val="00D73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2">
    <w:name w:val="Plain Table 2"/>
    <w:basedOn w:val="TableNormal"/>
    <w:uiPriority w:val="42"/>
    <w:rsid w:val="00D73563"/>
    <w:pPr>
      <w:spacing w:after="0" w:line="240" w:lineRule="auto"/>
    </w:pPr>
    <w:rPr>
      <w:lang w:val="tr-T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563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D73563"/>
    <w:pPr>
      <w:numPr>
        <w:numId w:val="1"/>
      </w:num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73563"/>
    <w:rPr>
      <w:rFonts w:ascii="Calibri" w:hAnsi="Calibri" w:cs="Calibri"/>
      <w:noProof/>
      <w:lang w:val="en-US"/>
    </w:rPr>
  </w:style>
  <w:style w:type="paragraph" w:customStyle="1" w:styleId="paragraph">
    <w:name w:val="paragraph"/>
    <w:basedOn w:val="Normal"/>
    <w:rsid w:val="00D73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2">
    <w:name w:val="Plain Table 2"/>
    <w:basedOn w:val="TableNormal"/>
    <w:uiPriority w:val="42"/>
    <w:rsid w:val="00D73563"/>
    <w:pPr>
      <w:spacing w:after="0" w:line="240" w:lineRule="auto"/>
    </w:pPr>
    <w:rPr>
      <w:lang w:val="tr-T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1228</Words>
  <Characters>7003</Characters>
  <Application>Microsoft Office Word</Application>
  <DocSecurity>0</DocSecurity>
  <Lines>58</Lines>
  <Paragraphs>16</Paragraphs>
  <ScaleCrop>false</ScaleCrop>
  <Company/>
  <LinksUpToDate>false</LinksUpToDate>
  <CharactersWithSpaces>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Cometa</dc:creator>
  <cp:lastModifiedBy>Angela Cometa</cp:lastModifiedBy>
  <cp:revision>1</cp:revision>
  <dcterms:created xsi:type="dcterms:W3CDTF">2025-03-08T08:31:00Z</dcterms:created>
  <dcterms:modified xsi:type="dcterms:W3CDTF">2025-03-08T08:31:00Z</dcterms:modified>
</cp:coreProperties>
</file>