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97C8A" w14:textId="77777777" w:rsidR="002D3B10" w:rsidRPr="00556471" w:rsidRDefault="002D3B10" w:rsidP="002D3B10">
      <w:pPr>
        <w:pStyle w:val="NormalWeb"/>
        <w:jc w:val="center"/>
        <w:rPr>
          <w:rFonts w:ascii="Garamond" w:hAnsi="Garamond"/>
          <w:b/>
          <w:bCs/>
          <w:sz w:val="36"/>
          <w:szCs w:val="36"/>
        </w:rPr>
      </w:pPr>
      <w:r w:rsidRPr="00556471">
        <w:rPr>
          <w:rFonts w:ascii="Garamond" w:hAnsi="Garamond"/>
          <w:b/>
          <w:bCs/>
          <w:sz w:val="36"/>
          <w:szCs w:val="36"/>
        </w:rPr>
        <w:t>Supplementary Materials for</w:t>
      </w:r>
    </w:p>
    <w:p w14:paraId="1E0BAD86" w14:textId="77777777" w:rsidR="002D3B10" w:rsidRPr="00556471" w:rsidRDefault="002D3B10" w:rsidP="002D3B10">
      <w:pPr>
        <w:pStyle w:val="NormalWeb"/>
        <w:jc w:val="center"/>
        <w:rPr>
          <w:rFonts w:ascii="Garamond" w:hAnsi="Garamond"/>
          <w:b/>
          <w:bCs/>
        </w:rPr>
      </w:pPr>
      <w:r w:rsidRPr="00556471">
        <w:rPr>
          <w:rFonts w:ascii="Garamond" w:hAnsi="Garamond"/>
          <w:b/>
          <w:bCs/>
        </w:rPr>
        <w:t>Pleasurable music activates cerebral µ-opioid receptors: A combined PET-fMRI study.</w:t>
      </w:r>
    </w:p>
    <w:p w14:paraId="410CBD07" w14:textId="77777777" w:rsidR="002D3B10" w:rsidRPr="00556471" w:rsidRDefault="002D3B10" w:rsidP="002D3B10">
      <w:pPr>
        <w:pStyle w:val="NormalWeb"/>
        <w:jc w:val="center"/>
        <w:rPr>
          <w:rFonts w:ascii="Garamond" w:hAnsi="Garamond" w:cs="Calibri Light"/>
          <w:lang w:val="fi-FI"/>
        </w:rPr>
      </w:pPr>
      <w:r w:rsidRPr="00556471">
        <w:rPr>
          <w:rFonts w:ascii="Garamond" w:hAnsi="Garamond" w:cs="Calibri Light"/>
          <w:lang w:val="fi-FI"/>
        </w:rPr>
        <w:t>Vesa Putkinen, Kerttu Seppälä, Harri Harju, Jussi Hirvonen, Henry K., Karlsson, and Lauri Nummenmaa</w:t>
      </w:r>
    </w:p>
    <w:p w14:paraId="20BC9D19" w14:textId="77777777" w:rsidR="002D3B10" w:rsidRPr="00556471" w:rsidRDefault="002D3B10" w:rsidP="002D3B10">
      <w:pPr>
        <w:pStyle w:val="NormalWeb"/>
        <w:jc w:val="center"/>
        <w:rPr>
          <w:rFonts w:ascii="Garamond" w:hAnsi="Garamond" w:cs="Calibri Light"/>
          <w:lang w:val="fi-FI"/>
        </w:rPr>
      </w:pPr>
    </w:p>
    <w:p w14:paraId="7EE37C9A" w14:textId="77777777" w:rsidR="002D3B10" w:rsidRPr="0039153F" w:rsidRDefault="002D3B10" w:rsidP="002D3B10">
      <w:pPr>
        <w:pStyle w:val="NormalWeb"/>
        <w:rPr>
          <w:rFonts w:ascii="Garamond" w:hAnsi="Garamond" w:cs="Calibri Light"/>
          <w:b/>
          <w:bCs/>
          <w:vertAlign w:val="superscript"/>
        </w:rPr>
      </w:pPr>
      <w:r w:rsidRPr="0039153F">
        <w:rPr>
          <w:rFonts w:ascii="Garamond" w:hAnsi="Garamond" w:cs="Calibri Light"/>
          <w:b/>
          <w:bCs/>
        </w:rPr>
        <w:t>Supplementary Methods</w:t>
      </w:r>
    </w:p>
    <w:p w14:paraId="78302CCF" w14:textId="77777777" w:rsidR="002D3B10" w:rsidRPr="00556471" w:rsidRDefault="002D3B10" w:rsidP="002D3B10">
      <w:pPr>
        <w:spacing w:line="276" w:lineRule="auto"/>
        <w:jc w:val="both"/>
        <w:rPr>
          <w:rFonts w:ascii="Garamond" w:hAnsi="Garamond"/>
        </w:rPr>
      </w:pPr>
      <w:r w:rsidRPr="00556471">
        <w:rPr>
          <w:rFonts w:ascii="Garamond" w:hAnsi="Garamond"/>
          <w:b/>
          <w:bCs/>
        </w:rPr>
        <w:t>Participant</w:t>
      </w:r>
      <w:r>
        <w:rPr>
          <w:rFonts w:ascii="Garamond" w:hAnsi="Garamond"/>
          <w:b/>
          <w:bCs/>
        </w:rPr>
        <w:t xml:space="preserve"> recruitment and screening</w:t>
      </w:r>
    </w:p>
    <w:p w14:paraId="6B33ED9E" w14:textId="77777777" w:rsidR="002D3B10" w:rsidRPr="00556471" w:rsidRDefault="002D3B10" w:rsidP="002D3B10">
      <w:pPr>
        <w:spacing w:line="276" w:lineRule="auto"/>
        <w:jc w:val="both"/>
        <w:rPr>
          <w:rFonts w:ascii="Garamond" w:hAnsi="Garamond"/>
        </w:rPr>
      </w:pPr>
      <w:r w:rsidRPr="00556471">
        <w:rPr>
          <w:rFonts w:ascii="Garamond" w:hAnsi="Garamond"/>
        </w:rPr>
        <w:t>The participants were recruited through university email lists. To ensure that the participants would enjoy listening to music, potential participants filled in the Emotional Evocation, Mood Regulation, and Social Reward facets of the Barcelona Music Reward Questionnaire (BMRQ)</w:t>
      </w:r>
      <w:r w:rsidRPr="00556471">
        <w:rPr>
          <w:rFonts w:ascii="Garamond" w:hAnsi="Garamond"/>
        </w:rPr>
        <w:fldChar w:fldCharType="begin"/>
      </w:r>
      <w:r>
        <w:rPr>
          <w:rFonts w:ascii="Garamond" w:hAnsi="Garamond"/>
        </w:rPr>
        <w:instrText xml:space="preserve"> ADDIN ZOTERO_ITEM CSL_CITATION {"citationID":"rSIKwWB3","properties":{"formattedCitation":"\\super 1\\nosupersub{}","plainCitation":"1","noteIndex":0},"citationItems":[{"id":2796,"uris":["http://zotero.org/users/1582926/items/6JIHE93I"],"itemData":{"id":2796,"type":"article-journal","abstract":"Skip to Next Section\nMusic is one of the most pleasant human experiences, even though it has no direct biological advantage. However little is known about individual differences in how people experience reward in music-related activities. The goal of the present study was to describe the main facets of music experience that could explain the variance observed in how people experience reward associated with music. To this end we developed the Barcelona Music Reward Questionnaire (BMRQ), which was administrated to three large samples. Our results showed that the musical reward experience can be decomposed into five reliable factors: Musical Seeking, Emotion Evocation, Mood Regulation, Social Reward, and Sensory-Motor. These factors were correlated with socio-demographic factors and measures of general sensitivity to reward and hedonic experience. We propose that the five-factor structure of musical reward experience might be very relevant in the study of psychological and neural bases of emotion and pleasure associated to music.","container-title":"Music Perception: An Interdisciplinary Journal","DOI":"10.1525/mp.2013.31.2.118","ISSN":"0730-7829, 1533-8312","issue":"2","language":"en","license":"© 2013 by The Regents of the University of California","page":"118-138","source":"mp.ucpress.edu","title":"Individual Differences in Music Reward Experiences","volume":"31","author":[{"family":"Mas-Herrero","given":"Ernest"},{"family":"Marco-Pallares","given":"Josep"},{"family":"Lorenzo-Seva","given":"Urbano"},{"family":"Zatorre","given":"Robert J."},{"family":"Rodriguez-Fornells","given":"Antoni"}],"issued":{"date-parts":[["2013",12,1]]}}}],"schema":"https://github.com/citation-style-language/schema/raw/master/csl-citation.json"} </w:instrText>
      </w:r>
      <w:r w:rsidRPr="00556471">
        <w:rPr>
          <w:rFonts w:ascii="Garamond" w:hAnsi="Garamond"/>
        </w:rPr>
        <w:fldChar w:fldCharType="separate"/>
      </w:r>
      <w:r w:rsidRPr="00744509">
        <w:rPr>
          <w:rFonts w:ascii="Garamond" w:hAnsi="Garamond" w:cs="Times New Roman"/>
          <w:vertAlign w:val="superscript"/>
        </w:rPr>
        <w:t>1</w:t>
      </w:r>
      <w:r w:rsidRPr="00556471">
        <w:rPr>
          <w:rFonts w:ascii="Garamond" w:hAnsi="Garamond"/>
        </w:rPr>
        <w:fldChar w:fldCharType="end"/>
      </w:r>
      <w:r w:rsidRPr="00556471">
        <w:rPr>
          <w:rFonts w:ascii="Garamond" w:hAnsi="Garamond"/>
        </w:rPr>
        <w:t>, and those who received at least 80% of the possible maximum score were invited to participate. Due to the extensive screening already required for participation in the PET study, only some facets of the BMRQ were used. These were selected specifically for their direct relevance to music-induced emotions and reward, rather than to music-induced movement or music-seeking. Only women were studied to maximize statistical power due to sex-dependent variability in the spatial distribution of MORs</w:t>
      </w:r>
      <w:r w:rsidRPr="00556471">
        <w:rPr>
          <w:rFonts w:ascii="Garamond" w:hAnsi="Garamond"/>
        </w:rPr>
        <w:fldChar w:fldCharType="begin"/>
      </w:r>
      <w:r>
        <w:rPr>
          <w:rFonts w:ascii="Garamond" w:hAnsi="Garamond"/>
        </w:rPr>
        <w:instrText xml:space="preserve"> ADDIN ZOTERO_ITEM CSL_CITATION {"citationID":"JjIYGUQ0","properties":{"formattedCitation":"\\super 2\\nosupersub{}","plainCitation":"2","noteIndex":0},"citationItems":[{"id":10714,"uris":["http://zotero.org/users/1582926/items/YTGXWQGV"],"itemData":{"id":10714,"type":"article-journal","abstract":"Alterations in the brain’s μ-opioid receptor (MOR) system have been associated with several neuropsychiatric disorders. Central MOR availability also varies considerably in healthy individuals. Multiple epidemiological factors have been proposed to influence the MOR system, but due to small sample sizes the magnitude of their influence remains inconclusive. We compiled [11C]carfentanil positron emission tomography scans from 204 individuals with no neurologic or psychiatric disorders, and estimated the effects of sex, age, body mass index (BMI) and smoking on [11C]carfentanil binding potential using between-subject regression analysis. We also examined hemispheric differences in MOR availability. Older age was associated with increase in MOR availability in frontotemporal areas but decrease in amygdala, thalamus, and nucleus accumbens. The age-dependent increase was stronger in males. MOR availability was globally lowered in smokers but independent of BMI. Finally, MOR availability was higher in the right versus the left hemisphere. The presently observed variation in MOR availability may explain why some individuals are prone to develop MOR-linked pathological states, such as chronic pain or psychiatric disorders. Lateralized MOR system may reflect hemispheric work specialization in central emotion and pain processes.","container-title":"NeuroImage","DOI":"10.1016/j.neuroimage.2020.116922","ISSN":"1053-8119","journalAbbreviation":"NeuroImage","page":"116922","source":"ScienceDirect","title":"Interindividual variability and lateralization of μ-opioid receptors in the human brain","volume":"217","author":[{"family":"Kantonen","given":"Tatu"},{"family":"Karjalainen","given":"Tomi"},{"family":"Isojärvi","given":"Janne"},{"family":"Nuutila","given":"Pirjo"},{"family":"Tuisku","given":"Jouni"},{"family":"Rinne","given":"Juha"},{"family":"Hietala","given":"Jarmo"},{"family":"Kaasinen","given":"Valtteri"},{"family":"Kalliokoski","given":"Kari"},{"family":"Scheinin","given":"Harry"},{"family":"Hirvonen","given":"Jussi"},{"family":"Vehtari","given":"Aki"},{"family":"Nummenmaa","given":"Lauri"}],"issued":{"date-parts":[["2020",8,15]]}}}],"schema":"https://github.com/citation-style-language/schema/raw/master/csl-citation.json"} </w:instrText>
      </w:r>
      <w:r w:rsidRPr="00556471">
        <w:rPr>
          <w:rFonts w:ascii="Garamond" w:hAnsi="Garamond"/>
        </w:rPr>
        <w:fldChar w:fldCharType="separate"/>
      </w:r>
      <w:r w:rsidRPr="00744509">
        <w:rPr>
          <w:rFonts w:ascii="Garamond" w:hAnsi="Garamond" w:cs="Times New Roman"/>
          <w:vertAlign w:val="superscript"/>
        </w:rPr>
        <w:t>2</w:t>
      </w:r>
      <w:r w:rsidRPr="00556471">
        <w:rPr>
          <w:rFonts w:ascii="Garamond" w:hAnsi="Garamond"/>
        </w:rPr>
        <w:fldChar w:fldCharType="end"/>
      </w:r>
      <w:r w:rsidRPr="00556471">
        <w:rPr>
          <w:rFonts w:ascii="Garamond" w:hAnsi="Garamond"/>
        </w:rPr>
        <w:t>. Additionally, women report stronger emotional responses</w:t>
      </w:r>
      <w:r w:rsidRPr="00556471">
        <w:rPr>
          <w:rFonts w:ascii="Garamond" w:hAnsi="Garamond"/>
        </w:rPr>
        <w:fldChar w:fldCharType="begin"/>
      </w:r>
      <w:r>
        <w:rPr>
          <w:rFonts w:ascii="Garamond" w:hAnsi="Garamond"/>
        </w:rPr>
        <w:instrText xml:space="preserve"> ADDIN ZOTERO_ITEM CSL_CITATION {"citationID":"Hcx2fZfJ","properties":{"formattedCitation":"\\super 3\\nosupersub{}","plainCitation":"3","noteIndex":0},"citationItems":[{"id":8421,"uris":["http://zotero.org/users/1582926/items/ZYWA8ZQT"],"itemData":{"id":8421,"type":"article-journal","container-title":"Psychological bulletin","issue":"5","note":"publisher: American Psychological Association","page":"834","source":"Google Scholar","title":"Discrete emotions predict changes in cognition, judgment, experience, behavior, and physiology: a meta-analysis of experimental emotion elicitations.","title-short":"Discrete emotions predict changes in cognition, judgment, experience, behavior, and physiology","volume":"137","author":[{"family":"Lench","given":"Heather C."},{"family":"Flores","given":"Sarah A."},{"family":"Bench","given":"Shane W."}],"issued":{"date-parts":[["2011"]]}}}],"schema":"https://github.com/citation-style-language/schema/raw/master/csl-citation.json"} </w:instrText>
      </w:r>
      <w:r w:rsidRPr="00556471">
        <w:rPr>
          <w:rFonts w:ascii="Garamond" w:hAnsi="Garamond"/>
        </w:rPr>
        <w:fldChar w:fldCharType="separate"/>
      </w:r>
      <w:r w:rsidRPr="00744509">
        <w:rPr>
          <w:rFonts w:ascii="Garamond" w:hAnsi="Garamond" w:cs="Times New Roman"/>
          <w:vertAlign w:val="superscript"/>
        </w:rPr>
        <w:t>3</w:t>
      </w:r>
      <w:r w:rsidRPr="00556471">
        <w:rPr>
          <w:rFonts w:ascii="Garamond" w:hAnsi="Garamond"/>
        </w:rPr>
        <w:fldChar w:fldCharType="end"/>
      </w:r>
      <w:r w:rsidRPr="00556471">
        <w:rPr>
          <w:rFonts w:ascii="Garamond" w:hAnsi="Garamond"/>
        </w:rPr>
        <w:t>, thus female-only sample was assumed to maximize the effects in the complex PET studies. The study physician screened the participants for eligibility, and a psychologist screened them for psychiatric disorders with the M.I.N.I 6.0 interview</w:t>
      </w:r>
      <w:r w:rsidRPr="00556471">
        <w:rPr>
          <w:rFonts w:ascii="Garamond" w:hAnsi="Garamond"/>
        </w:rPr>
        <w:fldChar w:fldCharType="begin"/>
      </w:r>
      <w:r>
        <w:rPr>
          <w:rFonts w:ascii="Garamond" w:hAnsi="Garamond"/>
        </w:rPr>
        <w:instrText xml:space="preserve"> ADDIN ZOTERO_ITEM CSL_CITATION {"citationID":"9jOmeCiC","properties":{"formattedCitation":"\\super 4\\nosupersub{}","plainCitation":"4","noteIndex":0},"citationItems":[{"id":9944,"uris":["http://zotero.org/groups/4890242/items/RKMQUIM6"],"itemData":{"id":9944,"type":"article-journal","container-title":"Journal of clinical psychiatry","issue":"20","note":"publisher: [Memphis, Tenn., Physicians Postgraduate Press]","page":"22–33","source":"Google Scholar","title":"The Mini-International Neuropsychiatric Interview (MINI): the development and validation of a structured diagnostic psychiatric interview for DSM-IV and ICD-10","title-short":"The Mini-International Neuropsychiatric Interview (MINI)","volume":"59","author":[{"family":"Sheehan","given":"David V."},{"family":"Lecrubier","given":"Yves"},{"family":"Sheehan","given":"K. Harnett"},{"family":"Amorim","given":"Patricia"},{"family":"Janavs","given":"Juris"},{"family":"Weiller","given":"Emmanuelle"},{"family":"Hergueta","given":"Thierry"},{"family":"Baker","given":"Roxy"},{"family":"Dunbar","given":"Geoffrey C."}],"issued":{"date-parts":[["1998"]]}}}],"schema":"https://github.com/citation-style-language/schema/raw/master/csl-citation.json"} </w:instrText>
      </w:r>
      <w:r w:rsidRPr="00556471">
        <w:rPr>
          <w:rFonts w:ascii="Garamond" w:hAnsi="Garamond"/>
        </w:rPr>
        <w:fldChar w:fldCharType="separate"/>
      </w:r>
      <w:r w:rsidRPr="00744509">
        <w:rPr>
          <w:rFonts w:ascii="Garamond" w:hAnsi="Garamond" w:cs="Times New Roman"/>
          <w:vertAlign w:val="superscript"/>
        </w:rPr>
        <w:t>4</w:t>
      </w:r>
      <w:r w:rsidRPr="00556471">
        <w:rPr>
          <w:rFonts w:ascii="Garamond" w:hAnsi="Garamond"/>
        </w:rPr>
        <w:fldChar w:fldCharType="end"/>
      </w:r>
      <w:r w:rsidRPr="00556471">
        <w:rPr>
          <w:rFonts w:ascii="Garamond" w:hAnsi="Garamond"/>
        </w:rPr>
        <w:t xml:space="preserve">. The exclusion criteria included a history of neurological or psychiatric disorders, alcohol and substance abuse, current use of medication affecting the central nervous system, and the standard MRI exclusion criteria. Structural brain abnormalities that are clinically relevant or could bias the analyses were excluded by a consultant neuroradiologist. </w:t>
      </w:r>
    </w:p>
    <w:p w14:paraId="422FC04F" w14:textId="77777777" w:rsidR="002D3B10" w:rsidRPr="00556471" w:rsidRDefault="002D3B10" w:rsidP="002D3B10">
      <w:pPr>
        <w:spacing w:line="276" w:lineRule="auto"/>
        <w:jc w:val="both"/>
        <w:rPr>
          <w:rFonts w:ascii="Garamond" w:hAnsi="Garamond"/>
        </w:rPr>
      </w:pPr>
    </w:p>
    <w:p w14:paraId="3CF15E8E" w14:textId="77777777" w:rsidR="002D3B10" w:rsidRPr="00556471" w:rsidRDefault="002D3B10" w:rsidP="002D3B10">
      <w:pPr>
        <w:spacing w:line="276" w:lineRule="auto"/>
        <w:jc w:val="both"/>
        <w:rPr>
          <w:rFonts w:ascii="Garamond" w:hAnsi="Garamond"/>
        </w:rPr>
      </w:pPr>
      <w:r w:rsidRPr="00556471">
        <w:rPr>
          <w:rFonts w:ascii="Garamond" w:hAnsi="Garamond"/>
          <w:b/>
          <w:bCs/>
        </w:rPr>
        <w:t>PET image processing</w:t>
      </w:r>
    </w:p>
    <w:p w14:paraId="12C54ED9" w14:textId="77777777" w:rsidR="002D3B10" w:rsidRPr="00556471" w:rsidRDefault="002D3B10" w:rsidP="002D3B10">
      <w:pPr>
        <w:spacing w:line="276" w:lineRule="auto"/>
        <w:jc w:val="both"/>
        <w:rPr>
          <w:rFonts w:ascii="Garamond" w:hAnsi="Garamond"/>
        </w:rPr>
      </w:pPr>
      <w:r w:rsidRPr="005C3E35">
        <w:rPr>
          <w:rFonts w:ascii="Garamond" w:hAnsi="Garamond"/>
        </w:rPr>
        <w:t>PET data were preprocessed with the Magia</w:t>
      </w:r>
      <w:r>
        <w:rPr>
          <w:rFonts w:ascii="Garamond" w:hAnsi="Garamond"/>
        </w:rPr>
        <w:fldChar w:fldCharType="begin"/>
      </w:r>
      <w:r>
        <w:rPr>
          <w:rFonts w:ascii="Garamond" w:hAnsi="Garamond"/>
        </w:rPr>
        <w:instrText xml:space="preserve"> ADDIN ZOTERO_ITEM CSL_CITATION {"citationID":"rboWrZIj","properties":{"formattedCitation":"\\super 5\\nosupersub{}","plainCitation":"5","noteIndex":0},"citationItems":[{"id":3990,"uris":["http://zotero.org/users/1582926/items/8933W9X6"],"itemData":{"id":3990,"type":"article-journal","abstract":"Processing of positron emission tomography (PET) data typically involves manual work, causing inter-operator variance. Here we introduce the Magia toolbox that enables processing of brain PET data with minimal user intervention. We investigated the accuracy of Magia with four tracers: [11C]carfentanil, [11C]raclopride, [11C]MADAM, and [11C]PiB. We used data from 30 control subjects for each tracer. Five operators manually delineated reference regions for each subject. The data were processed using Magia using the manually and automatically generated reference regions. We first assessed inter-operator variance resulting from the manual delineation of reference regions. We then compared the differences between the manually and automatically produced reference regions and the subsequently obtained binding potentials and standardized-uptake-value-ratios. The results show that manually produced reference regions can be remarkably different from each other, leading to substantial differences also in outcome measures. While the Magia-derived reference regions were anatomically different from the manual ones, Magia produced outcome measures highly consistent with the average of the manually obtained estimates. For [11C]carfentanil and [11C]PiB there was no bias, while for [11C]raclopride and [11C]MADAM Magia produced 3–5% higher binding potentials. Based on these results and considering the high inter-operator variance of the manual method, we conclude that Magia can be reliably used to process brain PET data.","container-title":"Frontiers in Neuroinformatics","ISSN":"1662-5196","source":"Frontiers","title":"Magia: Robust Automated Image Processing and Kinetic Modeling Toolbox for PET Neuroinformatics","title-short":"Magia","URL":"https://www.frontiersin.org/article/10.3389/fninf.2020.00003","volume":"14","author":[{"family":"Karjalainen","given":"Tomi"},{"family":"Tuisku","given":"Jouni"},{"family":"Santavirta","given":"Severi"},{"family":"Kantonen","given":"Tatu"},{"family":"Bucci","given":"Marco"},{"family":"Tuominen","given":"Lauri"},{"family":"Hirvonen","given":"Jussi"},{"family":"Hietala","given":"Jarmo"},{"family":"Rinne","given":"Juha O."},{"family":"Nummenmaa","given":"Lauri"}],"accessed":{"date-parts":[["2022",4,12]]},"issued":{"date-parts":[["2020"]]}}}],"schema":"https://github.com/citation-style-language/schema/raw/master/csl-citation.json"} </w:instrText>
      </w:r>
      <w:r>
        <w:rPr>
          <w:rFonts w:ascii="Garamond" w:hAnsi="Garamond"/>
        </w:rPr>
        <w:fldChar w:fldCharType="separate"/>
      </w:r>
      <w:r w:rsidRPr="0039153F">
        <w:rPr>
          <w:rFonts w:ascii="Garamond" w:hAnsi="Garamond" w:cs="Times New Roman"/>
          <w:vertAlign w:val="superscript"/>
        </w:rPr>
        <w:t>5</w:t>
      </w:r>
      <w:r>
        <w:rPr>
          <w:rFonts w:ascii="Garamond" w:hAnsi="Garamond"/>
        </w:rPr>
        <w:fldChar w:fldCharType="end"/>
      </w:r>
      <w:r w:rsidRPr="005C3E35">
        <w:rPr>
          <w:rFonts w:ascii="Garamond" w:hAnsi="Garamond"/>
        </w:rPr>
        <w:t xml:space="preserve"> toolbox (</w:t>
      </w:r>
      <w:hyperlink r:id="rId8" w:history="1">
        <w:r w:rsidRPr="005C3E35">
          <w:rPr>
            <w:rStyle w:val="Hyperlink"/>
            <w:rFonts w:ascii="Garamond" w:hAnsi="Garamond"/>
          </w:rPr>
          <w:t>https://github.com/tkkarjal/magia</w:t>
        </w:r>
      </w:hyperlink>
      <w:r w:rsidRPr="005C3E35">
        <w:rPr>
          <w:rFonts w:ascii="Garamond" w:hAnsi="Garamond"/>
        </w:rPr>
        <w:t xml:space="preserve">) running on MATLAB (The MathWorks, Inc., Natick, MA, USA). </w:t>
      </w:r>
      <w:r w:rsidRPr="00556471">
        <w:rPr>
          <w:rFonts w:ascii="Garamond" w:hAnsi="Garamond"/>
        </w:rPr>
        <w:t xml:space="preserve">PET images were first motion-corrected and </w:t>
      </w:r>
      <w:proofErr w:type="spellStart"/>
      <w:r w:rsidRPr="00556471">
        <w:rPr>
          <w:rFonts w:ascii="Garamond" w:hAnsi="Garamond"/>
        </w:rPr>
        <w:t>coregistered</w:t>
      </w:r>
      <w:proofErr w:type="spellEnd"/>
      <w:r w:rsidRPr="00556471">
        <w:rPr>
          <w:rFonts w:ascii="Garamond" w:hAnsi="Garamond"/>
        </w:rPr>
        <w:t xml:space="preserve"> to T1-weighted (T1w)</w:t>
      </w:r>
      <w:r w:rsidRPr="00556471" w:rsidDel="00735C7E">
        <w:rPr>
          <w:rFonts w:ascii="Garamond" w:hAnsi="Garamond"/>
        </w:rPr>
        <w:t xml:space="preserve"> </w:t>
      </w:r>
      <w:r w:rsidRPr="00556471">
        <w:rPr>
          <w:rFonts w:ascii="Garamond" w:hAnsi="Garamond"/>
        </w:rPr>
        <w:t>MR images, after which T1w</w:t>
      </w:r>
      <w:r w:rsidRPr="00556471" w:rsidDel="00735C7E">
        <w:rPr>
          <w:rFonts w:ascii="Garamond" w:hAnsi="Garamond"/>
        </w:rPr>
        <w:t xml:space="preserve"> </w:t>
      </w:r>
      <w:r w:rsidRPr="00556471">
        <w:rPr>
          <w:rFonts w:ascii="Garamond" w:hAnsi="Garamond"/>
        </w:rPr>
        <w:t xml:space="preserve">image was processed with </w:t>
      </w:r>
      <w:proofErr w:type="spellStart"/>
      <w:r w:rsidRPr="00556471">
        <w:rPr>
          <w:rFonts w:ascii="Garamond" w:hAnsi="Garamond"/>
        </w:rPr>
        <w:t>Freesurfer</w:t>
      </w:r>
      <w:proofErr w:type="spellEnd"/>
      <w:r w:rsidRPr="00556471">
        <w:rPr>
          <w:rFonts w:ascii="Garamond" w:hAnsi="Garamond"/>
        </w:rPr>
        <w:t xml:space="preserve"> for anatomical parcellation. [</w:t>
      </w:r>
      <w:r w:rsidRPr="00556471">
        <w:rPr>
          <w:rFonts w:ascii="Garamond" w:hAnsi="Garamond"/>
          <w:vertAlign w:val="superscript"/>
        </w:rPr>
        <w:t>11</w:t>
      </w:r>
      <w:proofErr w:type="gramStart"/>
      <w:r w:rsidRPr="00556471">
        <w:rPr>
          <w:rFonts w:ascii="Garamond" w:hAnsi="Garamond"/>
        </w:rPr>
        <w:t>C]</w:t>
      </w:r>
      <w:proofErr w:type="spellStart"/>
      <w:r w:rsidRPr="00556471">
        <w:rPr>
          <w:rFonts w:ascii="Garamond" w:hAnsi="Garamond"/>
        </w:rPr>
        <w:t>carfentanil</w:t>
      </w:r>
      <w:proofErr w:type="spellEnd"/>
      <w:proofErr w:type="gramEnd"/>
      <w:r w:rsidRPr="00556471">
        <w:rPr>
          <w:rFonts w:ascii="Garamond" w:hAnsi="Garamond"/>
        </w:rPr>
        <w:t xml:space="preserve"> uptake was quantified as the binding potential (</w:t>
      </w:r>
      <w:r w:rsidRPr="00556471">
        <w:rPr>
          <w:rFonts w:ascii="Garamond" w:hAnsi="Garamond"/>
          <w:i/>
          <w:iCs/>
        </w:rPr>
        <w:t>BP</w:t>
      </w:r>
      <w:r w:rsidRPr="00556471">
        <w:rPr>
          <w:rFonts w:ascii="Garamond" w:hAnsi="Garamond"/>
          <w:vertAlign w:val="subscript"/>
        </w:rPr>
        <w:t>ND</w:t>
      </w:r>
      <w:r w:rsidRPr="00556471">
        <w:rPr>
          <w:rFonts w:ascii="Garamond" w:hAnsi="Garamond"/>
        </w:rPr>
        <w:t xml:space="preserve">) relative to non-displaceable binding, estimated with the simplified reference tissue model (SRTM) at voxel-level by using the occipital cortex as the reference region. </w:t>
      </w:r>
      <w:r w:rsidRPr="00556471">
        <w:rPr>
          <w:rFonts w:ascii="Garamond" w:hAnsi="Garamond"/>
          <w:i/>
          <w:iCs/>
        </w:rPr>
        <w:t>BP</w:t>
      </w:r>
      <w:r w:rsidRPr="00556471">
        <w:rPr>
          <w:rFonts w:ascii="Garamond" w:hAnsi="Garamond"/>
          <w:vertAlign w:val="subscript"/>
        </w:rPr>
        <w:t>ND</w:t>
      </w:r>
      <w:r w:rsidRPr="00556471">
        <w:rPr>
          <w:rFonts w:ascii="Garamond" w:hAnsi="Garamond"/>
        </w:rPr>
        <w:t xml:space="preserve"> images were spatially normalized to MNI152-space and smoothed using a Gaussian kernel (FWHM = 6 mm). </w:t>
      </w:r>
    </w:p>
    <w:p w14:paraId="366E8578" w14:textId="77777777" w:rsidR="002D3B10" w:rsidRPr="00556471" w:rsidRDefault="002D3B10" w:rsidP="002D3B10">
      <w:pPr>
        <w:spacing w:line="276" w:lineRule="auto"/>
        <w:jc w:val="both"/>
        <w:rPr>
          <w:rFonts w:ascii="Garamond" w:hAnsi="Garamond"/>
          <w:b/>
          <w:bCs/>
        </w:rPr>
      </w:pPr>
    </w:p>
    <w:p w14:paraId="49030DA2" w14:textId="77777777" w:rsidR="002D3B10" w:rsidRPr="00556471" w:rsidRDefault="002D3B10" w:rsidP="002D3B10">
      <w:pPr>
        <w:spacing w:line="276" w:lineRule="auto"/>
        <w:jc w:val="both"/>
        <w:rPr>
          <w:rFonts w:ascii="Garamond" w:hAnsi="Garamond"/>
        </w:rPr>
      </w:pPr>
      <w:r w:rsidRPr="00556471">
        <w:rPr>
          <w:rFonts w:ascii="Garamond" w:hAnsi="Garamond"/>
          <w:b/>
          <w:bCs/>
        </w:rPr>
        <w:t xml:space="preserve">MRI data acquisition and preprocessing </w:t>
      </w:r>
    </w:p>
    <w:p w14:paraId="152ECCCE" w14:textId="77777777" w:rsidR="002D3B10" w:rsidRPr="00556471" w:rsidRDefault="002D3B10" w:rsidP="002D3B10">
      <w:pPr>
        <w:spacing w:line="276" w:lineRule="auto"/>
        <w:jc w:val="both"/>
        <w:rPr>
          <w:rFonts w:ascii="Garamond" w:hAnsi="Garamond"/>
        </w:rPr>
      </w:pPr>
      <w:r w:rsidRPr="00556471">
        <w:rPr>
          <w:rFonts w:ascii="Garamond" w:hAnsi="Garamond"/>
        </w:rPr>
        <w:t xml:space="preserve">The MRI data were acquired using a 3T MRI system with </w:t>
      </w:r>
      <w:proofErr w:type="spellStart"/>
      <w:r w:rsidRPr="00556471">
        <w:rPr>
          <w:rFonts w:ascii="Garamond" w:hAnsi="Garamond"/>
        </w:rPr>
        <w:t>SuperG</w:t>
      </w:r>
      <w:proofErr w:type="spellEnd"/>
      <w:r w:rsidRPr="00556471">
        <w:rPr>
          <w:rFonts w:ascii="Garamond" w:hAnsi="Garamond"/>
        </w:rPr>
        <w:t xml:space="preserve"> gradient technology (SIGNA, Premier, GE Healthcare, Waukesha, WI, USA) with the 48-channel head coil. High-resolution structural images were obtained with a T1-weighted (T1w) MPRAGE sequence (1 mm</w:t>
      </w:r>
      <w:r w:rsidRPr="00556471">
        <w:rPr>
          <w:rFonts w:ascii="Garamond" w:hAnsi="Garamond"/>
          <w:vertAlign w:val="superscript"/>
        </w:rPr>
        <w:t>3</w:t>
      </w:r>
      <w:r w:rsidRPr="00556471">
        <w:rPr>
          <w:rFonts w:ascii="Garamond" w:hAnsi="Garamond"/>
        </w:rPr>
        <w:t xml:space="preserve"> resolution, TR 7.3 </w:t>
      </w:r>
      <w:proofErr w:type="spellStart"/>
      <w:r w:rsidRPr="00556471">
        <w:rPr>
          <w:rFonts w:ascii="Garamond" w:hAnsi="Garamond"/>
        </w:rPr>
        <w:t>ms</w:t>
      </w:r>
      <w:proofErr w:type="spellEnd"/>
      <w:r w:rsidRPr="00556471">
        <w:rPr>
          <w:rFonts w:ascii="Garamond" w:hAnsi="Garamond"/>
        </w:rPr>
        <w:t xml:space="preserve">, TE 3.0 </w:t>
      </w:r>
      <w:proofErr w:type="spellStart"/>
      <w:r w:rsidRPr="00556471">
        <w:rPr>
          <w:rFonts w:ascii="Garamond" w:hAnsi="Garamond"/>
        </w:rPr>
        <w:t>ms</w:t>
      </w:r>
      <w:proofErr w:type="spellEnd"/>
      <w:r w:rsidRPr="00556471">
        <w:rPr>
          <w:rFonts w:ascii="Garamond" w:hAnsi="Garamond"/>
        </w:rPr>
        <w:t>, flip angle 8◦, 256 mm FOV, 256 × 256 reconstruction matrix). 556 functional volumes (24 min) were acquired with a T2</w:t>
      </w:r>
      <w:r w:rsidRPr="00556471">
        <w:rPr>
          <w:rFonts w:ascii="Cambria Math" w:hAnsi="Cambria Math" w:cs="Cambria Math"/>
        </w:rPr>
        <w:t>∗</w:t>
      </w:r>
      <w:r w:rsidRPr="00556471">
        <w:rPr>
          <w:rFonts w:ascii="Garamond" w:hAnsi="Garamond"/>
        </w:rPr>
        <w:t xml:space="preserve">-weighted echo-planar imaging sequence sensitive to the blood-oxygen-level-dependent (BOLD) signal contrast (TR 2600 </w:t>
      </w:r>
      <w:proofErr w:type="spellStart"/>
      <w:r w:rsidRPr="00556471">
        <w:rPr>
          <w:rFonts w:ascii="Garamond" w:hAnsi="Garamond"/>
        </w:rPr>
        <w:t>ms</w:t>
      </w:r>
      <w:proofErr w:type="spellEnd"/>
      <w:r w:rsidRPr="00556471">
        <w:rPr>
          <w:rFonts w:ascii="Garamond" w:hAnsi="Garamond"/>
        </w:rPr>
        <w:t xml:space="preserve">, TE 30 </w:t>
      </w:r>
      <w:proofErr w:type="spellStart"/>
      <w:r w:rsidRPr="00556471">
        <w:rPr>
          <w:rFonts w:ascii="Garamond" w:hAnsi="Garamond"/>
        </w:rPr>
        <w:t>ms</w:t>
      </w:r>
      <w:proofErr w:type="spellEnd"/>
      <w:r w:rsidRPr="00556471">
        <w:rPr>
          <w:rFonts w:ascii="Garamond" w:hAnsi="Garamond"/>
        </w:rPr>
        <w:t xml:space="preserve">, </w:t>
      </w:r>
      <w:r w:rsidRPr="00556471">
        <w:rPr>
          <w:rFonts w:ascii="Garamond" w:hAnsi="Garamond"/>
        </w:rPr>
        <w:lastRenderedPageBreak/>
        <w:t>75◦ flip angle, 240 mm FOV, 80 × 80 reconstruction matrix, 3.0 mm slice thickness, 45 interleaved axial slices acquired in descending order without gaps).</w:t>
      </w:r>
    </w:p>
    <w:p w14:paraId="3F73C338" w14:textId="77777777" w:rsidR="002D3B10" w:rsidRPr="00556471" w:rsidRDefault="002D3B10" w:rsidP="002D3B10">
      <w:pPr>
        <w:spacing w:line="276" w:lineRule="auto"/>
        <w:ind w:firstLine="720"/>
        <w:jc w:val="both"/>
        <w:rPr>
          <w:rFonts w:ascii="Garamond" w:hAnsi="Garamond"/>
        </w:rPr>
      </w:pPr>
      <w:r w:rsidRPr="00556471">
        <w:rPr>
          <w:rFonts w:ascii="Garamond" w:hAnsi="Garamond"/>
        </w:rPr>
        <w:t xml:space="preserve">Functional imaging data were preprocessed with FMRIPREP. During preprocessing, each T1w volume was corrected for intensity non-uniformity using N4BiasFieldCorrection (v2.1.0) and skull-stripped using antsBrainExtraction.sh (v2.1.0) using the OASIS template. Brain surfaces were reconstructed using recon-all from </w:t>
      </w:r>
      <w:proofErr w:type="spellStart"/>
      <w:r w:rsidRPr="00556471">
        <w:rPr>
          <w:rFonts w:ascii="Garamond" w:hAnsi="Garamond"/>
        </w:rPr>
        <w:t>FreeSurfer</w:t>
      </w:r>
      <w:proofErr w:type="spellEnd"/>
      <w:r w:rsidRPr="00556471">
        <w:rPr>
          <w:rFonts w:ascii="Garamond" w:hAnsi="Garamond"/>
        </w:rPr>
        <w:t xml:space="preserve"> (v6.0.1), and the brain mask estimated previously was refined with a custom variation of the method to reconcile ANTs-derived and </w:t>
      </w:r>
      <w:proofErr w:type="spellStart"/>
      <w:r w:rsidRPr="00556471">
        <w:rPr>
          <w:rFonts w:ascii="Garamond" w:hAnsi="Garamond"/>
        </w:rPr>
        <w:t>FreeSurfer</w:t>
      </w:r>
      <w:proofErr w:type="spellEnd"/>
      <w:r w:rsidRPr="00556471">
        <w:rPr>
          <w:rFonts w:ascii="Garamond" w:hAnsi="Garamond"/>
        </w:rPr>
        <w:t xml:space="preserve">-derived segmentations of the cortical grey matter of </w:t>
      </w:r>
      <w:proofErr w:type="spellStart"/>
      <w:r w:rsidRPr="00556471">
        <w:rPr>
          <w:rFonts w:ascii="Garamond" w:hAnsi="Garamond"/>
        </w:rPr>
        <w:t>Mindboggle</w:t>
      </w:r>
      <w:proofErr w:type="spellEnd"/>
      <w:r w:rsidRPr="00556471">
        <w:rPr>
          <w:rFonts w:ascii="Garamond" w:hAnsi="Garamond"/>
        </w:rPr>
        <w:t xml:space="preserve">. Spatial normalization to the ICBM 152 Nonlinear Asymmetrical template version 2009c was performed through nonlinear registration with the </w:t>
      </w:r>
      <w:proofErr w:type="spellStart"/>
      <w:r w:rsidRPr="00556471">
        <w:rPr>
          <w:rFonts w:ascii="Garamond" w:hAnsi="Garamond"/>
        </w:rPr>
        <w:t>antsRegistration</w:t>
      </w:r>
      <w:proofErr w:type="spellEnd"/>
      <w:r w:rsidRPr="00556471">
        <w:rPr>
          <w:rFonts w:ascii="Garamond" w:hAnsi="Garamond"/>
        </w:rPr>
        <w:t xml:space="preserve"> (ANTs v2.1.0), using brain-extracted versions of both T1w volume and template. Brain tissue segmentation of cerebrospinal fluid, white matter and grey matter was performed on the brain-extracted T1w image using FAST (FSL v5.0.9). </w:t>
      </w:r>
    </w:p>
    <w:p w14:paraId="571500A7" w14:textId="77777777" w:rsidR="002D3B10" w:rsidRPr="00556471" w:rsidRDefault="002D3B10" w:rsidP="002D3B10">
      <w:pPr>
        <w:rPr>
          <w:rFonts w:ascii="Garamond" w:hAnsi="Garamond"/>
        </w:rPr>
      </w:pPr>
    </w:p>
    <w:p w14:paraId="5BC6E12E" w14:textId="77777777" w:rsidR="002D3B10" w:rsidRPr="00556471" w:rsidRDefault="002D3B10" w:rsidP="002D3B10">
      <w:pPr>
        <w:spacing w:line="276" w:lineRule="auto"/>
        <w:jc w:val="both"/>
        <w:rPr>
          <w:rFonts w:ascii="Garamond" w:hAnsi="Garamond"/>
        </w:rPr>
      </w:pPr>
      <w:r w:rsidRPr="00556471">
        <w:rPr>
          <w:rFonts w:ascii="Garamond" w:eastAsia="Times New Roman" w:hAnsi="Garamond" w:cs="Segoe UI"/>
          <w:b/>
          <w:bCs/>
          <w:color w:val="0F0F0F"/>
          <w:lang w:eastAsia="en-GB"/>
        </w:rPr>
        <w:t>Heart rate and pupil size measurements</w:t>
      </w:r>
    </w:p>
    <w:p w14:paraId="77B98BBB" w14:textId="77777777" w:rsidR="002D3B10" w:rsidRPr="00556471" w:rsidRDefault="002D3B10" w:rsidP="002D3B10">
      <w:pPr>
        <w:spacing w:line="276" w:lineRule="auto"/>
        <w:jc w:val="both"/>
        <w:rPr>
          <w:rFonts w:ascii="Garamond" w:eastAsiaTheme="minorEastAsia" w:hAnsi="Garamond"/>
        </w:rPr>
      </w:pPr>
      <w:r w:rsidRPr="00556471">
        <w:rPr>
          <w:rFonts w:ascii="Garamond" w:eastAsiaTheme="minorEastAsia" w:hAnsi="Garamond"/>
        </w:rPr>
        <w:t xml:space="preserve">We assessed autonomic nervous system activation by comparing mean heart rate during the music and baseline PET scans. Heart rate was measured using a Polar M430 GPS running watch, and a Polar H10 heart rate sensor. </w:t>
      </w:r>
      <w:r w:rsidRPr="00556471">
        <w:rPr>
          <w:rFonts w:ascii="Garamond" w:eastAsiaTheme="minorEastAsia" w:hAnsi="Garamond"/>
        </w:rPr>
        <w:tab/>
        <w:t xml:space="preserve"> </w:t>
      </w:r>
    </w:p>
    <w:p w14:paraId="243285F6" w14:textId="77777777" w:rsidR="002D3B10" w:rsidRPr="00556471" w:rsidRDefault="002D3B10" w:rsidP="002D3B10">
      <w:pPr>
        <w:spacing w:line="276" w:lineRule="auto"/>
        <w:ind w:firstLine="720"/>
        <w:jc w:val="both"/>
        <w:rPr>
          <w:rFonts w:ascii="Garamond" w:eastAsiaTheme="minorEastAsia" w:hAnsi="Garamond"/>
        </w:rPr>
      </w:pPr>
      <w:r w:rsidRPr="00556471">
        <w:rPr>
          <w:rFonts w:ascii="Garamond" w:eastAsiaTheme="minorEastAsia" w:hAnsi="Garamond"/>
        </w:rPr>
        <w:t xml:space="preserve">In the eye-tracking experiment, we measured pupil size with Eye Link II system with 250 Hz sampling rate and spatial accuracy better than 0.5 degrees. The recording was conducted in a dimly lit room. The participants were seated with their chin on a chin rest. The eye tracker was calibrated and validated using standard 9-point calibration. The participants listened to 10 60-sec excerpts of their self-chosen pleasurable music and six 45-sec control stimuli used in the fMRI experiment (see above). A control stimulus was presented after 2-3 music excerpts. Each trial began with a drift correction and detrending. Participants were instructed to keep their eyes fixated at a cross shown at the center of the screen while listening. Gaze position and pupil size were measured throughout the trial, after which the subject reported using a keyboard </w:t>
      </w:r>
      <w:r w:rsidRPr="00556471">
        <w:rPr>
          <w:rFonts w:ascii="Garamond" w:hAnsi="Garamond"/>
        </w:rPr>
        <w:t xml:space="preserve">their experience of </w:t>
      </w:r>
      <w:r w:rsidRPr="00556471">
        <w:rPr>
          <w:rFonts w:ascii="Garamond" w:eastAsiaTheme="minorEastAsia" w:hAnsi="Garamond"/>
        </w:rPr>
        <w:t>liking, calmness, and feeling energized</w:t>
      </w:r>
      <w:r w:rsidRPr="00556471">
        <w:rPr>
          <w:rFonts w:ascii="Garamond" w:hAnsi="Garamond"/>
        </w:rPr>
        <w:t xml:space="preserve"> on a scale from 1 to 4</w:t>
      </w:r>
      <w:r w:rsidRPr="00556471">
        <w:rPr>
          <w:rFonts w:ascii="Garamond" w:eastAsiaTheme="minorEastAsia" w:hAnsi="Garamond"/>
        </w:rPr>
        <w:t xml:space="preserve"> (1 = very weak, 4 = very strong) (</w:t>
      </w:r>
      <w:r w:rsidRPr="00556471">
        <w:rPr>
          <w:rFonts w:ascii="Garamond" w:eastAsiaTheme="minorEastAsia" w:hAnsi="Garamond"/>
          <w:b/>
          <w:bCs/>
        </w:rPr>
        <w:t>Figure S2</w:t>
      </w:r>
      <w:r w:rsidRPr="00556471">
        <w:rPr>
          <w:rFonts w:ascii="Garamond" w:eastAsiaTheme="minorEastAsia" w:hAnsi="Garamond"/>
        </w:rPr>
        <w:t xml:space="preserve">). The eye tracker was recalibrated at the middle of the experiment. Subject-wise pupil size time series were cleaned from blinks using in-house code based on </w:t>
      </w:r>
      <w:proofErr w:type="spellStart"/>
      <w:r w:rsidRPr="00556471">
        <w:rPr>
          <w:rFonts w:ascii="Garamond" w:eastAsiaTheme="minorEastAsia" w:hAnsi="Garamond"/>
        </w:rPr>
        <w:t>PhysioData</w:t>
      </w:r>
      <w:proofErr w:type="spellEnd"/>
      <w:r w:rsidRPr="00556471">
        <w:rPr>
          <w:rFonts w:ascii="Garamond" w:eastAsiaTheme="minorEastAsia" w:hAnsi="Garamond"/>
        </w:rPr>
        <w:t xml:space="preserve"> Toolbox</w:t>
      </w:r>
      <w:r w:rsidRPr="00556471">
        <w:rPr>
          <w:rFonts w:ascii="Garamond" w:eastAsiaTheme="minorEastAsia" w:hAnsi="Garamond"/>
        </w:rPr>
        <w:fldChar w:fldCharType="begin"/>
      </w:r>
      <w:r>
        <w:rPr>
          <w:rFonts w:ascii="Garamond" w:eastAsiaTheme="minorEastAsia" w:hAnsi="Garamond"/>
        </w:rPr>
        <w:instrText xml:space="preserve"> ADDIN ZOTERO_ITEM CSL_CITATION {"citationID":"WLxJ4jHY","properties":{"formattedCitation":"\\super 6\\nosupersub{}","plainCitation":"6","noteIndex":0},"citationItems":[{"id":10717,"uris":["http://zotero.org/users/1582926/items/IRCW9CY2"],"itemData":{"id":10717,"type":"article-journal","container-title":"Behavior Research Methods","DOI":"10.3758/s13428-018-1075-y","ISSN":"1554-3528","issue":"3","journalAbbreviation":"Behav Res","language":"en","page":"1336-1342","source":"DOI.org (Crossref)","title":"Preprocessing pupil size data: Guidelines and code","title-short":"Preprocessing pupil size data","volume":"51","author":[{"family":"Kret","given":"Mariska E."},{"family":"Sjak-Shie","given":"Elio E."}],"issued":{"date-parts":[["2019",6]]}}}],"schema":"https://github.com/citation-style-language/schema/raw/master/csl-citation.json"} </w:instrText>
      </w:r>
      <w:r w:rsidRPr="00556471">
        <w:rPr>
          <w:rFonts w:ascii="Garamond" w:eastAsiaTheme="minorEastAsia" w:hAnsi="Garamond"/>
        </w:rPr>
        <w:fldChar w:fldCharType="separate"/>
      </w:r>
      <w:r w:rsidRPr="0039153F">
        <w:rPr>
          <w:rFonts w:ascii="Garamond" w:hAnsi="Garamond" w:cs="Times New Roman"/>
          <w:vertAlign w:val="superscript"/>
        </w:rPr>
        <w:t>6</w:t>
      </w:r>
      <w:r w:rsidRPr="00556471">
        <w:rPr>
          <w:rFonts w:ascii="Garamond" w:eastAsiaTheme="minorEastAsia" w:hAnsi="Garamond"/>
        </w:rPr>
        <w:fldChar w:fldCharType="end"/>
      </w:r>
      <w:r w:rsidRPr="00556471">
        <w:rPr>
          <w:rFonts w:ascii="Garamond" w:eastAsiaTheme="minorEastAsia" w:hAnsi="Garamond"/>
        </w:rPr>
        <w:t xml:space="preserve">, baseline corrected (0-20 </w:t>
      </w:r>
      <w:proofErr w:type="spellStart"/>
      <w:r w:rsidRPr="00556471">
        <w:rPr>
          <w:rFonts w:ascii="Garamond" w:eastAsiaTheme="minorEastAsia" w:hAnsi="Garamond"/>
        </w:rPr>
        <w:t>ms</w:t>
      </w:r>
      <w:proofErr w:type="spellEnd"/>
      <w:r w:rsidRPr="00556471">
        <w:rPr>
          <w:rFonts w:ascii="Garamond" w:eastAsiaTheme="minorEastAsia" w:hAnsi="Garamond"/>
        </w:rPr>
        <w:t>), and mean pupil sizes between 2 and 10 seconds was compared across the music and control trials.</w:t>
      </w:r>
    </w:p>
    <w:p w14:paraId="4149FFF7" w14:textId="77777777" w:rsidR="002D3B10" w:rsidRPr="00556471" w:rsidRDefault="002D3B10" w:rsidP="002D3B10">
      <w:pPr>
        <w:spacing w:line="276" w:lineRule="auto"/>
        <w:ind w:firstLine="720"/>
        <w:jc w:val="both"/>
        <w:rPr>
          <w:rFonts w:ascii="Garamond" w:eastAsiaTheme="minorEastAsia" w:hAnsi="Garamond"/>
        </w:rPr>
      </w:pPr>
    </w:p>
    <w:p w14:paraId="4EED7927" w14:textId="77777777" w:rsidR="002D3B10" w:rsidRPr="00556471" w:rsidRDefault="002D3B10" w:rsidP="002D3B10">
      <w:pPr>
        <w:pStyle w:val="Bibliography"/>
        <w:rPr>
          <w:rFonts w:ascii="Garamond" w:hAnsi="Garamond"/>
        </w:rPr>
      </w:pPr>
    </w:p>
    <w:p w14:paraId="074D9F85" w14:textId="77777777" w:rsidR="002D3B10" w:rsidRPr="00556471" w:rsidRDefault="002D3B10" w:rsidP="002D3B10">
      <w:pPr>
        <w:rPr>
          <w:rFonts w:ascii="Garamond" w:hAnsi="Garamond"/>
        </w:rPr>
      </w:pPr>
      <w:r w:rsidRPr="00556471">
        <w:rPr>
          <w:rFonts w:ascii="Garamond" w:hAnsi="Garamond"/>
          <w:noProof/>
        </w:rPr>
        <w:lastRenderedPageBreak/>
        <w:drawing>
          <wp:anchor distT="0" distB="0" distL="114300" distR="114300" simplePos="0" relativeHeight="251672576" behindDoc="0" locked="0" layoutInCell="1" allowOverlap="1" wp14:anchorId="1C4AB0E8" wp14:editId="787167E7">
            <wp:simplePos x="0" y="0"/>
            <wp:positionH relativeFrom="margin">
              <wp:posOffset>1143000</wp:posOffset>
            </wp:positionH>
            <wp:positionV relativeFrom="paragraph">
              <wp:posOffset>163195</wp:posOffset>
            </wp:positionV>
            <wp:extent cx="2743200" cy="2286000"/>
            <wp:effectExtent l="0" t="0" r="0" b="0"/>
            <wp:wrapTopAndBottom/>
            <wp:docPr id="1617484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84154" name=""/>
                    <pic:cNvPicPr/>
                  </pic:nvPicPr>
                  <pic:blipFill>
                    <a:blip r:embed="rId9">
                      <a:extLst>
                        <a:ext uri="{28A0092B-C50C-407E-A947-70E740481C1C}">
                          <a14:useLocalDpi xmlns:a14="http://schemas.microsoft.com/office/drawing/2010/main" val="0"/>
                        </a:ext>
                      </a:extLst>
                    </a:blip>
                    <a:stretch>
                      <a:fillRect/>
                    </a:stretch>
                  </pic:blipFill>
                  <pic:spPr>
                    <a:xfrm>
                      <a:off x="0" y="0"/>
                      <a:ext cx="2743200" cy="2286000"/>
                    </a:xfrm>
                    <a:prstGeom prst="rect">
                      <a:avLst/>
                    </a:prstGeom>
                  </pic:spPr>
                </pic:pic>
              </a:graphicData>
            </a:graphic>
            <wp14:sizeRelH relativeFrom="page">
              <wp14:pctWidth>0</wp14:pctWidth>
            </wp14:sizeRelH>
            <wp14:sizeRelV relativeFrom="page">
              <wp14:pctHeight>0</wp14:pctHeight>
            </wp14:sizeRelV>
          </wp:anchor>
        </w:drawing>
      </w:r>
      <w:r w:rsidRPr="00556471">
        <w:rPr>
          <w:rFonts w:ascii="Garamond" w:hAnsi="Garamond"/>
          <w:b/>
          <w:bCs/>
        </w:rPr>
        <w:t xml:space="preserve">Figure S1. </w:t>
      </w:r>
      <w:r w:rsidRPr="00556471">
        <w:rPr>
          <w:rFonts w:ascii="Garamond" w:hAnsi="Garamond"/>
        </w:rPr>
        <w:t>The genres for the music selected by the subjects.</w:t>
      </w:r>
    </w:p>
    <w:p w14:paraId="47ED5655" w14:textId="77777777" w:rsidR="002D3B10" w:rsidRPr="00556471" w:rsidRDefault="002D3B10" w:rsidP="002D3B10">
      <w:pPr>
        <w:rPr>
          <w:rFonts w:ascii="Garamond" w:hAnsi="Garamond"/>
          <w:b/>
          <w:bCs/>
        </w:rPr>
      </w:pPr>
    </w:p>
    <w:p w14:paraId="7715CA60" w14:textId="77777777" w:rsidR="002D3B10" w:rsidRPr="00556471" w:rsidRDefault="002D3B10" w:rsidP="002D3B10">
      <w:pPr>
        <w:rPr>
          <w:rFonts w:ascii="Garamond" w:hAnsi="Garamond"/>
        </w:rPr>
      </w:pPr>
      <w:r w:rsidRPr="00556471">
        <w:rPr>
          <w:rFonts w:ascii="Garamond" w:hAnsi="Garamond"/>
          <w:b/>
          <w:bCs/>
          <w:noProof/>
        </w:rPr>
        <w:drawing>
          <wp:anchor distT="0" distB="0" distL="114300" distR="114300" simplePos="0" relativeHeight="251673600" behindDoc="0" locked="0" layoutInCell="1" allowOverlap="1" wp14:anchorId="31AC0EE4" wp14:editId="30C411FA">
            <wp:simplePos x="0" y="0"/>
            <wp:positionH relativeFrom="margin">
              <wp:align>center</wp:align>
            </wp:positionH>
            <wp:positionV relativeFrom="paragraph">
              <wp:posOffset>2540</wp:posOffset>
            </wp:positionV>
            <wp:extent cx="3657600" cy="2743200"/>
            <wp:effectExtent l="0" t="0" r="0" b="0"/>
            <wp:wrapTopAndBottom/>
            <wp:docPr id="164938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6239" name=""/>
                    <pic:cNvPicPr/>
                  </pic:nvPicPr>
                  <pic:blipFill>
                    <a:blip r:embed="rId10">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14:sizeRelH relativeFrom="page">
              <wp14:pctWidth>0</wp14:pctWidth>
            </wp14:sizeRelH>
            <wp14:sizeRelV relativeFrom="page">
              <wp14:pctHeight>0</wp14:pctHeight>
            </wp14:sizeRelV>
          </wp:anchor>
        </w:drawing>
      </w:r>
      <w:r w:rsidRPr="00556471">
        <w:rPr>
          <w:rFonts w:ascii="Garamond" w:hAnsi="Garamond"/>
          <w:b/>
          <w:bCs/>
        </w:rPr>
        <w:t xml:space="preserve">Figure S2. </w:t>
      </w:r>
      <w:r w:rsidRPr="00556471">
        <w:rPr>
          <w:rFonts w:ascii="Garamond" w:hAnsi="Garamond"/>
        </w:rPr>
        <w:t>Mean ratings for liking, energization and calmness for the musical excerpts and control stimuli in the eye-tracking experiment.</w:t>
      </w:r>
    </w:p>
    <w:p w14:paraId="1A01BA5D" w14:textId="77777777" w:rsidR="002D3B10" w:rsidRPr="00556471" w:rsidRDefault="002D3B10" w:rsidP="002D3B10">
      <w:pPr>
        <w:pStyle w:val="Bibliography"/>
        <w:rPr>
          <w:rFonts w:ascii="Garamond" w:hAnsi="Garamond"/>
        </w:rPr>
      </w:pPr>
    </w:p>
    <w:p w14:paraId="4F57546E" w14:textId="77777777" w:rsidR="002D3B10" w:rsidRPr="00556471" w:rsidRDefault="002D3B10" w:rsidP="002D3B10">
      <w:pPr>
        <w:rPr>
          <w:rFonts w:ascii="Garamond" w:hAnsi="Garamond"/>
          <w:b/>
          <w:bCs/>
        </w:rPr>
      </w:pPr>
      <w:r w:rsidRPr="00556471">
        <w:rPr>
          <w:rFonts w:ascii="Garamond" w:hAnsi="Garamond"/>
          <w:b/>
          <w:bCs/>
        </w:rPr>
        <w:br w:type="page"/>
      </w:r>
    </w:p>
    <w:p w14:paraId="644EE736" w14:textId="14BAA77B" w:rsidR="002D3B10" w:rsidRPr="00556471" w:rsidRDefault="002D3B10" w:rsidP="002D3B10">
      <w:pPr>
        <w:rPr>
          <w:rFonts w:ascii="Garamond" w:hAnsi="Garamond"/>
        </w:rPr>
      </w:pPr>
      <w:r w:rsidRPr="00556471">
        <w:rPr>
          <w:rFonts w:ascii="Garamond" w:hAnsi="Garamond"/>
          <w:b/>
          <w:bCs/>
        </w:rPr>
        <w:lastRenderedPageBreak/>
        <w:t>Table S1.</w:t>
      </w:r>
      <w:r w:rsidRPr="00556471">
        <w:rPr>
          <w:rFonts w:ascii="Garamond" w:hAnsi="Garamond"/>
        </w:rPr>
        <w:t xml:space="preserve"> Mean t values and effects sizes for anatomical regions-of-interest (ROI</w:t>
      </w:r>
      <w:r w:rsidR="005A2018">
        <w:rPr>
          <w:rFonts w:ascii="Garamond" w:hAnsi="Garamond"/>
        </w:rPr>
        <w:t>s</w:t>
      </w:r>
      <w:r w:rsidRPr="00556471">
        <w:rPr>
          <w:rFonts w:ascii="Garamond" w:hAnsi="Garamond"/>
        </w:rPr>
        <w:t>)</w:t>
      </w:r>
      <w:r w:rsidR="005A2018">
        <w:rPr>
          <w:rFonts w:ascii="Garamond" w:hAnsi="Garamond"/>
        </w:rPr>
        <w:t xml:space="preserve"> </w:t>
      </w:r>
      <w:r w:rsidR="005A2018" w:rsidRPr="005A2018">
        <w:rPr>
          <w:rFonts w:ascii="Garamond" w:hAnsi="Garamond"/>
        </w:rPr>
        <w:t>defined using the Harvard-Oxford atlas.</w:t>
      </w:r>
      <w:r w:rsidRPr="00556471">
        <w:rPr>
          <w:rFonts w:ascii="Garamond" w:hAnsi="Garamond"/>
        </w:rPr>
        <w:t xml:space="preserve"> </w:t>
      </w:r>
    </w:p>
    <w:tbl>
      <w:tblPr>
        <w:tblW w:w="0" w:type="auto"/>
        <w:tblLook w:val="04A0" w:firstRow="1" w:lastRow="0" w:firstColumn="1" w:lastColumn="0" w:noHBand="0" w:noVBand="1"/>
      </w:tblPr>
      <w:tblGrid>
        <w:gridCol w:w="1399"/>
        <w:gridCol w:w="1449"/>
        <w:gridCol w:w="569"/>
        <w:gridCol w:w="1211"/>
      </w:tblGrid>
      <w:tr w:rsidR="00A1271C" w:rsidRPr="00556471" w14:paraId="38EC311D" w14:textId="66E0AC37" w:rsidTr="008E00F0">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4208E7FF" w14:textId="77777777" w:rsidR="00A1271C" w:rsidRPr="00556471" w:rsidRDefault="00A1271C" w:rsidP="000317A7">
            <w:pPr>
              <w:rPr>
                <w:rFonts w:ascii="Garamond" w:eastAsia="Times New Roman" w:hAnsi="Garamond" w:cs="Times New Roman"/>
                <w:color w:val="000000"/>
              </w:rPr>
            </w:pPr>
            <w:r w:rsidRPr="00556471">
              <w:rPr>
                <w:rFonts w:ascii="Garamond" w:eastAsia="Times New Roman" w:hAnsi="Garamond" w:cs="Times New Roman"/>
                <w:color w:val="000000"/>
              </w:rPr>
              <w:t>ROI</w:t>
            </w:r>
          </w:p>
        </w:tc>
        <w:tc>
          <w:tcPr>
            <w:tcW w:w="0" w:type="auto"/>
            <w:tcBorders>
              <w:top w:val="single" w:sz="4" w:space="0" w:color="auto"/>
              <w:left w:val="nil"/>
              <w:bottom w:val="single" w:sz="4" w:space="0" w:color="auto"/>
              <w:right w:val="nil"/>
            </w:tcBorders>
            <w:shd w:val="clear" w:color="auto" w:fill="auto"/>
            <w:noWrap/>
            <w:vAlign w:val="bottom"/>
            <w:hideMark/>
          </w:tcPr>
          <w:p w14:paraId="6AB8F242" w14:textId="2A6F5CA5" w:rsidR="00A1271C" w:rsidRPr="00556471" w:rsidRDefault="00A1271C" w:rsidP="000317A7">
            <w:pPr>
              <w:rPr>
                <w:rFonts w:ascii="Garamond" w:eastAsia="Times New Roman" w:hAnsi="Garamond" w:cs="Times New Roman"/>
                <w:color w:val="000000"/>
              </w:rPr>
            </w:pPr>
            <w:r w:rsidRPr="00556471">
              <w:rPr>
                <w:rFonts w:ascii="Garamond" w:eastAsia="Times New Roman" w:hAnsi="Garamond" w:cs="Times New Roman"/>
                <w:color w:val="000000"/>
              </w:rPr>
              <w:t xml:space="preserve">Mean </w:t>
            </w:r>
            <w:r w:rsidR="008E00F0" w:rsidRPr="008E00F0">
              <w:rPr>
                <w:rFonts w:ascii="Garamond" w:eastAsia="Times New Roman" w:hAnsi="Garamond" w:cs="Times New Roman"/>
                <w:i/>
                <w:iCs/>
                <w:color w:val="000000"/>
              </w:rPr>
              <w:t>t</w:t>
            </w:r>
            <w:r w:rsidRPr="00556471">
              <w:rPr>
                <w:rFonts w:ascii="Garamond" w:eastAsia="Times New Roman" w:hAnsi="Garamond" w:cs="Times New Roman"/>
                <w:color w:val="000000"/>
              </w:rPr>
              <w:t xml:space="preserve"> Value</w:t>
            </w:r>
          </w:p>
        </w:tc>
        <w:tc>
          <w:tcPr>
            <w:tcW w:w="0" w:type="auto"/>
            <w:tcBorders>
              <w:top w:val="single" w:sz="4" w:space="0" w:color="auto"/>
              <w:left w:val="nil"/>
              <w:bottom w:val="single" w:sz="4" w:space="0" w:color="auto"/>
              <w:right w:val="nil"/>
            </w:tcBorders>
            <w:shd w:val="clear" w:color="auto" w:fill="auto"/>
            <w:noWrap/>
            <w:vAlign w:val="bottom"/>
            <w:hideMark/>
          </w:tcPr>
          <w:p w14:paraId="5432B8E6" w14:textId="4E6DB52A" w:rsidR="00A1271C" w:rsidRPr="002E5830" w:rsidRDefault="002E5830" w:rsidP="000317A7">
            <w:pPr>
              <w:rPr>
                <w:rFonts w:ascii="Garamond" w:eastAsia="Times New Roman" w:hAnsi="Garamond" w:cs="Times New Roman"/>
                <w:i/>
                <w:iCs/>
                <w:color w:val="000000"/>
              </w:rPr>
            </w:pPr>
            <w:r w:rsidRPr="002E5830">
              <w:rPr>
                <w:rFonts w:ascii="Garamond" w:eastAsia="Times New Roman" w:hAnsi="Garamond" w:cs="Times New Roman"/>
                <w:i/>
                <w:iCs/>
                <w:color w:val="000000"/>
              </w:rPr>
              <w:t>r</w:t>
            </w:r>
          </w:p>
        </w:tc>
        <w:tc>
          <w:tcPr>
            <w:tcW w:w="0" w:type="auto"/>
            <w:tcBorders>
              <w:top w:val="single" w:sz="4" w:space="0" w:color="auto"/>
              <w:left w:val="nil"/>
              <w:bottom w:val="single" w:sz="4" w:space="0" w:color="auto"/>
              <w:right w:val="nil"/>
            </w:tcBorders>
            <w:vAlign w:val="bottom"/>
          </w:tcPr>
          <w:p w14:paraId="543BBA1B" w14:textId="69B1730B" w:rsidR="00A1271C" w:rsidRPr="00556471" w:rsidRDefault="00A1271C" w:rsidP="008E00F0">
            <w:pPr>
              <w:rPr>
                <w:rFonts w:ascii="Garamond" w:eastAsia="Times New Roman" w:hAnsi="Garamond" w:cs="Times New Roman"/>
                <w:color w:val="000000"/>
              </w:rPr>
            </w:pPr>
            <w:r w:rsidRPr="00556471">
              <w:rPr>
                <w:rFonts w:ascii="Garamond" w:eastAsia="Times New Roman" w:hAnsi="Garamond" w:cs="Times New Roman"/>
                <w:color w:val="000000"/>
              </w:rPr>
              <w:t>Cohen's D</w:t>
            </w:r>
          </w:p>
        </w:tc>
      </w:tr>
      <w:tr w:rsidR="00A1271C" w:rsidRPr="00556471" w14:paraId="4A0AE5C3" w14:textId="125F8EE1" w:rsidTr="003E0743">
        <w:trPr>
          <w:trHeight w:val="320"/>
        </w:trPr>
        <w:tc>
          <w:tcPr>
            <w:tcW w:w="0" w:type="auto"/>
            <w:gridSpan w:val="4"/>
            <w:tcBorders>
              <w:top w:val="single" w:sz="4" w:space="0" w:color="auto"/>
              <w:left w:val="nil"/>
              <w:right w:val="nil"/>
            </w:tcBorders>
            <w:shd w:val="clear" w:color="auto" w:fill="auto"/>
            <w:noWrap/>
            <w:vAlign w:val="bottom"/>
          </w:tcPr>
          <w:p w14:paraId="76F904E2" w14:textId="3AAD9A21" w:rsidR="00A1271C" w:rsidRDefault="00A1271C" w:rsidP="000317A7">
            <w:pPr>
              <w:rPr>
                <w:rFonts w:ascii="Garamond" w:eastAsia="Times New Roman" w:hAnsi="Garamond" w:cs="Times New Roman"/>
                <w:color w:val="000000"/>
              </w:rPr>
            </w:pPr>
            <w:r>
              <w:rPr>
                <w:rFonts w:ascii="Garamond" w:eastAsia="Times New Roman" w:hAnsi="Garamond" w:cs="Times New Roman"/>
                <w:color w:val="000000"/>
              </w:rPr>
              <w:t>Music &gt; Baseline MOR binding</w:t>
            </w:r>
          </w:p>
        </w:tc>
      </w:tr>
      <w:tr w:rsidR="00A1271C" w:rsidRPr="00556471" w14:paraId="1FA0642A" w14:textId="4A3D4651" w:rsidTr="008E00F0">
        <w:trPr>
          <w:trHeight w:val="320"/>
        </w:trPr>
        <w:tc>
          <w:tcPr>
            <w:tcW w:w="0" w:type="auto"/>
            <w:tcBorders>
              <w:left w:val="nil"/>
              <w:bottom w:val="nil"/>
              <w:right w:val="nil"/>
            </w:tcBorders>
            <w:shd w:val="clear" w:color="auto" w:fill="auto"/>
            <w:noWrap/>
            <w:vAlign w:val="bottom"/>
            <w:hideMark/>
          </w:tcPr>
          <w:p w14:paraId="5824EC0B" w14:textId="77777777" w:rsidR="00A1271C" w:rsidRPr="00556471" w:rsidRDefault="00A1271C" w:rsidP="00A1271C">
            <w:pPr>
              <w:rPr>
                <w:rFonts w:ascii="Garamond" w:eastAsia="Times New Roman" w:hAnsi="Garamond" w:cs="Times New Roman"/>
                <w:color w:val="000000"/>
              </w:rPr>
            </w:pPr>
            <w:r w:rsidRPr="00556471">
              <w:rPr>
                <w:rFonts w:ascii="Garamond" w:eastAsia="Times New Roman" w:hAnsi="Garamond" w:cs="Times New Roman"/>
                <w:color w:val="000000"/>
              </w:rPr>
              <w:t>Amygdala</w:t>
            </w:r>
          </w:p>
        </w:tc>
        <w:tc>
          <w:tcPr>
            <w:tcW w:w="0" w:type="auto"/>
            <w:tcBorders>
              <w:left w:val="nil"/>
              <w:bottom w:val="nil"/>
              <w:right w:val="nil"/>
            </w:tcBorders>
            <w:shd w:val="clear" w:color="auto" w:fill="auto"/>
            <w:noWrap/>
            <w:vAlign w:val="bottom"/>
            <w:hideMark/>
          </w:tcPr>
          <w:p w14:paraId="1B8038EA" w14:textId="77777777" w:rsidR="00A1271C" w:rsidRPr="00556471" w:rsidRDefault="00A1271C" w:rsidP="00A1271C">
            <w:pPr>
              <w:jc w:val="right"/>
              <w:rPr>
                <w:rFonts w:ascii="Garamond" w:eastAsia="Times New Roman" w:hAnsi="Garamond" w:cs="Times New Roman"/>
                <w:color w:val="000000"/>
              </w:rPr>
            </w:pPr>
            <w:r w:rsidRPr="00556471">
              <w:rPr>
                <w:rFonts w:ascii="Garamond" w:eastAsia="Times New Roman" w:hAnsi="Garamond" w:cs="Times New Roman"/>
                <w:color w:val="000000"/>
              </w:rPr>
              <w:t>3.473</w:t>
            </w:r>
          </w:p>
        </w:tc>
        <w:tc>
          <w:tcPr>
            <w:tcW w:w="0" w:type="auto"/>
            <w:tcBorders>
              <w:left w:val="nil"/>
              <w:bottom w:val="nil"/>
              <w:right w:val="nil"/>
            </w:tcBorders>
            <w:shd w:val="clear" w:color="auto" w:fill="auto"/>
            <w:noWrap/>
            <w:vAlign w:val="center"/>
            <w:hideMark/>
          </w:tcPr>
          <w:p w14:paraId="21143776" w14:textId="795EF71F" w:rsidR="00A1271C" w:rsidRPr="00556471" w:rsidRDefault="00A1271C" w:rsidP="008E00F0">
            <w:pPr>
              <w:jc w:val="center"/>
              <w:rPr>
                <w:rFonts w:ascii="Garamond" w:eastAsia="Times New Roman" w:hAnsi="Garamond" w:cs="Times New Roman"/>
                <w:color w:val="000000"/>
              </w:rPr>
            </w:pPr>
            <w:r>
              <w:rPr>
                <w:rFonts w:ascii="Garamond" w:eastAsia="Times New Roman" w:hAnsi="Garamond" w:cs="Times New Roman"/>
                <w:color w:val="000000"/>
              </w:rPr>
              <w:t>-</w:t>
            </w:r>
          </w:p>
        </w:tc>
        <w:tc>
          <w:tcPr>
            <w:tcW w:w="0" w:type="auto"/>
            <w:tcBorders>
              <w:left w:val="nil"/>
              <w:bottom w:val="nil"/>
              <w:right w:val="nil"/>
            </w:tcBorders>
            <w:vAlign w:val="bottom"/>
          </w:tcPr>
          <w:p w14:paraId="2BBF60C7" w14:textId="19034B8F" w:rsidR="00A1271C" w:rsidRPr="00556471" w:rsidRDefault="00A1271C" w:rsidP="00A1271C">
            <w:pPr>
              <w:jc w:val="right"/>
              <w:rPr>
                <w:rFonts w:ascii="Garamond" w:eastAsia="Times New Roman" w:hAnsi="Garamond" w:cs="Times New Roman"/>
                <w:color w:val="000000"/>
              </w:rPr>
            </w:pPr>
            <w:r w:rsidRPr="00556471">
              <w:rPr>
                <w:rFonts w:ascii="Garamond" w:eastAsia="Times New Roman" w:hAnsi="Garamond" w:cs="Times New Roman"/>
                <w:color w:val="000000"/>
              </w:rPr>
              <w:t>0.897</w:t>
            </w:r>
          </w:p>
        </w:tc>
      </w:tr>
      <w:tr w:rsidR="00A1271C" w:rsidRPr="00556471" w14:paraId="69FB7A1E" w14:textId="67F0737A" w:rsidTr="008E00F0">
        <w:trPr>
          <w:trHeight w:val="320"/>
        </w:trPr>
        <w:tc>
          <w:tcPr>
            <w:tcW w:w="0" w:type="auto"/>
            <w:tcBorders>
              <w:top w:val="nil"/>
              <w:left w:val="nil"/>
              <w:bottom w:val="nil"/>
              <w:right w:val="nil"/>
            </w:tcBorders>
            <w:shd w:val="clear" w:color="auto" w:fill="auto"/>
            <w:noWrap/>
            <w:vAlign w:val="bottom"/>
            <w:hideMark/>
          </w:tcPr>
          <w:p w14:paraId="672F5EDF" w14:textId="77777777" w:rsidR="00A1271C" w:rsidRPr="00556471" w:rsidRDefault="00A1271C" w:rsidP="00A1271C">
            <w:pPr>
              <w:rPr>
                <w:rFonts w:ascii="Garamond" w:eastAsia="Times New Roman" w:hAnsi="Garamond" w:cs="Times New Roman"/>
                <w:color w:val="000000"/>
              </w:rPr>
            </w:pPr>
            <w:r w:rsidRPr="00556471">
              <w:rPr>
                <w:rFonts w:ascii="Garamond" w:eastAsia="Times New Roman" w:hAnsi="Garamond" w:cs="Times New Roman"/>
                <w:color w:val="000000"/>
              </w:rPr>
              <w:t>OFC</w:t>
            </w:r>
          </w:p>
        </w:tc>
        <w:tc>
          <w:tcPr>
            <w:tcW w:w="0" w:type="auto"/>
            <w:tcBorders>
              <w:top w:val="nil"/>
              <w:left w:val="nil"/>
              <w:bottom w:val="nil"/>
              <w:right w:val="nil"/>
            </w:tcBorders>
            <w:shd w:val="clear" w:color="auto" w:fill="auto"/>
            <w:noWrap/>
            <w:vAlign w:val="bottom"/>
            <w:hideMark/>
          </w:tcPr>
          <w:p w14:paraId="1F577305" w14:textId="77777777" w:rsidR="00A1271C" w:rsidRPr="00556471" w:rsidRDefault="00A1271C" w:rsidP="00A1271C">
            <w:pPr>
              <w:jc w:val="right"/>
              <w:rPr>
                <w:rFonts w:ascii="Garamond" w:eastAsia="Times New Roman" w:hAnsi="Garamond" w:cs="Times New Roman"/>
                <w:color w:val="000000"/>
              </w:rPr>
            </w:pPr>
            <w:r w:rsidRPr="00556471">
              <w:rPr>
                <w:rFonts w:ascii="Garamond" w:eastAsia="Times New Roman" w:hAnsi="Garamond" w:cs="Times New Roman"/>
                <w:color w:val="000000"/>
              </w:rPr>
              <w:t>3.031</w:t>
            </w:r>
          </w:p>
        </w:tc>
        <w:tc>
          <w:tcPr>
            <w:tcW w:w="0" w:type="auto"/>
            <w:tcBorders>
              <w:top w:val="nil"/>
              <w:left w:val="nil"/>
              <w:bottom w:val="nil"/>
              <w:right w:val="nil"/>
            </w:tcBorders>
            <w:shd w:val="clear" w:color="auto" w:fill="auto"/>
            <w:noWrap/>
            <w:vAlign w:val="center"/>
            <w:hideMark/>
          </w:tcPr>
          <w:p w14:paraId="78E450C4" w14:textId="3FDF47C1" w:rsidR="00A1271C" w:rsidRPr="00556471" w:rsidRDefault="00A1271C" w:rsidP="008E00F0">
            <w:pPr>
              <w:jc w:val="center"/>
              <w:rPr>
                <w:rFonts w:ascii="Garamond" w:eastAsia="Times New Roman" w:hAnsi="Garamond" w:cs="Times New Roman"/>
                <w:color w:val="000000"/>
              </w:rPr>
            </w:pPr>
            <w:r>
              <w:rPr>
                <w:rFonts w:ascii="Garamond" w:eastAsia="Times New Roman" w:hAnsi="Garamond" w:cs="Times New Roman"/>
                <w:color w:val="000000"/>
              </w:rPr>
              <w:t>-</w:t>
            </w:r>
          </w:p>
        </w:tc>
        <w:tc>
          <w:tcPr>
            <w:tcW w:w="0" w:type="auto"/>
            <w:tcBorders>
              <w:top w:val="nil"/>
              <w:left w:val="nil"/>
              <w:bottom w:val="nil"/>
              <w:right w:val="nil"/>
            </w:tcBorders>
            <w:vAlign w:val="bottom"/>
          </w:tcPr>
          <w:p w14:paraId="0E8B1093" w14:textId="2E7662C0" w:rsidR="00A1271C" w:rsidRPr="00556471" w:rsidRDefault="00A1271C" w:rsidP="00A1271C">
            <w:pPr>
              <w:jc w:val="right"/>
              <w:rPr>
                <w:rFonts w:ascii="Garamond" w:eastAsia="Times New Roman" w:hAnsi="Garamond" w:cs="Times New Roman"/>
                <w:color w:val="000000"/>
              </w:rPr>
            </w:pPr>
            <w:r w:rsidRPr="00556471">
              <w:rPr>
                <w:rFonts w:ascii="Garamond" w:eastAsia="Times New Roman" w:hAnsi="Garamond" w:cs="Times New Roman"/>
                <w:color w:val="000000"/>
              </w:rPr>
              <w:t>0.783</w:t>
            </w:r>
          </w:p>
        </w:tc>
      </w:tr>
      <w:tr w:rsidR="00A1271C" w:rsidRPr="00556471" w14:paraId="65456872" w14:textId="0807978B" w:rsidTr="008E00F0">
        <w:trPr>
          <w:trHeight w:val="320"/>
        </w:trPr>
        <w:tc>
          <w:tcPr>
            <w:tcW w:w="0" w:type="auto"/>
            <w:tcBorders>
              <w:top w:val="nil"/>
              <w:left w:val="nil"/>
              <w:right w:val="nil"/>
            </w:tcBorders>
            <w:shd w:val="clear" w:color="auto" w:fill="auto"/>
            <w:noWrap/>
            <w:vAlign w:val="bottom"/>
            <w:hideMark/>
          </w:tcPr>
          <w:p w14:paraId="6F88C7F5" w14:textId="77777777" w:rsidR="00A1271C" w:rsidRPr="00556471" w:rsidRDefault="00A1271C" w:rsidP="00A1271C">
            <w:pPr>
              <w:rPr>
                <w:rFonts w:ascii="Garamond" w:eastAsia="Times New Roman" w:hAnsi="Garamond" w:cs="Times New Roman"/>
                <w:color w:val="000000"/>
              </w:rPr>
            </w:pPr>
            <w:proofErr w:type="spellStart"/>
            <w:r w:rsidRPr="00556471">
              <w:rPr>
                <w:rFonts w:ascii="Garamond" w:eastAsia="Times New Roman" w:hAnsi="Garamond" w:cs="Times New Roman"/>
                <w:color w:val="000000"/>
              </w:rPr>
              <w:t>NAcc</w:t>
            </w:r>
            <w:proofErr w:type="spellEnd"/>
          </w:p>
        </w:tc>
        <w:tc>
          <w:tcPr>
            <w:tcW w:w="0" w:type="auto"/>
            <w:tcBorders>
              <w:top w:val="nil"/>
              <w:left w:val="nil"/>
              <w:right w:val="nil"/>
            </w:tcBorders>
            <w:shd w:val="clear" w:color="auto" w:fill="auto"/>
            <w:noWrap/>
            <w:vAlign w:val="bottom"/>
            <w:hideMark/>
          </w:tcPr>
          <w:p w14:paraId="6D6BF3E4" w14:textId="77777777" w:rsidR="00A1271C" w:rsidRPr="00556471" w:rsidRDefault="00A1271C" w:rsidP="00A1271C">
            <w:pPr>
              <w:jc w:val="right"/>
              <w:rPr>
                <w:rFonts w:ascii="Garamond" w:eastAsia="Times New Roman" w:hAnsi="Garamond" w:cs="Times New Roman"/>
                <w:color w:val="000000"/>
              </w:rPr>
            </w:pPr>
            <w:r w:rsidRPr="00556471">
              <w:rPr>
                <w:rFonts w:ascii="Garamond" w:eastAsia="Times New Roman" w:hAnsi="Garamond" w:cs="Times New Roman"/>
                <w:color w:val="000000"/>
              </w:rPr>
              <w:t>2.694</w:t>
            </w:r>
          </w:p>
        </w:tc>
        <w:tc>
          <w:tcPr>
            <w:tcW w:w="0" w:type="auto"/>
            <w:tcBorders>
              <w:top w:val="nil"/>
              <w:left w:val="nil"/>
              <w:right w:val="nil"/>
            </w:tcBorders>
            <w:shd w:val="clear" w:color="auto" w:fill="auto"/>
            <w:noWrap/>
            <w:vAlign w:val="center"/>
            <w:hideMark/>
          </w:tcPr>
          <w:p w14:paraId="617875A0" w14:textId="22449E9A" w:rsidR="00A1271C" w:rsidRPr="00556471" w:rsidRDefault="00A1271C" w:rsidP="008E00F0">
            <w:pPr>
              <w:jc w:val="center"/>
              <w:rPr>
                <w:rFonts w:ascii="Garamond" w:eastAsia="Times New Roman" w:hAnsi="Garamond" w:cs="Times New Roman"/>
                <w:color w:val="000000"/>
              </w:rPr>
            </w:pPr>
            <w:r>
              <w:rPr>
                <w:rFonts w:ascii="Garamond" w:eastAsia="Times New Roman" w:hAnsi="Garamond" w:cs="Times New Roman"/>
                <w:color w:val="000000"/>
              </w:rPr>
              <w:t>-</w:t>
            </w:r>
          </w:p>
        </w:tc>
        <w:tc>
          <w:tcPr>
            <w:tcW w:w="0" w:type="auto"/>
            <w:tcBorders>
              <w:top w:val="nil"/>
              <w:left w:val="nil"/>
              <w:right w:val="nil"/>
            </w:tcBorders>
            <w:vAlign w:val="bottom"/>
          </w:tcPr>
          <w:p w14:paraId="264D758E" w14:textId="0EB72344" w:rsidR="00A1271C" w:rsidRPr="00556471" w:rsidRDefault="00A1271C" w:rsidP="00A1271C">
            <w:pPr>
              <w:jc w:val="right"/>
              <w:rPr>
                <w:rFonts w:ascii="Garamond" w:eastAsia="Times New Roman" w:hAnsi="Garamond" w:cs="Times New Roman"/>
                <w:color w:val="000000"/>
              </w:rPr>
            </w:pPr>
            <w:r w:rsidRPr="00556471">
              <w:rPr>
                <w:rFonts w:ascii="Garamond" w:eastAsia="Times New Roman" w:hAnsi="Garamond" w:cs="Times New Roman"/>
                <w:color w:val="000000"/>
              </w:rPr>
              <w:t>0.696</w:t>
            </w:r>
          </w:p>
        </w:tc>
      </w:tr>
      <w:tr w:rsidR="00A1271C" w:rsidRPr="00556471" w14:paraId="30D8C94A" w14:textId="04A39C0F" w:rsidTr="008E00F0">
        <w:trPr>
          <w:trHeight w:val="320"/>
        </w:trPr>
        <w:tc>
          <w:tcPr>
            <w:tcW w:w="0" w:type="auto"/>
            <w:tcBorders>
              <w:top w:val="nil"/>
              <w:left w:val="nil"/>
              <w:bottom w:val="nil"/>
              <w:right w:val="nil"/>
            </w:tcBorders>
            <w:shd w:val="clear" w:color="auto" w:fill="auto"/>
            <w:noWrap/>
            <w:vAlign w:val="bottom"/>
            <w:hideMark/>
          </w:tcPr>
          <w:p w14:paraId="32C4B7C7" w14:textId="77777777" w:rsidR="00A1271C" w:rsidRPr="00556471" w:rsidRDefault="00A1271C" w:rsidP="00A1271C">
            <w:pPr>
              <w:rPr>
                <w:rFonts w:ascii="Garamond" w:eastAsia="Times New Roman" w:hAnsi="Garamond" w:cs="Times New Roman"/>
                <w:color w:val="000000"/>
              </w:rPr>
            </w:pPr>
            <w:r w:rsidRPr="00556471">
              <w:rPr>
                <w:rFonts w:ascii="Garamond" w:eastAsia="Times New Roman" w:hAnsi="Garamond" w:cs="Times New Roman"/>
                <w:color w:val="000000"/>
              </w:rPr>
              <w:t>Thalamus</w:t>
            </w:r>
          </w:p>
        </w:tc>
        <w:tc>
          <w:tcPr>
            <w:tcW w:w="0" w:type="auto"/>
            <w:tcBorders>
              <w:top w:val="nil"/>
              <w:left w:val="nil"/>
              <w:bottom w:val="nil"/>
              <w:right w:val="nil"/>
            </w:tcBorders>
            <w:shd w:val="clear" w:color="auto" w:fill="auto"/>
            <w:noWrap/>
            <w:vAlign w:val="bottom"/>
            <w:hideMark/>
          </w:tcPr>
          <w:p w14:paraId="3FCB2961" w14:textId="77777777" w:rsidR="00A1271C" w:rsidRPr="00556471" w:rsidRDefault="00A1271C" w:rsidP="00A1271C">
            <w:pPr>
              <w:jc w:val="right"/>
              <w:rPr>
                <w:rFonts w:ascii="Garamond" w:eastAsia="Times New Roman" w:hAnsi="Garamond" w:cs="Times New Roman"/>
                <w:color w:val="000000"/>
              </w:rPr>
            </w:pPr>
            <w:r w:rsidRPr="00556471">
              <w:rPr>
                <w:rFonts w:ascii="Garamond" w:eastAsia="Times New Roman" w:hAnsi="Garamond" w:cs="Times New Roman"/>
                <w:color w:val="000000"/>
              </w:rPr>
              <w:t>2.626</w:t>
            </w:r>
          </w:p>
        </w:tc>
        <w:tc>
          <w:tcPr>
            <w:tcW w:w="0" w:type="auto"/>
            <w:tcBorders>
              <w:top w:val="nil"/>
              <w:left w:val="nil"/>
              <w:bottom w:val="nil"/>
              <w:right w:val="nil"/>
            </w:tcBorders>
            <w:shd w:val="clear" w:color="auto" w:fill="auto"/>
            <w:noWrap/>
            <w:vAlign w:val="center"/>
            <w:hideMark/>
          </w:tcPr>
          <w:p w14:paraId="6FFF5124" w14:textId="3A4BCCF9" w:rsidR="00A1271C" w:rsidRPr="00556471" w:rsidRDefault="00A1271C" w:rsidP="008E00F0">
            <w:pPr>
              <w:jc w:val="center"/>
              <w:rPr>
                <w:rFonts w:ascii="Garamond" w:eastAsia="Times New Roman" w:hAnsi="Garamond" w:cs="Times New Roman"/>
                <w:color w:val="000000"/>
              </w:rPr>
            </w:pPr>
            <w:r>
              <w:rPr>
                <w:rFonts w:ascii="Garamond" w:eastAsia="Times New Roman" w:hAnsi="Garamond" w:cs="Times New Roman"/>
                <w:color w:val="000000"/>
              </w:rPr>
              <w:t>-</w:t>
            </w:r>
          </w:p>
        </w:tc>
        <w:tc>
          <w:tcPr>
            <w:tcW w:w="0" w:type="auto"/>
            <w:tcBorders>
              <w:top w:val="nil"/>
              <w:left w:val="nil"/>
              <w:bottom w:val="nil"/>
              <w:right w:val="nil"/>
            </w:tcBorders>
            <w:vAlign w:val="bottom"/>
          </w:tcPr>
          <w:p w14:paraId="13A6AC44" w14:textId="22D08E12" w:rsidR="00A1271C" w:rsidRPr="00556471" w:rsidRDefault="00A1271C" w:rsidP="00A1271C">
            <w:pPr>
              <w:jc w:val="right"/>
              <w:rPr>
                <w:rFonts w:ascii="Garamond" w:eastAsia="Times New Roman" w:hAnsi="Garamond" w:cs="Times New Roman"/>
                <w:color w:val="000000"/>
              </w:rPr>
            </w:pPr>
            <w:r w:rsidRPr="00556471">
              <w:rPr>
                <w:rFonts w:ascii="Garamond" w:eastAsia="Times New Roman" w:hAnsi="Garamond" w:cs="Times New Roman"/>
                <w:color w:val="000000"/>
              </w:rPr>
              <w:t>0.678</w:t>
            </w:r>
          </w:p>
        </w:tc>
      </w:tr>
      <w:tr w:rsidR="00A1271C" w:rsidRPr="00556471" w14:paraId="30D34D21" w14:textId="7C2B64BF" w:rsidTr="0029516E">
        <w:trPr>
          <w:trHeight w:val="320"/>
        </w:trPr>
        <w:tc>
          <w:tcPr>
            <w:tcW w:w="0" w:type="auto"/>
            <w:gridSpan w:val="4"/>
            <w:tcBorders>
              <w:top w:val="nil"/>
              <w:left w:val="nil"/>
              <w:bottom w:val="nil"/>
              <w:right w:val="nil"/>
            </w:tcBorders>
            <w:shd w:val="clear" w:color="auto" w:fill="auto"/>
            <w:noWrap/>
            <w:vAlign w:val="bottom"/>
          </w:tcPr>
          <w:p w14:paraId="27C4EE7F" w14:textId="3E0E7487" w:rsidR="00A1271C" w:rsidRDefault="00A1271C" w:rsidP="00497BEE">
            <w:pPr>
              <w:rPr>
                <w:rFonts w:ascii="Garamond" w:eastAsia="Times New Roman" w:hAnsi="Garamond" w:cs="Times New Roman"/>
                <w:color w:val="000000"/>
              </w:rPr>
            </w:pPr>
            <w:r>
              <w:rPr>
                <w:rFonts w:ascii="Garamond" w:eastAsia="Times New Roman" w:hAnsi="Garamond" w:cs="Times New Roman"/>
                <w:color w:val="000000"/>
              </w:rPr>
              <w:t>Chills – BP</w:t>
            </w:r>
            <w:r w:rsidRPr="00497BEE">
              <w:rPr>
                <w:rFonts w:ascii="Garamond" w:eastAsia="Times New Roman" w:hAnsi="Garamond" w:cs="Times New Roman"/>
                <w:color w:val="000000"/>
                <w:vertAlign w:val="subscript"/>
              </w:rPr>
              <w:t>ND</w:t>
            </w:r>
            <w:r>
              <w:rPr>
                <w:rFonts w:ascii="Garamond" w:eastAsia="Times New Roman" w:hAnsi="Garamond" w:cs="Times New Roman"/>
                <w:color w:val="000000"/>
              </w:rPr>
              <w:t xml:space="preserve"> correlation</w:t>
            </w:r>
          </w:p>
        </w:tc>
      </w:tr>
      <w:tr w:rsidR="00A1271C" w:rsidRPr="00556471" w14:paraId="6678BC18" w14:textId="48FE4265" w:rsidTr="008E00F0">
        <w:trPr>
          <w:trHeight w:val="320"/>
        </w:trPr>
        <w:tc>
          <w:tcPr>
            <w:tcW w:w="0" w:type="auto"/>
            <w:tcBorders>
              <w:top w:val="nil"/>
              <w:left w:val="nil"/>
              <w:bottom w:val="nil"/>
              <w:right w:val="nil"/>
            </w:tcBorders>
            <w:shd w:val="clear" w:color="auto" w:fill="auto"/>
            <w:noWrap/>
            <w:vAlign w:val="bottom"/>
          </w:tcPr>
          <w:p w14:paraId="7C052F7D" w14:textId="45A85A4D" w:rsidR="00A1271C" w:rsidRPr="00556471" w:rsidRDefault="00A1271C" w:rsidP="000317A7">
            <w:pPr>
              <w:rPr>
                <w:rFonts w:ascii="Garamond" w:eastAsia="Times New Roman" w:hAnsi="Garamond" w:cs="Times New Roman"/>
                <w:color w:val="000000"/>
              </w:rPr>
            </w:pPr>
            <w:proofErr w:type="spellStart"/>
            <w:r w:rsidRPr="00556471">
              <w:rPr>
                <w:rFonts w:ascii="Garamond" w:eastAsia="Times New Roman" w:hAnsi="Garamond" w:cs="Times New Roman"/>
                <w:color w:val="000000"/>
              </w:rPr>
              <w:t>NAcc</w:t>
            </w:r>
            <w:proofErr w:type="spellEnd"/>
            <w:r>
              <w:rPr>
                <w:rFonts w:ascii="Garamond" w:eastAsia="Times New Roman" w:hAnsi="Garamond" w:cs="Times New Roman"/>
                <w:color w:val="000000"/>
              </w:rPr>
              <w:t xml:space="preserve"> (right)</w:t>
            </w:r>
          </w:p>
        </w:tc>
        <w:tc>
          <w:tcPr>
            <w:tcW w:w="0" w:type="auto"/>
            <w:tcBorders>
              <w:top w:val="nil"/>
              <w:left w:val="nil"/>
              <w:bottom w:val="nil"/>
              <w:right w:val="nil"/>
            </w:tcBorders>
            <w:shd w:val="clear" w:color="auto" w:fill="auto"/>
            <w:noWrap/>
            <w:vAlign w:val="bottom"/>
          </w:tcPr>
          <w:p w14:paraId="6DFBB6B5" w14:textId="66F3DBB5" w:rsidR="00A1271C" w:rsidRPr="00556471" w:rsidRDefault="00A1271C" w:rsidP="008E00F0">
            <w:pPr>
              <w:jc w:val="center"/>
              <w:rPr>
                <w:rFonts w:ascii="Garamond" w:eastAsia="Times New Roman" w:hAnsi="Garamond" w:cs="Times New Roman"/>
                <w:color w:val="000000"/>
              </w:rPr>
            </w:pPr>
            <w:r>
              <w:rPr>
                <w:rFonts w:ascii="Garamond" w:eastAsia="Times New Roman" w:hAnsi="Garamond" w:cs="Times New Roman"/>
                <w:color w:val="000000"/>
              </w:rPr>
              <w:t>-</w:t>
            </w:r>
          </w:p>
        </w:tc>
        <w:tc>
          <w:tcPr>
            <w:tcW w:w="0" w:type="auto"/>
            <w:tcBorders>
              <w:top w:val="nil"/>
              <w:left w:val="nil"/>
              <w:bottom w:val="nil"/>
              <w:right w:val="nil"/>
            </w:tcBorders>
            <w:shd w:val="clear" w:color="auto" w:fill="auto"/>
            <w:noWrap/>
            <w:vAlign w:val="bottom"/>
          </w:tcPr>
          <w:p w14:paraId="6C9D37F6" w14:textId="7007918A" w:rsidR="00A1271C" w:rsidRPr="00556471" w:rsidRDefault="00A1271C" w:rsidP="000317A7">
            <w:pPr>
              <w:jc w:val="right"/>
              <w:rPr>
                <w:rFonts w:ascii="Garamond" w:eastAsia="Times New Roman" w:hAnsi="Garamond" w:cs="Times New Roman"/>
                <w:color w:val="000000"/>
              </w:rPr>
            </w:pPr>
            <w:r>
              <w:rPr>
                <w:rFonts w:ascii="Garamond" w:eastAsia="Times New Roman" w:hAnsi="Garamond" w:cs="Times New Roman"/>
                <w:color w:val="000000"/>
              </w:rPr>
              <w:t>-.52</w:t>
            </w:r>
          </w:p>
        </w:tc>
        <w:tc>
          <w:tcPr>
            <w:tcW w:w="0" w:type="auto"/>
            <w:tcBorders>
              <w:top w:val="nil"/>
              <w:left w:val="nil"/>
              <w:bottom w:val="nil"/>
              <w:right w:val="nil"/>
            </w:tcBorders>
          </w:tcPr>
          <w:p w14:paraId="5D4608BD" w14:textId="4BCCA46C" w:rsidR="00A1271C" w:rsidRPr="00556471" w:rsidRDefault="00A1271C" w:rsidP="000317A7">
            <w:pPr>
              <w:jc w:val="right"/>
              <w:rPr>
                <w:rFonts w:ascii="Garamond" w:eastAsia="Times New Roman" w:hAnsi="Garamond" w:cs="Times New Roman"/>
                <w:color w:val="000000"/>
              </w:rPr>
            </w:pPr>
            <w:r w:rsidRPr="00A1271C">
              <w:rPr>
                <w:rFonts w:ascii="Garamond" w:eastAsia="Times New Roman" w:hAnsi="Garamond" w:cs="Times New Roman"/>
                <w:color w:val="000000"/>
              </w:rPr>
              <w:t>1.218</w:t>
            </w:r>
          </w:p>
        </w:tc>
      </w:tr>
      <w:tr w:rsidR="00A1271C" w:rsidRPr="00556471" w14:paraId="477F10C2" w14:textId="62CA11A6" w:rsidTr="008E00F0">
        <w:trPr>
          <w:trHeight w:val="320"/>
        </w:trPr>
        <w:tc>
          <w:tcPr>
            <w:tcW w:w="0" w:type="auto"/>
            <w:tcBorders>
              <w:top w:val="nil"/>
              <w:left w:val="nil"/>
              <w:bottom w:val="single" w:sz="4" w:space="0" w:color="auto"/>
              <w:right w:val="nil"/>
            </w:tcBorders>
            <w:shd w:val="clear" w:color="auto" w:fill="auto"/>
            <w:noWrap/>
            <w:vAlign w:val="bottom"/>
          </w:tcPr>
          <w:p w14:paraId="1FEC7BE1" w14:textId="4D3A084B" w:rsidR="00A1271C" w:rsidRPr="00556471" w:rsidRDefault="00A1271C" w:rsidP="000317A7">
            <w:pPr>
              <w:rPr>
                <w:rFonts w:ascii="Garamond" w:eastAsia="Times New Roman" w:hAnsi="Garamond" w:cs="Times New Roman"/>
                <w:color w:val="000000"/>
              </w:rPr>
            </w:pPr>
            <w:proofErr w:type="spellStart"/>
            <w:r w:rsidRPr="00556471">
              <w:rPr>
                <w:rFonts w:ascii="Garamond" w:eastAsia="Times New Roman" w:hAnsi="Garamond" w:cs="Times New Roman"/>
                <w:color w:val="000000"/>
              </w:rPr>
              <w:t>NAcc</w:t>
            </w:r>
            <w:proofErr w:type="spellEnd"/>
            <w:r>
              <w:rPr>
                <w:rFonts w:ascii="Garamond" w:eastAsia="Times New Roman" w:hAnsi="Garamond" w:cs="Times New Roman"/>
                <w:color w:val="000000"/>
              </w:rPr>
              <w:t xml:space="preserve"> (left)</w:t>
            </w:r>
          </w:p>
        </w:tc>
        <w:tc>
          <w:tcPr>
            <w:tcW w:w="0" w:type="auto"/>
            <w:tcBorders>
              <w:top w:val="nil"/>
              <w:left w:val="nil"/>
              <w:bottom w:val="single" w:sz="4" w:space="0" w:color="auto"/>
              <w:right w:val="nil"/>
            </w:tcBorders>
            <w:shd w:val="clear" w:color="auto" w:fill="auto"/>
            <w:noWrap/>
            <w:vAlign w:val="bottom"/>
          </w:tcPr>
          <w:p w14:paraId="4E593317" w14:textId="46AA2E0A" w:rsidR="00A1271C" w:rsidRPr="00556471" w:rsidRDefault="00A1271C" w:rsidP="008E00F0">
            <w:pPr>
              <w:jc w:val="center"/>
              <w:rPr>
                <w:rFonts w:ascii="Garamond" w:eastAsia="Times New Roman" w:hAnsi="Garamond" w:cs="Times New Roman"/>
                <w:color w:val="000000"/>
              </w:rPr>
            </w:pPr>
            <w:r>
              <w:rPr>
                <w:rFonts w:ascii="Garamond" w:eastAsia="Times New Roman" w:hAnsi="Garamond" w:cs="Times New Roman"/>
                <w:color w:val="000000"/>
              </w:rPr>
              <w:t>-</w:t>
            </w:r>
          </w:p>
        </w:tc>
        <w:tc>
          <w:tcPr>
            <w:tcW w:w="0" w:type="auto"/>
            <w:tcBorders>
              <w:top w:val="nil"/>
              <w:left w:val="nil"/>
              <w:bottom w:val="single" w:sz="4" w:space="0" w:color="auto"/>
              <w:right w:val="nil"/>
            </w:tcBorders>
            <w:shd w:val="clear" w:color="auto" w:fill="auto"/>
            <w:noWrap/>
            <w:vAlign w:val="bottom"/>
          </w:tcPr>
          <w:p w14:paraId="4F09D6B7" w14:textId="13C717F6" w:rsidR="00A1271C" w:rsidRPr="00556471" w:rsidRDefault="00A1271C" w:rsidP="000317A7">
            <w:pPr>
              <w:jc w:val="right"/>
              <w:rPr>
                <w:rFonts w:ascii="Garamond" w:eastAsia="Times New Roman" w:hAnsi="Garamond" w:cs="Times New Roman"/>
                <w:color w:val="000000"/>
              </w:rPr>
            </w:pPr>
            <w:r>
              <w:rPr>
                <w:rFonts w:ascii="Garamond" w:eastAsia="Times New Roman" w:hAnsi="Garamond" w:cs="Times New Roman"/>
                <w:color w:val="000000"/>
              </w:rPr>
              <w:t>-.49</w:t>
            </w:r>
          </w:p>
        </w:tc>
        <w:tc>
          <w:tcPr>
            <w:tcW w:w="0" w:type="auto"/>
            <w:tcBorders>
              <w:top w:val="nil"/>
              <w:left w:val="nil"/>
              <w:bottom w:val="single" w:sz="4" w:space="0" w:color="auto"/>
              <w:right w:val="nil"/>
            </w:tcBorders>
          </w:tcPr>
          <w:p w14:paraId="7D140915" w14:textId="5FF53921" w:rsidR="00A1271C" w:rsidRPr="00A1271C" w:rsidRDefault="00A1271C" w:rsidP="000317A7">
            <w:pPr>
              <w:jc w:val="right"/>
              <w:rPr>
                <w:rFonts w:ascii="Garamond" w:eastAsia="Times New Roman" w:hAnsi="Garamond" w:cs="Times New Roman"/>
                <w:color w:val="000000"/>
              </w:rPr>
            </w:pPr>
            <w:r w:rsidRPr="00A1271C">
              <w:rPr>
                <w:rFonts w:ascii="Garamond" w:eastAsia="Times New Roman" w:hAnsi="Garamond" w:cs="Times New Roman"/>
                <w:color w:val="000000"/>
              </w:rPr>
              <w:t>1.124</w:t>
            </w:r>
          </w:p>
        </w:tc>
      </w:tr>
    </w:tbl>
    <w:p w14:paraId="07AEF56D" w14:textId="77777777" w:rsidR="002D3B10" w:rsidRPr="00556471" w:rsidRDefault="002D3B10" w:rsidP="002D3B10">
      <w:pPr>
        <w:rPr>
          <w:rFonts w:ascii="Garamond" w:hAnsi="Garamond"/>
        </w:rPr>
      </w:pPr>
    </w:p>
    <w:p w14:paraId="5E0A0C65" w14:textId="77777777" w:rsidR="002D3B10" w:rsidRPr="00556471" w:rsidRDefault="002D3B10" w:rsidP="002D3B10">
      <w:pPr>
        <w:rPr>
          <w:rFonts w:ascii="Garamond" w:hAnsi="Garamond"/>
        </w:rPr>
      </w:pPr>
    </w:p>
    <w:p w14:paraId="428A6891" w14:textId="77777777" w:rsidR="002D3B10" w:rsidRPr="00556471" w:rsidRDefault="002D3B10" w:rsidP="002D3B10">
      <w:pPr>
        <w:rPr>
          <w:rFonts w:ascii="Garamond" w:hAnsi="Garamond"/>
        </w:rPr>
      </w:pPr>
    </w:p>
    <w:p w14:paraId="52DA4F67" w14:textId="77777777" w:rsidR="002D3B10" w:rsidRPr="00556471" w:rsidRDefault="002D3B10" w:rsidP="002D3B10">
      <w:pPr>
        <w:spacing w:line="276" w:lineRule="auto"/>
        <w:jc w:val="both"/>
        <w:rPr>
          <w:rFonts w:ascii="Garamond" w:eastAsiaTheme="minorEastAsia" w:hAnsi="Garamond"/>
          <w:b/>
          <w:bCs/>
        </w:rPr>
      </w:pPr>
      <w:r w:rsidRPr="00556471">
        <w:rPr>
          <w:rFonts w:ascii="Garamond" w:eastAsiaTheme="minorEastAsia" w:hAnsi="Garamond"/>
          <w:b/>
          <w:bCs/>
        </w:rPr>
        <w:t>References</w:t>
      </w:r>
    </w:p>
    <w:p w14:paraId="1C24FC42" w14:textId="77777777" w:rsidR="002D3B10" w:rsidRPr="00556471" w:rsidRDefault="002D3B10" w:rsidP="002D3B10">
      <w:pPr>
        <w:rPr>
          <w:rFonts w:ascii="Garamond" w:hAnsi="Garamond"/>
        </w:rPr>
      </w:pPr>
    </w:p>
    <w:p w14:paraId="51EE41A6" w14:textId="77777777" w:rsidR="002D3B10" w:rsidRPr="0039153F" w:rsidRDefault="002D3B10" w:rsidP="002D3B10">
      <w:pPr>
        <w:pStyle w:val="Bibliography"/>
        <w:rPr>
          <w:rFonts w:ascii="Garamond" w:hAnsi="Garamond"/>
        </w:rPr>
      </w:pPr>
      <w:r w:rsidRPr="00556471">
        <w:rPr>
          <w:rFonts w:ascii="Garamond" w:hAnsi="Garamond"/>
        </w:rPr>
        <w:fldChar w:fldCharType="begin"/>
      </w:r>
      <w:r>
        <w:rPr>
          <w:rFonts w:ascii="Garamond" w:hAnsi="Garamond"/>
        </w:rPr>
        <w:instrText xml:space="preserve"> ADDIN ZOTERO_BIBL {"uncited":[],"omitted":[],"custom":[]} CSL_BIBLIOGRAPHY </w:instrText>
      </w:r>
      <w:r w:rsidRPr="00556471">
        <w:rPr>
          <w:rFonts w:ascii="Garamond" w:hAnsi="Garamond"/>
        </w:rPr>
        <w:fldChar w:fldCharType="separate"/>
      </w:r>
      <w:r w:rsidRPr="0039153F">
        <w:rPr>
          <w:rFonts w:ascii="Garamond" w:hAnsi="Garamond"/>
        </w:rPr>
        <w:t>1.</w:t>
      </w:r>
      <w:r w:rsidRPr="0039153F">
        <w:rPr>
          <w:rFonts w:ascii="Garamond" w:hAnsi="Garamond"/>
        </w:rPr>
        <w:tab/>
        <w:t xml:space="preserve">Mas-Herrero E, Marco-Pallares J, Lorenzo-Seva U, Zatorre RJ, Rodriguez-Fornells A. Individual Differences in Music Reward Experiences. </w:t>
      </w:r>
      <w:r w:rsidRPr="0039153F">
        <w:rPr>
          <w:rFonts w:ascii="Garamond" w:hAnsi="Garamond"/>
          <w:i/>
          <w:iCs/>
        </w:rPr>
        <w:t>Music Percept Interdiscip J</w:t>
      </w:r>
      <w:r w:rsidRPr="0039153F">
        <w:rPr>
          <w:rFonts w:ascii="Garamond" w:hAnsi="Garamond"/>
        </w:rPr>
        <w:t>. 2013;31(2):118-138. doi:10.1525/mp.2013.31.2.118</w:t>
      </w:r>
    </w:p>
    <w:p w14:paraId="3C5956B2" w14:textId="77777777" w:rsidR="002D3B10" w:rsidRPr="0039153F" w:rsidRDefault="002D3B10" w:rsidP="002D3B10">
      <w:pPr>
        <w:pStyle w:val="Bibliography"/>
        <w:rPr>
          <w:rFonts w:ascii="Garamond" w:hAnsi="Garamond"/>
        </w:rPr>
      </w:pPr>
      <w:r w:rsidRPr="0039153F">
        <w:rPr>
          <w:rFonts w:ascii="Garamond" w:hAnsi="Garamond"/>
        </w:rPr>
        <w:t>2.</w:t>
      </w:r>
      <w:r w:rsidRPr="0039153F">
        <w:rPr>
          <w:rFonts w:ascii="Garamond" w:hAnsi="Garamond"/>
        </w:rPr>
        <w:tab/>
        <w:t xml:space="preserve">Kantonen T, Karjalainen T, Isojärvi J, et al. Interindividual variability and lateralization of μ-opioid receptors in the human brain. </w:t>
      </w:r>
      <w:r w:rsidRPr="0039153F">
        <w:rPr>
          <w:rFonts w:ascii="Garamond" w:hAnsi="Garamond"/>
          <w:i/>
          <w:iCs/>
        </w:rPr>
        <w:t>NeuroImage</w:t>
      </w:r>
      <w:r w:rsidRPr="0039153F">
        <w:rPr>
          <w:rFonts w:ascii="Garamond" w:hAnsi="Garamond"/>
        </w:rPr>
        <w:t>. 2020;217:116922. doi:10.1016/j.neuroimage.2020.116922</w:t>
      </w:r>
    </w:p>
    <w:p w14:paraId="4A5FB8E4" w14:textId="77777777" w:rsidR="002D3B10" w:rsidRPr="0039153F" w:rsidRDefault="002D3B10" w:rsidP="002D3B10">
      <w:pPr>
        <w:pStyle w:val="Bibliography"/>
        <w:rPr>
          <w:rFonts w:ascii="Garamond" w:hAnsi="Garamond"/>
        </w:rPr>
      </w:pPr>
      <w:r w:rsidRPr="0039153F">
        <w:rPr>
          <w:rFonts w:ascii="Garamond" w:hAnsi="Garamond"/>
        </w:rPr>
        <w:t>3.</w:t>
      </w:r>
      <w:r w:rsidRPr="0039153F">
        <w:rPr>
          <w:rFonts w:ascii="Garamond" w:hAnsi="Garamond"/>
        </w:rPr>
        <w:tab/>
        <w:t xml:space="preserve">Lench HC, Flores SA, Bench SW. Discrete emotions predict changes in cognition, judgment, experience, behavior, and physiology: a meta-analysis of experimental emotion elicitations. </w:t>
      </w:r>
      <w:r w:rsidRPr="0039153F">
        <w:rPr>
          <w:rFonts w:ascii="Garamond" w:hAnsi="Garamond"/>
          <w:i/>
          <w:iCs/>
        </w:rPr>
        <w:t>Psychol Bull</w:t>
      </w:r>
      <w:r w:rsidRPr="0039153F">
        <w:rPr>
          <w:rFonts w:ascii="Garamond" w:hAnsi="Garamond"/>
        </w:rPr>
        <w:t>. 2011;137(5):834.</w:t>
      </w:r>
    </w:p>
    <w:p w14:paraId="5544CE94" w14:textId="77777777" w:rsidR="002D3B10" w:rsidRPr="0039153F" w:rsidRDefault="002D3B10" w:rsidP="002D3B10">
      <w:pPr>
        <w:pStyle w:val="Bibliography"/>
        <w:rPr>
          <w:rFonts w:ascii="Garamond" w:hAnsi="Garamond"/>
          <w:lang w:val="fi-FI"/>
        </w:rPr>
      </w:pPr>
      <w:r w:rsidRPr="0039153F">
        <w:rPr>
          <w:rFonts w:ascii="Garamond" w:hAnsi="Garamond"/>
        </w:rPr>
        <w:t>4.</w:t>
      </w:r>
      <w:r w:rsidRPr="0039153F">
        <w:rPr>
          <w:rFonts w:ascii="Garamond" w:hAnsi="Garamond"/>
        </w:rPr>
        <w:tab/>
        <w:t xml:space="preserve">Sheehan DV, Lecrubier Y, Sheehan KH, et al. The Mini-International Neuropsychiatric Interview (MINI): the development and validation of a structured diagnostic psychiatric interview for DSM-IV and ICD-10. </w:t>
      </w:r>
      <w:r w:rsidRPr="0039153F">
        <w:rPr>
          <w:rFonts w:ascii="Garamond" w:hAnsi="Garamond"/>
          <w:i/>
          <w:iCs/>
          <w:lang w:val="fi-FI"/>
        </w:rPr>
        <w:t>J Clin Psychiatry</w:t>
      </w:r>
      <w:r w:rsidRPr="0039153F">
        <w:rPr>
          <w:rFonts w:ascii="Garamond" w:hAnsi="Garamond"/>
          <w:lang w:val="fi-FI"/>
        </w:rPr>
        <w:t>. 1998;59(20):22-33.</w:t>
      </w:r>
    </w:p>
    <w:p w14:paraId="4BB5F61B" w14:textId="77777777" w:rsidR="002D3B10" w:rsidRPr="0039153F" w:rsidRDefault="002D3B10" w:rsidP="002D3B10">
      <w:pPr>
        <w:pStyle w:val="Bibliography"/>
        <w:rPr>
          <w:rFonts w:ascii="Garamond" w:hAnsi="Garamond"/>
        </w:rPr>
      </w:pPr>
      <w:r w:rsidRPr="0039153F">
        <w:rPr>
          <w:rFonts w:ascii="Garamond" w:hAnsi="Garamond"/>
          <w:lang w:val="fi-FI"/>
        </w:rPr>
        <w:t>5.</w:t>
      </w:r>
      <w:r w:rsidRPr="0039153F">
        <w:rPr>
          <w:rFonts w:ascii="Garamond" w:hAnsi="Garamond"/>
          <w:lang w:val="fi-FI"/>
        </w:rPr>
        <w:tab/>
        <w:t xml:space="preserve">Karjalainen T, Tuisku J, Santavirta S, et al. </w:t>
      </w:r>
      <w:r w:rsidRPr="0039153F">
        <w:rPr>
          <w:rFonts w:ascii="Garamond" w:hAnsi="Garamond"/>
        </w:rPr>
        <w:t xml:space="preserve">Magia: Robust Automated Image Processing and Kinetic Modeling Toolbox for PET Neuroinformatics. </w:t>
      </w:r>
      <w:r w:rsidRPr="0039153F">
        <w:rPr>
          <w:rFonts w:ascii="Garamond" w:hAnsi="Garamond"/>
          <w:i/>
          <w:iCs/>
        </w:rPr>
        <w:t>Front Neuroinformatics</w:t>
      </w:r>
      <w:r w:rsidRPr="0039153F">
        <w:rPr>
          <w:rFonts w:ascii="Garamond" w:hAnsi="Garamond"/>
        </w:rPr>
        <w:t>. 2020;14. Accessed April 12, 2022. https://www.frontiersin.org/article/10.3389/fninf.2020.00003</w:t>
      </w:r>
    </w:p>
    <w:p w14:paraId="1EAF4AB1" w14:textId="77777777" w:rsidR="002D3B10" w:rsidRPr="0039153F" w:rsidRDefault="002D3B10" w:rsidP="002D3B10">
      <w:pPr>
        <w:pStyle w:val="Bibliography"/>
        <w:rPr>
          <w:rFonts w:ascii="Garamond" w:hAnsi="Garamond"/>
        </w:rPr>
      </w:pPr>
      <w:r w:rsidRPr="0039153F">
        <w:rPr>
          <w:rFonts w:ascii="Garamond" w:hAnsi="Garamond"/>
          <w:lang w:val="fi-FI"/>
        </w:rPr>
        <w:t>6.</w:t>
      </w:r>
      <w:r w:rsidRPr="0039153F">
        <w:rPr>
          <w:rFonts w:ascii="Garamond" w:hAnsi="Garamond"/>
          <w:lang w:val="fi-FI"/>
        </w:rPr>
        <w:tab/>
        <w:t xml:space="preserve">Kret ME, Sjak-Shie EE. </w:t>
      </w:r>
      <w:r w:rsidRPr="0039153F">
        <w:rPr>
          <w:rFonts w:ascii="Garamond" w:hAnsi="Garamond"/>
        </w:rPr>
        <w:t xml:space="preserve">Preprocessing pupil size data: Guidelines and code. </w:t>
      </w:r>
      <w:r w:rsidRPr="0039153F">
        <w:rPr>
          <w:rFonts w:ascii="Garamond" w:hAnsi="Garamond"/>
          <w:i/>
          <w:iCs/>
        </w:rPr>
        <w:t>Behav Res Methods</w:t>
      </w:r>
      <w:r w:rsidRPr="0039153F">
        <w:rPr>
          <w:rFonts w:ascii="Garamond" w:hAnsi="Garamond"/>
        </w:rPr>
        <w:t>. 2019;51(3):1336-1342. doi:10.3758/s13428-018-1075-y</w:t>
      </w:r>
    </w:p>
    <w:p w14:paraId="45D13CD2" w14:textId="77777777" w:rsidR="002D3B10" w:rsidRPr="00556471" w:rsidRDefault="002D3B10" w:rsidP="002D3B10">
      <w:pPr>
        <w:rPr>
          <w:rFonts w:ascii="Garamond" w:hAnsi="Garamond"/>
        </w:rPr>
      </w:pPr>
      <w:r w:rsidRPr="00556471">
        <w:rPr>
          <w:rFonts w:ascii="Garamond" w:hAnsi="Garamond"/>
        </w:rPr>
        <w:fldChar w:fldCharType="end"/>
      </w:r>
    </w:p>
    <w:p w14:paraId="071719F0" w14:textId="77777777" w:rsidR="002D3B10" w:rsidRPr="00556471" w:rsidRDefault="002D3B10" w:rsidP="002D3B10">
      <w:pPr>
        <w:rPr>
          <w:rFonts w:ascii="Garamond" w:hAnsi="Garamond"/>
        </w:rPr>
      </w:pPr>
    </w:p>
    <w:p w14:paraId="396CF3B5" w14:textId="77777777" w:rsidR="009A2C87" w:rsidRPr="005C3E35" w:rsidRDefault="009A2C87" w:rsidP="00890A1A">
      <w:pPr>
        <w:jc w:val="both"/>
        <w:rPr>
          <w:rFonts w:ascii="Garamond" w:hAnsi="Garamond"/>
        </w:rPr>
      </w:pPr>
    </w:p>
    <w:sectPr w:rsidR="009A2C87" w:rsidRPr="005C3E35" w:rsidSect="00293072">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D52C" w14:textId="77777777" w:rsidR="000E5EEB" w:rsidRDefault="000E5EEB" w:rsidP="000F5ADD">
      <w:r>
        <w:separator/>
      </w:r>
    </w:p>
  </w:endnote>
  <w:endnote w:type="continuationSeparator" w:id="0">
    <w:p w14:paraId="7599BD6D" w14:textId="77777777" w:rsidR="000E5EEB" w:rsidRDefault="000E5EEB" w:rsidP="000F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0621518"/>
      <w:docPartObj>
        <w:docPartGallery w:val="Page Numbers (Bottom of Page)"/>
        <w:docPartUnique/>
      </w:docPartObj>
    </w:sdtPr>
    <w:sdtContent>
      <w:p w14:paraId="11B51CE2" w14:textId="499E0425" w:rsidR="00293072" w:rsidRDefault="00293072" w:rsidP="00AC7782">
        <w:pPr>
          <w:pStyle w:val="Footer"/>
          <w:framePr w:wrap="none" w:vAnchor="text" w:hAnchor="margin" w:xAlign="right" w:y="1"/>
          <w:rPr>
            <w:rStyle w:val="PageNumber"/>
          </w:rPr>
        </w:pPr>
        <w:r w:rsidRPr="00293072">
          <w:rPr>
            <w:rStyle w:val="PageNumber"/>
            <w:rFonts w:ascii="Garamond" w:hAnsi="Garamond"/>
          </w:rPr>
          <w:fldChar w:fldCharType="begin"/>
        </w:r>
        <w:r w:rsidRPr="00293072">
          <w:rPr>
            <w:rStyle w:val="PageNumber"/>
            <w:rFonts w:ascii="Garamond" w:hAnsi="Garamond"/>
          </w:rPr>
          <w:instrText xml:space="preserve"> PAGE </w:instrText>
        </w:r>
        <w:r w:rsidRPr="00293072">
          <w:rPr>
            <w:rStyle w:val="PageNumber"/>
            <w:rFonts w:ascii="Garamond" w:hAnsi="Garamond"/>
          </w:rPr>
          <w:fldChar w:fldCharType="separate"/>
        </w:r>
        <w:r w:rsidRPr="00293072">
          <w:rPr>
            <w:rStyle w:val="PageNumber"/>
            <w:rFonts w:ascii="Garamond" w:hAnsi="Garamond"/>
            <w:noProof/>
          </w:rPr>
          <w:t>1</w:t>
        </w:r>
        <w:r w:rsidRPr="00293072">
          <w:rPr>
            <w:rStyle w:val="PageNumber"/>
            <w:rFonts w:ascii="Garamond" w:hAnsi="Garamond"/>
          </w:rPr>
          <w:fldChar w:fldCharType="end"/>
        </w:r>
      </w:p>
    </w:sdtContent>
  </w:sdt>
  <w:p w14:paraId="525F2308" w14:textId="77777777" w:rsidR="00293072" w:rsidRDefault="00293072" w:rsidP="002930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29131" w14:textId="77777777" w:rsidR="000E5EEB" w:rsidRDefault="000E5EEB" w:rsidP="000F5ADD">
      <w:r>
        <w:separator/>
      </w:r>
    </w:p>
  </w:footnote>
  <w:footnote w:type="continuationSeparator" w:id="0">
    <w:p w14:paraId="22F19F6D" w14:textId="77777777" w:rsidR="000E5EEB" w:rsidRDefault="000E5EEB" w:rsidP="000F5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ABA"/>
    <w:multiLevelType w:val="multilevel"/>
    <w:tmpl w:val="DC483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E6D54"/>
    <w:multiLevelType w:val="hybridMultilevel"/>
    <w:tmpl w:val="F2E49E82"/>
    <w:lvl w:ilvl="0" w:tplc="0F06CEE0">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B84E21"/>
    <w:multiLevelType w:val="hybridMultilevel"/>
    <w:tmpl w:val="8288F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1229A0"/>
    <w:multiLevelType w:val="hybridMultilevel"/>
    <w:tmpl w:val="0FBE2E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8565816">
    <w:abstractNumId w:val="0"/>
  </w:num>
  <w:num w:numId="2" w16cid:durableId="774785094">
    <w:abstractNumId w:val="3"/>
  </w:num>
  <w:num w:numId="3" w16cid:durableId="1196774721">
    <w:abstractNumId w:val="2"/>
  </w:num>
  <w:num w:numId="4" w16cid:durableId="1005673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ve5pezgpewtue2xx05xsf9v0d99z25fexx&quot;&gt;LaurisFreshEndnote19&lt;record-ids&gt;&lt;item&gt;544&lt;/item&gt;&lt;item&gt;930&lt;/item&gt;&lt;item&gt;931&lt;/item&gt;&lt;item&gt;1839&lt;/item&gt;&lt;/record-ids&gt;&lt;/item&gt;&lt;/Libraries&gt;"/>
  </w:docVars>
  <w:rsids>
    <w:rsidRoot w:val="00D87E4B"/>
    <w:rsid w:val="000064F5"/>
    <w:rsid w:val="00007D2A"/>
    <w:rsid w:val="00012883"/>
    <w:rsid w:val="00015FC9"/>
    <w:rsid w:val="0001703A"/>
    <w:rsid w:val="00021743"/>
    <w:rsid w:val="00027287"/>
    <w:rsid w:val="0003094C"/>
    <w:rsid w:val="000316A5"/>
    <w:rsid w:val="00037BEF"/>
    <w:rsid w:val="000471BB"/>
    <w:rsid w:val="00051254"/>
    <w:rsid w:val="000557CD"/>
    <w:rsid w:val="00056204"/>
    <w:rsid w:val="00067B7C"/>
    <w:rsid w:val="0007168A"/>
    <w:rsid w:val="00084832"/>
    <w:rsid w:val="0008736F"/>
    <w:rsid w:val="00087BCF"/>
    <w:rsid w:val="0009172D"/>
    <w:rsid w:val="000936EC"/>
    <w:rsid w:val="0009484E"/>
    <w:rsid w:val="0009593A"/>
    <w:rsid w:val="00095A27"/>
    <w:rsid w:val="000A34EA"/>
    <w:rsid w:val="000A4097"/>
    <w:rsid w:val="000A5CB9"/>
    <w:rsid w:val="000B3F9A"/>
    <w:rsid w:val="000B514A"/>
    <w:rsid w:val="000B5222"/>
    <w:rsid w:val="000C3567"/>
    <w:rsid w:val="000C539C"/>
    <w:rsid w:val="000C6A2D"/>
    <w:rsid w:val="000D3940"/>
    <w:rsid w:val="000E5EEB"/>
    <w:rsid w:val="000F0930"/>
    <w:rsid w:val="000F23F1"/>
    <w:rsid w:val="000F5ADD"/>
    <w:rsid w:val="001003A6"/>
    <w:rsid w:val="00104F86"/>
    <w:rsid w:val="00107C13"/>
    <w:rsid w:val="0011066C"/>
    <w:rsid w:val="0011225C"/>
    <w:rsid w:val="0011301E"/>
    <w:rsid w:val="001131F7"/>
    <w:rsid w:val="00116310"/>
    <w:rsid w:val="00124210"/>
    <w:rsid w:val="0012518C"/>
    <w:rsid w:val="00133774"/>
    <w:rsid w:val="0014389E"/>
    <w:rsid w:val="00150E4C"/>
    <w:rsid w:val="001511F9"/>
    <w:rsid w:val="001530E9"/>
    <w:rsid w:val="0015787D"/>
    <w:rsid w:val="00161C68"/>
    <w:rsid w:val="00172DF1"/>
    <w:rsid w:val="001732E3"/>
    <w:rsid w:val="00175848"/>
    <w:rsid w:val="00182B26"/>
    <w:rsid w:val="00186521"/>
    <w:rsid w:val="001914F6"/>
    <w:rsid w:val="00193FF9"/>
    <w:rsid w:val="001A0B86"/>
    <w:rsid w:val="001B002A"/>
    <w:rsid w:val="001B2E8B"/>
    <w:rsid w:val="001B36FD"/>
    <w:rsid w:val="001C1CBA"/>
    <w:rsid w:val="001C3F9E"/>
    <w:rsid w:val="001E22E6"/>
    <w:rsid w:val="001E540A"/>
    <w:rsid w:val="001F171A"/>
    <w:rsid w:val="001F235A"/>
    <w:rsid w:val="001F3D6F"/>
    <w:rsid w:val="001F6B95"/>
    <w:rsid w:val="001F7E3C"/>
    <w:rsid w:val="00202051"/>
    <w:rsid w:val="00203F60"/>
    <w:rsid w:val="00206B9D"/>
    <w:rsid w:val="00207706"/>
    <w:rsid w:val="00210738"/>
    <w:rsid w:val="002137D3"/>
    <w:rsid w:val="0021546C"/>
    <w:rsid w:val="00221B54"/>
    <w:rsid w:val="00222782"/>
    <w:rsid w:val="00227697"/>
    <w:rsid w:val="00232990"/>
    <w:rsid w:val="0023320C"/>
    <w:rsid w:val="0024006B"/>
    <w:rsid w:val="0024123F"/>
    <w:rsid w:val="00252B92"/>
    <w:rsid w:val="00256EFA"/>
    <w:rsid w:val="002676AD"/>
    <w:rsid w:val="00271A63"/>
    <w:rsid w:val="0027732B"/>
    <w:rsid w:val="00281193"/>
    <w:rsid w:val="0028369B"/>
    <w:rsid w:val="00287B9B"/>
    <w:rsid w:val="00292C5B"/>
    <w:rsid w:val="00293072"/>
    <w:rsid w:val="002A358C"/>
    <w:rsid w:val="002A69EB"/>
    <w:rsid w:val="002A7E7F"/>
    <w:rsid w:val="002B6B33"/>
    <w:rsid w:val="002C2D49"/>
    <w:rsid w:val="002C3FB9"/>
    <w:rsid w:val="002C5A93"/>
    <w:rsid w:val="002D149D"/>
    <w:rsid w:val="002D3475"/>
    <w:rsid w:val="002D3B10"/>
    <w:rsid w:val="002E2E5C"/>
    <w:rsid w:val="002E55CB"/>
    <w:rsid w:val="002E5830"/>
    <w:rsid w:val="003044CE"/>
    <w:rsid w:val="00315CA6"/>
    <w:rsid w:val="00322271"/>
    <w:rsid w:val="00322569"/>
    <w:rsid w:val="00323865"/>
    <w:rsid w:val="003276A1"/>
    <w:rsid w:val="00331883"/>
    <w:rsid w:val="00334087"/>
    <w:rsid w:val="003404E3"/>
    <w:rsid w:val="0034634D"/>
    <w:rsid w:val="003473CD"/>
    <w:rsid w:val="00352D58"/>
    <w:rsid w:val="00360884"/>
    <w:rsid w:val="00364F58"/>
    <w:rsid w:val="00366788"/>
    <w:rsid w:val="0037256C"/>
    <w:rsid w:val="00374ECD"/>
    <w:rsid w:val="00375915"/>
    <w:rsid w:val="00382D5F"/>
    <w:rsid w:val="00384499"/>
    <w:rsid w:val="003860FC"/>
    <w:rsid w:val="00386A40"/>
    <w:rsid w:val="003A308C"/>
    <w:rsid w:val="003B04B6"/>
    <w:rsid w:val="003B24DE"/>
    <w:rsid w:val="003B2A13"/>
    <w:rsid w:val="003B5775"/>
    <w:rsid w:val="003B701B"/>
    <w:rsid w:val="003B73A3"/>
    <w:rsid w:val="003C38FE"/>
    <w:rsid w:val="003D0494"/>
    <w:rsid w:val="003E013C"/>
    <w:rsid w:val="003E239E"/>
    <w:rsid w:val="003E318D"/>
    <w:rsid w:val="003E443A"/>
    <w:rsid w:val="003F2F41"/>
    <w:rsid w:val="003F4027"/>
    <w:rsid w:val="003F4474"/>
    <w:rsid w:val="003F52D0"/>
    <w:rsid w:val="00404EB5"/>
    <w:rsid w:val="00405B26"/>
    <w:rsid w:val="0041483C"/>
    <w:rsid w:val="004167D1"/>
    <w:rsid w:val="00421E49"/>
    <w:rsid w:val="00423787"/>
    <w:rsid w:val="00424438"/>
    <w:rsid w:val="00424495"/>
    <w:rsid w:val="004365FA"/>
    <w:rsid w:val="00444DD3"/>
    <w:rsid w:val="00452782"/>
    <w:rsid w:val="0045315B"/>
    <w:rsid w:val="0045615B"/>
    <w:rsid w:val="004602C2"/>
    <w:rsid w:val="00460CED"/>
    <w:rsid w:val="004725DE"/>
    <w:rsid w:val="004821AE"/>
    <w:rsid w:val="004846B0"/>
    <w:rsid w:val="0049585E"/>
    <w:rsid w:val="00497BEE"/>
    <w:rsid w:val="004A4EE8"/>
    <w:rsid w:val="004A5F46"/>
    <w:rsid w:val="004A6DCF"/>
    <w:rsid w:val="004B0C5F"/>
    <w:rsid w:val="004B5EC3"/>
    <w:rsid w:val="004C4227"/>
    <w:rsid w:val="004C4EDC"/>
    <w:rsid w:val="004D4055"/>
    <w:rsid w:val="004E1624"/>
    <w:rsid w:val="004E1FEE"/>
    <w:rsid w:val="004F255A"/>
    <w:rsid w:val="0050148C"/>
    <w:rsid w:val="00502A9B"/>
    <w:rsid w:val="00504875"/>
    <w:rsid w:val="0051064F"/>
    <w:rsid w:val="00510B67"/>
    <w:rsid w:val="00510D88"/>
    <w:rsid w:val="00515E7D"/>
    <w:rsid w:val="0052669D"/>
    <w:rsid w:val="00535A14"/>
    <w:rsid w:val="00535DF1"/>
    <w:rsid w:val="00545819"/>
    <w:rsid w:val="005468C3"/>
    <w:rsid w:val="00547776"/>
    <w:rsid w:val="00547C5C"/>
    <w:rsid w:val="005579CB"/>
    <w:rsid w:val="0057225C"/>
    <w:rsid w:val="005723CA"/>
    <w:rsid w:val="00573384"/>
    <w:rsid w:val="005737EC"/>
    <w:rsid w:val="0057386F"/>
    <w:rsid w:val="00574528"/>
    <w:rsid w:val="00582808"/>
    <w:rsid w:val="00583675"/>
    <w:rsid w:val="005A2018"/>
    <w:rsid w:val="005B47AE"/>
    <w:rsid w:val="005B66A1"/>
    <w:rsid w:val="005C142B"/>
    <w:rsid w:val="005C2214"/>
    <w:rsid w:val="005C37B0"/>
    <w:rsid w:val="005C3E35"/>
    <w:rsid w:val="005C7445"/>
    <w:rsid w:val="005D128C"/>
    <w:rsid w:val="005D14A5"/>
    <w:rsid w:val="005D37B2"/>
    <w:rsid w:val="005D57A9"/>
    <w:rsid w:val="005D64BC"/>
    <w:rsid w:val="005D7440"/>
    <w:rsid w:val="005E0B05"/>
    <w:rsid w:val="005E0CE2"/>
    <w:rsid w:val="005E117E"/>
    <w:rsid w:val="005E1B69"/>
    <w:rsid w:val="005F479C"/>
    <w:rsid w:val="005F5160"/>
    <w:rsid w:val="0060471B"/>
    <w:rsid w:val="00611DD2"/>
    <w:rsid w:val="00613FA9"/>
    <w:rsid w:val="00616D40"/>
    <w:rsid w:val="00623C83"/>
    <w:rsid w:val="006242DD"/>
    <w:rsid w:val="006254DD"/>
    <w:rsid w:val="00634631"/>
    <w:rsid w:val="0063676C"/>
    <w:rsid w:val="00640E30"/>
    <w:rsid w:val="00643670"/>
    <w:rsid w:val="00643C27"/>
    <w:rsid w:val="006462E7"/>
    <w:rsid w:val="00650520"/>
    <w:rsid w:val="00652BDD"/>
    <w:rsid w:val="00655F53"/>
    <w:rsid w:val="0065671B"/>
    <w:rsid w:val="00656B4D"/>
    <w:rsid w:val="006615DF"/>
    <w:rsid w:val="00661934"/>
    <w:rsid w:val="00663A99"/>
    <w:rsid w:val="006765FE"/>
    <w:rsid w:val="00680BE4"/>
    <w:rsid w:val="00682372"/>
    <w:rsid w:val="00683122"/>
    <w:rsid w:val="00684283"/>
    <w:rsid w:val="00685376"/>
    <w:rsid w:val="006912A9"/>
    <w:rsid w:val="0069146F"/>
    <w:rsid w:val="00691798"/>
    <w:rsid w:val="00691C12"/>
    <w:rsid w:val="0069285B"/>
    <w:rsid w:val="00693FFC"/>
    <w:rsid w:val="006949E0"/>
    <w:rsid w:val="006A30E3"/>
    <w:rsid w:val="006C2DE8"/>
    <w:rsid w:val="006C3E2C"/>
    <w:rsid w:val="006C7B12"/>
    <w:rsid w:val="006E29C2"/>
    <w:rsid w:val="006F47E1"/>
    <w:rsid w:val="00706E6C"/>
    <w:rsid w:val="00711A89"/>
    <w:rsid w:val="00715211"/>
    <w:rsid w:val="0072533E"/>
    <w:rsid w:val="00730404"/>
    <w:rsid w:val="00731F30"/>
    <w:rsid w:val="00735C7E"/>
    <w:rsid w:val="00736D6C"/>
    <w:rsid w:val="0074286E"/>
    <w:rsid w:val="007438EB"/>
    <w:rsid w:val="007473B1"/>
    <w:rsid w:val="00747CE2"/>
    <w:rsid w:val="00752AD4"/>
    <w:rsid w:val="00765017"/>
    <w:rsid w:val="007651F0"/>
    <w:rsid w:val="007653D9"/>
    <w:rsid w:val="0076740E"/>
    <w:rsid w:val="00771310"/>
    <w:rsid w:val="007761F5"/>
    <w:rsid w:val="00781352"/>
    <w:rsid w:val="00793080"/>
    <w:rsid w:val="00797179"/>
    <w:rsid w:val="007B0C6F"/>
    <w:rsid w:val="007B32C8"/>
    <w:rsid w:val="007C12A1"/>
    <w:rsid w:val="007C269A"/>
    <w:rsid w:val="007C7396"/>
    <w:rsid w:val="007E3AB9"/>
    <w:rsid w:val="007F1132"/>
    <w:rsid w:val="008060F0"/>
    <w:rsid w:val="008065AE"/>
    <w:rsid w:val="008141C9"/>
    <w:rsid w:val="008150AD"/>
    <w:rsid w:val="0082371B"/>
    <w:rsid w:val="00827853"/>
    <w:rsid w:val="00841984"/>
    <w:rsid w:val="00846BE6"/>
    <w:rsid w:val="0087517E"/>
    <w:rsid w:val="00883FA6"/>
    <w:rsid w:val="008875FE"/>
    <w:rsid w:val="00890A1A"/>
    <w:rsid w:val="008917AB"/>
    <w:rsid w:val="00892742"/>
    <w:rsid w:val="00894AD0"/>
    <w:rsid w:val="008C66A4"/>
    <w:rsid w:val="008D0327"/>
    <w:rsid w:val="008D2086"/>
    <w:rsid w:val="008D3234"/>
    <w:rsid w:val="008D6876"/>
    <w:rsid w:val="008E00F0"/>
    <w:rsid w:val="00907C90"/>
    <w:rsid w:val="00910141"/>
    <w:rsid w:val="009125C6"/>
    <w:rsid w:val="00936199"/>
    <w:rsid w:val="009471E5"/>
    <w:rsid w:val="00952C23"/>
    <w:rsid w:val="00954C09"/>
    <w:rsid w:val="00956C3C"/>
    <w:rsid w:val="009816E5"/>
    <w:rsid w:val="009830D2"/>
    <w:rsid w:val="00984333"/>
    <w:rsid w:val="00985D05"/>
    <w:rsid w:val="0098720C"/>
    <w:rsid w:val="00987B7C"/>
    <w:rsid w:val="00995AB2"/>
    <w:rsid w:val="009A2C87"/>
    <w:rsid w:val="009A3BCC"/>
    <w:rsid w:val="009B5B5E"/>
    <w:rsid w:val="009C62EB"/>
    <w:rsid w:val="009D1E87"/>
    <w:rsid w:val="009D4337"/>
    <w:rsid w:val="009D63F6"/>
    <w:rsid w:val="009E0209"/>
    <w:rsid w:val="009E2DFF"/>
    <w:rsid w:val="009E39DF"/>
    <w:rsid w:val="009E4BE0"/>
    <w:rsid w:val="009F0F0A"/>
    <w:rsid w:val="009F4022"/>
    <w:rsid w:val="00A01DE7"/>
    <w:rsid w:val="00A0586F"/>
    <w:rsid w:val="00A11217"/>
    <w:rsid w:val="00A1271C"/>
    <w:rsid w:val="00A135AC"/>
    <w:rsid w:val="00A156BF"/>
    <w:rsid w:val="00A2546D"/>
    <w:rsid w:val="00A30173"/>
    <w:rsid w:val="00A30879"/>
    <w:rsid w:val="00A3276E"/>
    <w:rsid w:val="00A35917"/>
    <w:rsid w:val="00A41BC5"/>
    <w:rsid w:val="00A425C5"/>
    <w:rsid w:val="00A446AC"/>
    <w:rsid w:val="00A53AD2"/>
    <w:rsid w:val="00A60B08"/>
    <w:rsid w:val="00A64967"/>
    <w:rsid w:val="00A66F09"/>
    <w:rsid w:val="00A728FA"/>
    <w:rsid w:val="00A86711"/>
    <w:rsid w:val="00A92200"/>
    <w:rsid w:val="00A922FA"/>
    <w:rsid w:val="00AA6585"/>
    <w:rsid w:val="00AA6C29"/>
    <w:rsid w:val="00AB2F10"/>
    <w:rsid w:val="00AB312F"/>
    <w:rsid w:val="00AB3548"/>
    <w:rsid w:val="00AC0F9B"/>
    <w:rsid w:val="00AC322A"/>
    <w:rsid w:val="00AC3AC1"/>
    <w:rsid w:val="00AD0AF7"/>
    <w:rsid w:val="00AD1C44"/>
    <w:rsid w:val="00AD78DD"/>
    <w:rsid w:val="00AE559F"/>
    <w:rsid w:val="00AE7B5C"/>
    <w:rsid w:val="00AF6F95"/>
    <w:rsid w:val="00B001DD"/>
    <w:rsid w:val="00B00F1E"/>
    <w:rsid w:val="00B013A7"/>
    <w:rsid w:val="00B05A56"/>
    <w:rsid w:val="00B11C68"/>
    <w:rsid w:val="00B129D5"/>
    <w:rsid w:val="00B14F82"/>
    <w:rsid w:val="00B170AA"/>
    <w:rsid w:val="00B24C9C"/>
    <w:rsid w:val="00B259D7"/>
    <w:rsid w:val="00B32043"/>
    <w:rsid w:val="00B40C7C"/>
    <w:rsid w:val="00B470CB"/>
    <w:rsid w:val="00B4711F"/>
    <w:rsid w:val="00B50397"/>
    <w:rsid w:val="00B515A2"/>
    <w:rsid w:val="00B54C8F"/>
    <w:rsid w:val="00B607D4"/>
    <w:rsid w:val="00B62C3D"/>
    <w:rsid w:val="00B63A7E"/>
    <w:rsid w:val="00B65ACC"/>
    <w:rsid w:val="00B65FB5"/>
    <w:rsid w:val="00B70DF8"/>
    <w:rsid w:val="00B731B5"/>
    <w:rsid w:val="00B74154"/>
    <w:rsid w:val="00B77185"/>
    <w:rsid w:val="00B7757E"/>
    <w:rsid w:val="00B86DE8"/>
    <w:rsid w:val="00B915C5"/>
    <w:rsid w:val="00B91721"/>
    <w:rsid w:val="00B945FB"/>
    <w:rsid w:val="00B946AA"/>
    <w:rsid w:val="00B94B7A"/>
    <w:rsid w:val="00B951B4"/>
    <w:rsid w:val="00B9724C"/>
    <w:rsid w:val="00B977C5"/>
    <w:rsid w:val="00B97C93"/>
    <w:rsid w:val="00BB0530"/>
    <w:rsid w:val="00BD4722"/>
    <w:rsid w:val="00BE7782"/>
    <w:rsid w:val="00BF4DCF"/>
    <w:rsid w:val="00C11248"/>
    <w:rsid w:val="00C11C0A"/>
    <w:rsid w:val="00C12DF0"/>
    <w:rsid w:val="00C139B2"/>
    <w:rsid w:val="00C13C2F"/>
    <w:rsid w:val="00C21B38"/>
    <w:rsid w:val="00C25D9B"/>
    <w:rsid w:val="00C30192"/>
    <w:rsid w:val="00C440F0"/>
    <w:rsid w:val="00C441D1"/>
    <w:rsid w:val="00C45945"/>
    <w:rsid w:val="00C47838"/>
    <w:rsid w:val="00C50527"/>
    <w:rsid w:val="00C53153"/>
    <w:rsid w:val="00C54670"/>
    <w:rsid w:val="00C60C5F"/>
    <w:rsid w:val="00C70C30"/>
    <w:rsid w:val="00C75C3C"/>
    <w:rsid w:val="00C85534"/>
    <w:rsid w:val="00C874AC"/>
    <w:rsid w:val="00C9050C"/>
    <w:rsid w:val="00C96920"/>
    <w:rsid w:val="00CA3568"/>
    <w:rsid w:val="00CA78A7"/>
    <w:rsid w:val="00CA7A18"/>
    <w:rsid w:val="00CB11AD"/>
    <w:rsid w:val="00CB1BA8"/>
    <w:rsid w:val="00CB3B85"/>
    <w:rsid w:val="00CB5180"/>
    <w:rsid w:val="00CC35E4"/>
    <w:rsid w:val="00CD1EC3"/>
    <w:rsid w:val="00CD7503"/>
    <w:rsid w:val="00CE49A0"/>
    <w:rsid w:val="00CE6191"/>
    <w:rsid w:val="00CF21FD"/>
    <w:rsid w:val="00CF2FA3"/>
    <w:rsid w:val="00CF74C7"/>
    <w:rsid w:val="00D01CAE"/>
    <w:rsid w:val="00D2064E"/>
    <w:rsid w:val="00D249C3"/>
    <w:rsid w:val="00D27B36"/>
    <w:rsid w:val="00D46710"/>
    <w:rsid w:val="00D525BF"/>
    <w:rsid w:val="00D607DA"/>
    <w:rsid w:val="00D63ED3"/>
    <w:rsid w:val="00D6691B"/>
    <w:rsid w:val="00D713A1"/>
    <w:rsid w:val="00D7347C"/>
    <w:rsid w:val="00D73C11"/>
    <w:rsid w:val="00D749AE"/>
    <w:rsid w:val="00D75CD2"/>
    <w:rsid w:val="00D837D8"/>
    <w:rsid w:val="00D855E6"/>
    <w:rsid w:val="00D85BE2"/>
    <w:rsid w:val="00D866F9"/>
    <w:rsid w:val="00D87E4B"/>
    <w:rsid w:val="00D91A60"/>
    <w:rsid w:val="00D91C4B"/>
    <w:rsid w:val="00D92E9E"/>
    <w:rsid w:val="00DA0625"/>
    <w:rsid w:val="00DA2194"/>
    <w:rsid w:val="00DA5B4E"/>
    <w:rsid w:val="00DB04D7"/>
    <w:rsid w:val="00DB3F49"/>
    <w:rsid w:val="00DC26AC"/>
    <w:rsid w:val="00DC3F81"/>
    <w:rsid w:val="00DE5C9D"/>
    <w:rsid w:val="00DE6B88"/>
    <w:rsid w:val="00DE78A1"/>
    <w:rsid w:val="00E01B41"/>
    <w:rsid w:val="00E02A8A"/>
    <w:rsid w:val="00E04FE2"/>
    <w:rsid w:val="00E07296"/>
    <w:rsid w:val="00E11C11"/>
    <w:rsid w:val="00E14882"/>
    <w:rsid w:val="00E14900"/>
    <w:rsid w:val="00E14D75"/>
    <w:rsid w:val="00E207DA"/>
    <w:rsid w:val="00E31D4E"/>
    <w:rsid w:val="00E326F4"/>
    <w:rsid w:val="00E433F1"/>
    <w:rsid w:val="00E54A62"/>
    <w:rsid w:val="00E60748"/>
    <w:rsid w:val="00E60A58"/>
    <w:rsid w:val="00E75B51"/>
    <w:rsid w:val="00E767DA"/>
    <w:rsid w:val="00E7699F"/>
    <w:rsid w:val="00E80036"/>
    <w:rsid w:val="00E846D6"/>
    <w:rsid w:val="00E90795"/>
    <w:rsid w:val="00E91F4A"/>
    <w:rsid w:val="00E95237"/>
    <w:rsid w:val="00E97BE7"/>
    <w:rsid w:val="00EA04AC"/>
    <w:rsid w:val="00EA5F30"/>
    <w:rsid w:val="00EB1890"/>
    <w:rsid w:val="00EB367A"/>
    <w:rsid w:val="00EC02BB"/>
    <w:rsid w:val="00EC1543"/>
    <w:rsid w:val="00ED2208"/>
    <w:rsid w:val="00ED254A"/>
    <w:rsid w:val="00ED3D59"/>
    <w:rsid w:val="00ED55F5"/>
    <w:rsid w:val="00ED5647"/>
    <w:rsid w:val="00EE22E2"/>
    <w:rsid w:val="00EE3110"/>
    <w:rsid w:val="00EE32C3"/>
    <w:rsid w:val="00EE7CFD"/>
    <w:rsid w:val="00EF1E39"/>
    <w:rsid w:val="00EF29EE"/>
    <w:rsid w:val="00EF2A14"/>
    <w:rsid w:val="00EF2B7E"/>
    <w:rsid w:val="00F038A0"/>
    <w:rsid w:val="00F03BBE"/>
    <w:rsid w:val="00F04964"/>
    <w:rsid w:val="00F05307"/>
    <w:rsid w:val="00F12005"/>
    <w:rsid w:val="00F1217D"/>
    <w:rsid w:val="00F14824"/>
    <w:rsid w:val="00F16388"/>
    <w:rsid w:val="00F17B19"/>
    <w:rsid w:val="00F17ED9"/>
    <w:rsid w:val="00F25430"/>
    <w:rsid w:val="00F303C9"/>
    <w:rsid w:val="00F3689F"/>
    <w:rsid w:val="00F40869"/>
    <w:rsid w:val="00F44081"/>
    <w:rsid w:val="00F44A8A"/>
    <w:rsid w:val="00F46370"/>
    <w:rsid w:val="00F466FD"/>
    <w:rsid w:val="00F476A1"/>
    <w:rsid w:val="00F51321"/>
    <w:rsid w:val="00F5163C"/>
    <w:rsid w:val="00F51C71"/>
    <w:rsid w:val="00F529DB"/>
    <w:rsid w:val="00F54DB9"/>
    <w:rsid w:val="00F64827"/>
    <w:rsid w:val="00F6525C"/>
    <w:rsid w:val="00F754D5"/>
    <w:rsid w:val="00F7724E"/>
    <w:rsid w:val="00F81D19"/>
    <w:rsid w:val="00F8242C"/>
    <w:rsid w:val="00F84F7A"/>
    <w:rsid w:val="00F947E7"/>
    <w:rsid w:val="00FB3BAB"/>
    <w:rsid w:val="00FB5F1A"/>
    <w:rsid w:val="00FC0621"/>
    <w:rsid w:val="00FC7DCA"/>
    <w:rsid w:val="00FD1256"/>
    <w:rsid w:val="00FD63EC"/>
    <w:rsid w:val="00FD64BC"/>
    <w:rsid w:val="00FD7F0F"/>
    <w:rsid w:val="00FE622D"/>
    <w:rsid w:val="00FE650B"/>
    <w:rsid w:val="00FE6ED6"/>
    <w:rsid w:val="00FF49BD"/>
    <w:rsid w:val="00FF4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8C46"/>
  <w15:chartTrackingRefBased/>
  <w15:docId w15:val="{A2F8F0F1-A552-7A4A-A0E4-4AC51A0F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4C09"/>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954C09"/>
    <w:rPr>
      <w:color w:val="0000FF"/>
      <w:u w:val="single"/>
    </w:rPr>
  </w:style>
  <w:style w:type="paragraph" w:styleId="BalloonText">
    <w:name w:val="Balloon Text"/>
    <w:basedOn w:val="Normal"/>
    <w:link w:val="BalloonTextChar"/>
    <w:uiPriority w:val="99"/>
    <w:semiHidden/>
    <w:unhideWhenUsed/>
    <w:rsid w:val="00C25D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5D9B"/>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315CA6"/>
    <w:rPr>
      <w:color w:val="605E5C"/>
      <w:shd w:val="clear" w:color="auto" w:fill="E1DFDD"/>
    </w:rPr>
  </w:style>
  <w:style w:type="character" w:styleId="CommentReference">
    <w:name w:val="annotation reference"/>
    <w:basedOn w:val="DefaultParagraphFont"/>
    <w:uiPriority w:val="99"/>
    <w:semiHidden/>
    <w:unhideWhenUsed/>
    <w:rsid w:val="000D3940"/>
    <w:rPr>
      <w:sz w:val="16"/>
      <w:szCs w:val="16"/>
    </w:rPr>
  </w:style>
  <w:style w:type="paragraph" w:styleId="CommentText">
    <w:name w:val="annotation text"/>
    <w:basedOn w:val="Normal"/>
    <w:link w:val="CommentTextChar"/>
    <w:uiPriority w:val="99"/>
    <w:semiHidden/>
    <w:unhideWhenUsed/>
    <w:rsid w:val="000D3940"/>
    <w:rPr>
      <w:sz w:val="20"/>
      <w:szCs w:val="20"/>
    </w:rPr>
  </w:style>
  <w:style w:type="character" w:customStyle="1" w:styleId="CommentTextChar">
    <w:name w:val="Comment Text Char"/>
    <w:basedOn w:val="DefaultParagraphFont"/>
    <w:link w:val="CommentText"/>
    <w:uiPriority w:val="99"/>
    <w:semiHidden/>
    <w:rsid w:val="000D3940"/>
    <w:rPr>
      <w:sz w:val="20"/>
      <w:szCs w:val="20"/>
    </w:rPr>
  </w:style>
  <w:style w:type="paragraph" w:styleId="CommentSubject">
    <w:name w:val="annotation subject"/>
    <w:basedOn w:val="CommentText"/>
    <w:next w:val="CommentText"/>
    <w:link w:val="CommentSubjectChar"/>
    <w:uiPriority w:val="99"/>
    <w:semiHidden/>
    <w:unhideWhenUsed/>
    <w:rsid w:val="000D3940"/>
    <w:rPr>
      <w:b/>
      <w:bCs/>
    </w:rPr>
  </w:style>
  <w:style w:type="character" w:customStyle="1" w:styleId="CommentSubjectChar">
    <w:name w:val="Comment Subject Char"/>
    <w:basedOn w:val="CommentTextChar"/>
    <w:link w:val="CommentSubject"/>
    <w:uiPriority w:val="99"/>
    <w:semiHidden/>
    <w:rsid w:val="000D3940"/>
    <w:rPr>
      <w:b/>
      <w:bCs/>
      <w:sz w:val="20"/>
      <w:szCs w:val="20"/>
    </w:rPr>
  </w:style>
  <w:style w:type="character" w:styleId="Emphasis">
    <w:name w:val="Emphasis"/>
    <w:basedOn w:val="DefaultParagraphFont"/>
    <w:uiPriority w:val="20"/>
    <w:qFormat/>
    <w:rsid w:val="00C50527"/>
    <w:rPr>
      <w:i/>
      <w:iCs/>
    </w:rPr>
  </w:style>
  <w:style w:type="character" w:styleId="FollowedHyperlink">
    <w:name w:val="FollowedHyperlink"/>
    <w:basedOn w:val="DefaultParagraphFont"/>
    <w:uiPriority w:val="99"/>
    <w:semiHidden/>
    <w:unhideWhenUsed/>
    <w:rsid w:val="00364F58"/>
    <w:rPr>
      <w:color w:val="954F72" w:themeColor="followedHyperlink"/>
      <w:u w:val="single"/>
    </w:rPr>
  </w:style>
  <w:style w:type="paragraph" w:styleId="Bibliography">
    <w:name w:val="Bibliography"/>
    <w:basedOn w:val="Normal"/>
    <w:next w:val="Normal"/>
    <w:uiPriority w:val="37"/>
    <w:unhideWhenUsed/>
    <w:rsid w:val="00B77185"/>
    <w:pPr>
      <w:tabs>
        <w:tab w:val="left" w:pos="380"/>
      </w:tabs>
      <w:spacing w:after="240"/>
      <w:ind w:left="384" w:hanging="384"/>
    </w:pPr>
  </w:style>
  <w:style w:type="paragraph" w:styleId="Revision">
    <w:name w:val="Revision"/>
    <w:hidden/>
    <w:uiPriority w:val="99"/>
    <w:semiHidden/>
    <w:rsid w:val="00B259D7"/>
  </w:style>
  <w:style w:type="paragraph" w:styleId="ListParagraph">
    <w:name w:val="List Paragraph"/>
    <w:basedOn w:val="Normal"/>
    <w:uiPriority w:val="34"/>
    <w:qFormat/>
    <w:rsid w:val="00B54C8F"/>
    <w:pPr>
      <w:ind w:left="720"/>
      <w:contextualSpacing/>
    </w:pPr>
  </w:style>
  <w:style w:type="paragraph" w:customStyle="1" w:styleId="EndNoteBibliographyTitle">
    <w:name w:val="EndNote Bibliography Title"/>
    <w:basedOn w:val="Normal"/>
    <w:link w:val="EndNoteBibliographyTitleChar"/>
    <w:rsid w:val="006C7B12"/>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6C7B12"/>
    <w:rPr>
      <w:rFonts w:ascii="Calibri" w:hAnsi="Calibri" w:cs="Calibri"/>
      <w:lang w:val="en-US"/>
    </w:rPr>
  </w:style>
  <w:style w:type="paragraph" w:customStyle="1" w:styleId="EndNoteBibliography">
    <w:name w:val="EndNote Bibliography"/>
    <w:basedOn w:val="Normal"/>
    <w:link w:val="EndNoteBibliographyChar"/>
    <w:rsid w:val="006C7B12"/>
    <w:pPr>
      <w:jc w:val="both"/>
    </w:pPr>
    <w:rPr>
      <w:rFonts w:ascii="Calibri" w:hAnsi="Calibri" w:cs="Calibri"/>
    </w:rPr>
  </w:style>
  <w:style w:type="character" w:customStyle="1" w:styleId="EndNoteBibliographyChar">
    <w:name w:val="EndNote Bibliography Char"/>
    <w:basedOn w:val="DefaultParagraphFont"/>
    <w:link w:val="EndNoteBibliography"/>
    <w:rsid w:val="006C7B12"/>
    <w:rPr>
      <w:rFonts w:ascii="Calibri" w:hAnsi="Calibri" w:cs="Calibri"/>
      <w:lang w:val="en-US"/>
    </w:rPr>
  </w:style>
  <w:style w:type="paragraph" w:styleId="FootnoteText">
    <w:name w:val="footnote text"/>
    <w:basedOn w:val="Normal"/>
    <w:link w:val="FootnoteTextChar"/>
    <w:uiPriority w:val="99"/>
    <w:semiHidden/>
    <w:unhideWhenUsed/>
    <w:rsid w:val="000F5ADD"/>
    <w:rPr>
      <w:sz w:val="20"/>
      <w:szCs w:val="20"/>
    </w:rPr>
  </w:style>
  <w:style w:type="character" w:customStyle="1" w:styleId="FootnoteTextChar">
    <w:name w:val="Footnote Text Char"/>
    <w:basedOn w:val="DefaultParagraphFont"/>
    <w:link w:val="FootnoteText"/>
    <w:uiPriority w:val="99"/>
    <w:semiHidden/>
    <w:rsid w:val="000F5ADD"/>
    <w:rPr>
      <w:sz w:val="20"/>
      <w:szCs w:val="20"/>
    </w:rPr>
  </w:style>
  <w:style w:type="character" w:styleId="FootnoteReference">
    <w:name w:val="footnote reference"/>
    <w:basedOn w:val="DefaultParagraphFont"/>
    <w:uiPriority w:val="99"/>
    <w:semiHidden/>
    <w:unhideWhenUsed/>
    <w:rsid w:val="000F5ADD"/>
    <w:rPr>
      <w:vertAlign w:val="superscript"/>
    </w:rPr>
  </w:style>
  <w:style w:type="paragraph" w:styleId="Footer">
    <w:name w:val="footer"/>
    <w:basedOn w:val="Normal"/>
    <w:link w:val="FooterChar"/>
    <w:uiPriority w:val="99"/>
    <w:unhideWhenUsed/>
    <w:rsid w:val="000936EC"/>
    <w:pPr>
      <w:tabs>
        <w:tab w:val="center" w:pos="4680"/>
        <w:tab w:val="right" w:pos="9360"/>
      </w:tabs>
    </w:pPr>
  </w:style>
  <w:style w:type="character" w:customStyle="1" w:styleId="FooterChar">
    <w:name w:val="Footer Char"/>
    <w:basedOn w:val="DefaultParagraphFont"/>
    <w:link w:val="Footer"/>
    <w:uiPriority w:val="99"/>
    <w:rsid w:val="000936EC"/>
  </w:style>
  <w:style w:type="character" w:styleId="PageNumber">
    <w:name w:val="page number"/>
    <w:basedOn w:val="DefaultParagraphFont"/>
    <w:uiPriority w:val="99"/>
    <w:semiHidden/>
    <w:unhideWhenUsed/>
    <w:rsid w:val="000936EC"/>
  </w:style>
  <w:style w:type="paragraph" w:styleId="Header">
    <w:name w:val="header"/>
    <w:basedOn w:val="Normal"/>
    <w:link w:val="HeaderChar"/>
    <w:uiPriority w:val="99"/>
    <w:unhideWhenUsed/>
    <w:rsid w:val="000936EC"/>
    <w:pPr>
      <w:tabs>
        <w:tab w:val="center" w:pos="4680"/>
        <w:tab w:val="right" w:pos="9360"/>
      </w:tabs>
    </w:pPr>
  </w:style>
  <w:style w:type="character" w:customStyle="1" w:styleId="HeaderChar">
    <w:name w:val="Header Char"/>
    <w:basedOn w:val="DefaultParagraphFont"/>
    <w:link w:val="Header"/>
    <w:uiPriority w:val="99"/>
    <w:rsid w:val="00093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275">
      <w:bodyDiv w:val="1"/>
      <w:marLeft w:val="0"/>
      <w:marRight w:val="0"/>
      <w:marTop w:val="0"/>
      <w:marBottom w:val="0"/>
      <w:divBdr>
        <w:top w:val="none" w:sz="0" w:space="0" w:color="auto"/>
        <w:left w:val="none" w:sz="0" w:space="0" w:color="auto"/>
        <w:bottom w:val="none" w:sz="0" w:space="0" w:color="auto"/>
        <w:right w:val="none" w:sz="0" w:space="0" w:color="auto"/>
      </w:divBdr>
    </w:div>
    <w:div w:id="91633657">
      <w:bodyDiv w:val="1"/>
      <w:marLeft w:val="0"/>
      <w:marRight w:val="0"/>
      <w:marTop w:val="0"/>
      <w:marBottom w:val="0"/>
      <w:divBdr>
        <w:top w:val="none" w:sz="0" w:space="0" w:color="auto"/>
        <w:left w:val="none" w:sz="0" w:space="0" w:color="auto"/>
        <w:bottom w:val="none" w:sz="0" w:space="0" w:color="auto"/>
        <w:right w:val="none" w:sz="0" w:space="0" w:color="auto"/>
      </w:divBdr>
    </w:div>
    <w:div w:id="132675480">
      <w:bodyDiv w:val="1"/>
      <w:marLeft w:val="0"/>
      <w:marRight w:val="0"/>
      <w:marTop w:val="0"/>
      <w:marBottom w:val="0"/>
      <w:divBdr>
        <w:top w:val="none" w:sz="0" w:space="0" w:color="auto"/>
        <w:left w:val="none" w:sz="0" w:space="0" w:color="auto"/>
        <w:bottom w:val="none" w:sz="0" w:space="0" w:color="auto"/>
        <w:right w:val="none" w:sz="0" w:space="0" w:color="auto"/>
      </w:divBdr>
    </w:div>
    <w:div w:id="146090488">
      <w:bodyDiv w:val="1"/>
      <w:marLeft w:val="0"/>
      <w:marRight w:val="0"/>
      <w:marTop w:val="0"/>
      <w:marBottom w:val="0"/>
      <w:divBdr>
        <w:top w:val="none" w:sz="0" w:space="0" w:color="auto"/>
        <w:left w:val="none" w:sz="0" w:space="0" w:color="auto"/>
        <w:bottom w:val="none" w:sz="0" w:space="0" w:color="auto"/>
        <w:right w:val="none" w:sz="0" w:space="0" w:color="auto"/>
      </w:divBdr>
    </w:div>
    <w:div w:id="146214566">
      <w:bodyDiv w:val="1"/>
      <w:marLeft w:val="0"/>
      <w:marRight w:val="0"/>
      <w:marTop w:val="0"/>
      <w:marBottom w:val="0"/>
      <w:divBdr>
        <w:top w:val="none" w:sz="0" w:space="0" w:color="auto"/>
        <w:left w:val="none" w:sz="0" w:space="0" w:color="auto"/>
        <w:bottom w:val="none" w:sz="0" w:space="0" w:color="auto"/>
        <w:right w:val="none" w:sz="0" w:space="0" w:color="auto"/>
      </w:divBdr>
      <w:divsChild>
        <w:div w:id="1832060984">
          <w:marLeft w:val="0"/>
          <w:marRight w:val="0"/>
          <w:marTop w:val="0"/>
          <w:marBottom w:val="0"/>
          <w:divBdr>
            <w:top w:val="single" w:sz="2" w:space="0" w:color="D9D9E3"/>
            <w:left w:val="single" w:sz="2" w:space="0" w:color="D9D9E3"/>
            <w:bottom w:val="single" w:sz="2" w:space="0" w:color="D9D9E3"/>
            <w:right w:val="single" w:sz="2" w:space="0" w:color="D9D9E3"/>
          </w:divBdr>
          <w:divsChild>
            <w:div w:id="45494595">
              <w:marLeft w:val="0"/>
              <w:marRight w:val="0"/>
              <w:marTop w:val="0"/>
              <w:marBottom w:val="0"/>
              <w:divBdr>
                <w:top w:val="single" w:sz="2" w:space="0" w:color="D9D9E3"/>
                <w:left w:val="single" w:sz="2" w:space="0" w:color="D9D9E3"/>
                <w:bottom w:val="single" w:sz="2" w:space="0" w:color="D9D9E3"/>
                <w:right w:val="single" w:sz="2" w:space="0" w:color="D9D9E3"/>
              </w:divBdr>
              <w:divsChild>
                <w:div w:id="1455097469">
                  <w:marLeft w:val="0"/>
                  <w:marRight w:val="0"/>
                  <w:marTop w:val="0"/>
                  <w:marBottom w:val="0"/>
                  <w:divBdr>
                    <w:top w:val="single" w:sz="2" w:space="0" w:color="D9D9E3"/>
                    <w:left w:val="single" w:sz="2" w:space="0" w:color="D9D9E3"/>
                    <w:bottom w:val="single" w:sz="2" w:space="0" w:color="D9D9E3"/>
                    <w:right w:val="single" w:sz="2" w:space="0" w:color="D9D9E3"/>
                  </w:divBdr>
                  <w:divsChild>
                    <w:div w:id="1022903440">
                      <w:marLeft w:val="0"/>
                      <w:marRight w:val="0"/>
                      <w:marTop w:val="0"/>
                      <w:marBottom w:val="0"/>
                      <w:divBdr>
                        <w:top w:val="single" w:sz="2" w:space="0" w:color="D9D9E3"/>
                        <w:left w:val="single" w:sz="2" w:space="0" w:color="D9D9E3"/>
                        <w:bottom w:val="single" w:sz="2" w:space="0" w:color="D9D9E3"/>
                        <w:right w:val="single" w:sz="2" w:space="0" w:color="D9D9E3"/>
                      </w:divBdr>
                      <w:divsChild>
                        <w:div w:id="498153547">
                          <w:marLeft w:val="0"/>
                          <w:marRight w:val="0"/>
                          <w:marTop w:val="0"/>
                          <w:marBottom w:val="0"/>
                          <w:divBdr>
                            <w:top w:val="single" w:sz="2" w:space="0" w:color="auto"/>
                            <w:left w:val="single" w:sz="2" w:space="0" w:color="auto"/>
                            <w:bottom w:val="single" w:sz="6" w:space="0" w:color="auto"/>
                            <w:right w:val="single" w:sz="2" w:space="0" w:color="auto"/>
                          </w:divBdr>
                          <w:divsChild>
                            <w:div w:id="1375159038">
                              <w:marLeft w:val="0"/>
                              <w:marRight w:val="0"/>
                              <w:marTop w:val="100"/>
                              <w:marBottom w:val="100"/>
                              <w:divBdr>
                                <w:top w:val="single" w:sz="2" w:space="0" w:color="D9D9E3"/>
                                <w:left w:val="single" w:sz="2" w:space="0" w:color="D9D9E3"/>
                                <w:bottom w:val="single" w:sz="2" w:space="0" w:color="D9D9E3"/>
                                <w:right w:val="single" w:sz="2" w:space="0" w:color="D9D9E3"/>
                              </w:divBdr>
                              <w:divsChild>
                                <w:div w:id="1728921093">
                                  <w:marLeft w:val="0"/>
                                  <w:marRight w:val="0"/>
                                  <w:marTop w:val="0"/>
                                  <w:marBottom w:val="0"/>
                                  <w:divBdr>
                                    <w:top w:val="single" w:sz="2" w:space="0" w:color="D9D9E3"/>
                                    <w:left w:val="single" w:sz="2" w:space="0" w:color="D9D9E3"/>
                                    <w:bottom w:val="single" w:sz="2" w:space="0" w:color="D9D9E3"/>
                                    <w:right w:val="single" w:sz="2" w:space="0" w:color="D9D9E3"/>
                                  </w:divBdr>
                                  <w:divsChild>
                                    <w:div w:id="2096851384">
                                      <w:marLeft w:val="0"/>
                                      <w:marRight w:val="0"/>
                                      <w:marTop w:val="0"/>
                                      <w:marBottom w:val="0"/>
                                      <w:divBdr>
                                        <w:top w:val="single" w:sz="2" w:space="0" w:color="D9D9E3"/>
                                        <w:left w:val="single" w:sz="2" w:space="0" w:color="D9D9E3"/>
                                        <w:bottom w:val="single" w:sz="2" w:space="0" w:color="D9D9E3"/>
                                        <w:right w:val="single" w:sz="2" w:space="0" w:color="D9D9E3"/>
                                      </w:divBdr>
                                      <w:divsChild>
                                        <w:div w:id="638919549">
                                          <w:marLeft w:val="0"/>
                                          <w:marRight w:val="0"/>
                                          <w:marTop w:val="0"/>
                                          <w:marBottom w:val="0"/>
                                          <w:divBdr>
                                            <w:top w:val="single" w:sz="2" w:space="0" w:color="D9D9E3"/>
                                            <w:left w:val="single" w:sz="2" w:space="0" w:color="D9D9E3"/>
                                            <w:bottom w:val="single" w:sz="2" w:space="0" w:color="D9D9E3"/>
                                            <w:right w:val="single" w:sz="2" w:space="0" w:color="D9D9E3"/>
                                          </w:divBdr>
                                          <w:divsChild>
                                            <w:div w:id="2958376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71495242">
          <w:marLeft w:val="0"/>
          <w:marRight w:val="0"/>
          <w:marTop w:val="0"/>
          <w:marBottom w:val="0"/>
          <w:divBdr>
            <w:top w:val="none" w:sz="0" w:space="0" w:color="auto"/>
            <w:left w:val="none" w:sz="0" w:space="0" w:color="auto"/>
            <w:bottom w:val="none" w:sz="0" w:space="0" w:color="auto"/>
            <w:right w:val="none" w:sz="0" w:space="0" w:color="auto"/>
          </w:divBdr>
          <w:divsChild>
            <w:div w:id="487941375">
              <w:marLeft w:val="0"/>
              <w:marRight w:val="0"/>
              <w:marTop w:val="0"/>
              <w:marBottom w:val="0"/>
              <w:divBdr>
                <w:top w:val="single" w:sz="2" w:space="0" w:color="D9D9E3"/>
                <w:left w:val="single" w:sz="2" w:space="0" w:color="D9D9E3"/>
                <w:bottom w:val="single" w:sz="2" w:space="0" w:color="D9D9E3"/>
                <w:right w:val="single" w:sz="2" w:space="0" w:color="D9D9E3"/>
              </w:divBdr>
              <w:divsChild>
                <w:div w:id="1135559088">
                  <w:marLeft w:val="0"/>
                  <w:marRight w:val="0"/>
                  <w:marTop w:val="0"/>
                  <w:marBottom w:val="0"/>
                  <w:divBdr>
                    <w:top w:val="single" w:sz="2" w:space="0" w:color="D9D9E3"/>
                    <w:left w:val="single" w:sz="2" w:space="0" w:color="D9D9E3"/>
                    <w:bottom w:val="single" w:sz="2" w:space="0" w:color="D9D9E3"/>
                    <w:right w:val="single" w:sz="2" w:space="0" w:color="D9D9E3"/>
                  </w:divBdr>
                  <w:divsChild>
                    <w:div w:id="11922584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4732994">
      <w:bodyDiv w:val="1"/>
      <w:marLeft w:val="0"/>
      <w:marRight w:val="0"/>
      <w:marTop w:val="0"/>
      <w:marBottom w:val="0"/>
      <w:divBdr>
        <w:top w:val="none" w:sz="0" w:space="0" w:color="auto"/>
        <w:left w:val="none" w:sz="0" w:space="0" w:color="auto"/>
        <w:bottom w:val="none" w:sz="0" w:space="0" w:color="auto"/>
        <w:right w:val="none" w:sz="0" w:space="0" w:color="auto"/>
      </w:divBdr>
    </w:div>
    <w:div w:id="197548922">
      <w:bodyDiv w:val="1"/>
      <w:marLeft w:val="0"/>
      <w:marRight w:val="0"/>
      <w:marTop w:val="0"/>
      <w:marBottom w:val="0"/>
      <w:divBdr>
        <w:top w:val="none" w:sz="0" w:space="0" w:color="auto"/>
        <w:left w:val="none" w:sz="0" w:space="0" w:color="auto"/>
        <w:bottom w:val="none" w:sz="0" w:space="0" w:color="auto"/>
        <w:right w:val="none" w:sz="0" w:space="0" w:color="auto"/>
      </w:divBdr>
    </w:div>
    <w:div w:id="231932131">
      <w:bodyDiv w:val="1"/>
      <w:marLeft w:val="0"/>
      <w:marRight w:val="0"/>
      <w:marTop w:val="0"/>
      <w:marBottom w:val="0"/>
      <w:divBdr>
        <w:top w:val="none" w:sz="0" w:space="0" w:color="auto"/>
        <w:left w:val="none" w:sz="0" w:space="0" w:color="auto"/>
        <w:bottom w:val="none" w:sz="0" w:space="0" w:color="auto"/>
        <w:right w:val="none" w:sz="0" w:space="0" w:color="auto"/>
      </w:divBdr>
      <w:divsChild>
        <w:div w:id="763234578">
          <w:marLeft w:val="0"/>
          <w:marRight w:val="0"/>
          <w:marTop w:val="0"/>
          <w:marBottom w:val="0"/>
          <w:divBdr>
            <w:top w:val="none" w:sz="0" w:space="0" w:color="auto"/>
            <w:left w:val="none" w:sz="0" w:space="0" w:color="auto"/>
            <w:bottom w:val="none" w:sz="0" w:space="0" w:color="auto"/>
            <w:right w:val="none" w:sz="0" w:space="0" w:color="auto"/>
          </w:divBdr>
          <w:divsChild>
            <w:div w:id="961616452">
              <w:marLeft w:val="0"/>
              <w:marRight w:val="0"/>
              <w:marTop w:val="0"/>
              <w:marBottom w:val="0"/>
              <w:divBdr>
                <w:top w:val="none" w:sz="0" w:space="0" w:color="auto"/>
                <w:left w:val="none" w:sz="0" w:space="0" w:color="auto"/>
                <w:bottom w:val="none" w:sz="0" w:space="0" w:color="auto"/>
                <w:right w:val="none" w:sz="0" w:space="0" w:color="auto"/>
              </w:divBdr>
              <w:divsChild>
                <w:div w:id="8486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12786">
      <w:bodyDiv w:val="1"/>
      <w:marLeft w:val="0"/>
      <w:marRight w:val="0"/>
      <w:marTop w:val="0"/>
      <w:marBottom w:val="0"/>
      <w:divBdr>
        <w:top w:val="none" w:sz="0" w:space="0" w:color="auto"/>
        <w:left w:val="none" w:sz="0" w:space="0" w:color="auto"/>
        <w:bottom w:val="none" w:sz="0" w:space="0" w:color="auto"/>
        <w:right w:val="none" w:sz="0" w:space="0" w:color="auto"/>
      </w:divBdr>
    </w:div>
    <w:div w:id="311180522">
      <w:bodyDiv w:val="1"/>
      <w:marLeft w:val="0"/>
      <w:marRight w:val="0"/>
      <w:marTop w:val="0"/>
      <w:marBottom w:val="0"/>
      <w:divBdr>
        <w:top w:val="none" w:sz="0" w:space="0" w:color="auto"/>
        <w:left w:val="none" w:sz="0" w:space="0" w:color="auto"/>
        <w:bottom w:val="none" w:sz="0" w:space="0" w:color="auto"/>
        <w:right w:val="none" w:sz="0" w:space="0" w:color="auto"/>
      </w:divBdr>
    </w:div>
    <w:div w:id="320431799">
      <w:bodyDiv w:val="1"/>
      <w:marLeft w:val="0"/>
      <w:marRight w:val="0"/>
      <w:marTop w:val="0"/>
      <w:marBottom w:val="0"/>
      <w:divBdr>
        <w:top w:val="none" w:sz="0" w:space="0" w:color="auto"/>
        <w:left w:val="none" w:sz="0" w:space="0" w:color="auto"/>
        <w:bottom w:val="none" w:sz="0" w:space="0" w:color="auto"/>
        <w:right w:val="none" w:sz="0" w:space="0" w:color="auto"/>
      </w:divBdr>
    </w:div>
    <w:div w:id="345445762">
      <w:bodyDiv w:val="1"/>
      <w:marLeft w:val="0"/>
      <w:marRight w:val="0"/>
      <w:marTop w:val="0"/>
      <w:marBottom w:val="0"/>
      <w:divBdr>
        <w:top w:val="none" w:sz="0" w:space="0" w:color="auto"/>
        <w:left w:val="none" w:sz="0" w:space="0" w:color="auto"/>
        <w:bottom w:val="none" w:sz="0" w:space="0" w:color="auto"/>
        <w:right w:val="none" w:sz="0" w:space="0" w:color="auto"/>
      </w:divBdr>
    </w:div>
    <w:div w:id="349457341">
      <w:bodyDiv w:val="1"/>
      <w:marLeft w:val="0"/>
      <w:marRight w:val="0"/>
      <w:marTop w:val="0"/>
      <w:marBottom w:val="0"/>
      <w:divBdr>
        <w:top w:val="none" w:sz="0" w:space="0" w:color="auto"/>
        <w:left w:val="none" w:sz="0" w:space="0" w:color="auto"/>
        <w:bottom w:val="none" w:sz="0" w:space="0" w:color="auto"/>
        <w:right w:val="none" w:sz="0" w:space="0" w:color="auto"/>
      </w:divBdr>
    </w:div>
    <w:div w:id="404374926">
      <w:bodyDiv w:val="1"/>
      <w:marLeft w:val="0"/>
      <w:marRight w:val="0"/>
      <w:marTop w:val="0"/>
      <w:marBottom w:val="0"/>
      <w:divBdr>
        <w:top w:val="none" w:sz="0" w:space="0" w:color="auto"/>
        <w:left w:val="none" w:sz="0" w:space="0" w:color="auto"/>
        <w:bottom w:val="none" w:sz="0" w:space="0" w:color="auto"/>
        <w:right w:val="none" w:sz="0" w:space="0" w:color="auto"/>
      </w:divBdr>
    </w:div>
    <w:div w:id="409474641">
      <w:bodyDiv w:val="1"/>
      <w:marLeft w:val="0"/>
      <w:marRight w:val="0"/>
      <w:marTop w:val="0"/>
      <w:marBottom w:val="0"/>
      <w:divBdr>
        <w:top w:val="none" w:sz="0" w:space="0" w:color="auto"/>
        <w:left w:val="none" w:sz="0" w:space="0" w:color="auto"/>
        <w:bottom w:val="none" w:sz="0" w:space="0" w:color="auto"/>
        <w:right w:val="none" w:sz="0" w:space="0" w:color="auto"/>
      </w:divBdr>
    </w:div>
    <w:div w:id="551766846">
      <w:bodyDiv w:val="1"/>
      <w:marLeft w:val="0"/>
      <w:marRight w:val="0"/>
      <w:marTop w:val="0"/>
      <w:marBottom w:val="0"/>
      <w:divBdr>
        <w:top w:val="none" w:sz="0" w:space="0" w:color="auto"/>
        <w:left w:val="none" w:sz="0" w:space="0" w:color="auto"/>
        <w:bottom w:val="none" w:sz="0" w:space="0" w:color="auto"/>
        <w:right w:val="none" w:sz="0" w:space="0" w:color="auto"/>
      </w:divBdr>
    </w:div>
    <w:div w:id="562642326">
      <w:bodyDiv w:val="1"/>
      <w:marLeft w:val="0"/>
      <w:marRight w:val="0"/>
      <w:marTop w:val="0"/>
      <w:marBottom w:val="0"/>
      <w:divBdr>
        <w:top w:val="none" w:sz="0" w:space="0" w:color="auto"/>
        <w:left w:val="none" w:sz="0" w:space="0" w:color="auto"/>
        <w:bottom w:val="none" w:sz="0" w:space="0" w:color="auto"/>
        <w:right w:val="none" w:sz="0" w:space="0" w:color="auto"/>
      </w:divBdr>
    </w:div>
    <w:div w:id="643704479">
      <w:bodyDiv w:val="1"/>
      <w:marLeft w:val="0"/>
      <w:marRight w:val="0"/>
      <w:marTop w:val="0"/>
      <w:marBottom w:val="0"/>
      <w:divBdr>
        <w:top w:val="none" w:sz="0" w:space="0" w:color="auto"/>
        <w:left w:val="none" w:sz="0" w:space="0" w:color="auto"/>
        <w:bottom w:val="none" w:sz="0" w:space="0" w:color="auto"/>
        <w:right w:val="none" w:sz="0" w:space="0" w:color="auto"/>
      </w:divBdr>
    </w:div>
    <w:div w:id="655374674">
      <w:bodyDiv w:val="1"/>
      <w:marLeft w:val="0"/>
      <w:marRight w:val="0"/>
      <w:marTop w:val="0"/>
      <w:marBottom w:val="0"/>
      <w:divBdr>
        <w:top w:val="none" w:sz="0" w:space="0" w:color="auto"/>
        <w:left w:val="none" w:sz="0" w:space="0" w:color="auto"/>
        <w:bottom w:val="none" w:sz="0" w:space="0" w:color="auto"/>
        <w:right w:val="none" w:sz="0" w:space="0" w:color="auto"/>
      </w:divBdr>
    </w:div>
    <w:div w:id="849565503">
      <w:bodyDiv w:val="1"/>
      <w:marLeft w:val="0"/>
      <w:marRight w:val="0"/>
      <w:marTop w:val="0"/>
      <w:marBottom w:val="0"/>
      <w:divBdr>
        <w:top w:val="none" w:sz="0" w:space="0" w:color="auto"/>
        <w:left w:val="none" w:sz="0" w:space="0" w:color="auto"/>
        <w:bottom w:val="none" w:sz="0" w:space="0" w:color="auto"/>
        <w:right w:val="none" w:sz="0" w:space="0" w:color="auto"/>
      </w:divBdr>
    </w:div>
    <w:div w:id="921371993">
      <w:bodyDiv w:val="1"/>
      <w:marLeft w:val="0"/>
      <w:marRight w:val="0"/>
      <w:marTop w:val="0"/>
      <w:marBottom w:val="0"/>
      <w:divBdr>
        <w:top w:val="none" w:sz="0" w:space="0" w:color="auto"/>
        <w:left w:val="none" w:sz="0" w:space="0" w:color="auto"/>
        <w:bottom w:val="none" w:sz="0" w:space="0" w:color="auto"/>
        <w:right w:val="none" w:sz="0" w:space="0" w:color="auto"/>
      </w:divBdr>
    </w:div>
    <w:div w:id="927150638">
      <w:bodyDiv w:val="1"/>
      <w:marLeft w:val="0"/>
      <w:marRight w:val="0"/>
      <w:marTop w:val="0"/>
      <w:marBottom w:val="0"/>
      <w:divBdr>
        <w:top w:val="none" w:sz="0" w:space="0" w:color="auto"/>
        <w:left w:val="none" w:sz="0" w:space="0" w:color="auto"/>
        <w:bottom w:val="none" w:sz="0" w:space="0" w:color="auto"/>
        <w:right w:val="none" w:sz="0" w:space="0" w:color="auto"/>
      </w:divBdr>
    </w:div>
    <w:div w:id="935677385">
      <w:bodyDiv w:val="1"/>
      <w:marLeft w:val="0"/>
      <w:marRight w:val="0"/>
      <w:marTop w:val="0"/>
      <w:marBottom w:val="0"/>
      <w:divBdr>
        <w:top w:val="none" w:sz="0" w:space="0" w:color="auto"/>
        <w:left w:val="none" w:sz="0" w:space="0" w:color="auto"/>
        <w:bottom w:val="none" w:sz="0" w:space="0" w:color="auto"/>
        <w:right w:val="none" w:sz="0" w:space="0" w:color="auto"/>
      </w:divBdr>
    </w:div>
    <w:div w:id="936908384">
      <w:bodyDiv w:val="1"/>
      <w:marLeft w:val="0"/>
      <w:marRight w:val="0"/>
      <w:marTop w:val="0"/>
      <w:marBottom w:val="0"/>
      <w:divBdr>
        <w:top w:val="none" w:sz="0" w:space="0" w:color="auto"/>
        <w:left w:val="none" w:sz="0" w:space="0" w:color="auto"/>
        <w:bottom w:val="none" w:sz="0" w:space="0" w:color="auto"/>
        <w:right w:val="none" w:sz="0" w:space="0" w:color="auto"/>
      </w:divBdr>
    </w:div>
    <w:div w:id="966739948">
      <w:bodyDiv w:val="1"/>
      <w:marLeft w:val="0"/>
      <w:marRight w:val="0"/>
      <w:marTop w:val="0"/>
      <w:marBottom w:val="0"/>
      <w:divBdr>
        <w:top w:val="none" w:sz="0" w:space="0" w:color="auto"/>
        <w:left w:val="none" w:sz="0" w:space="0" w:color="auto"/>
        <w:bottom w:val="none" w:sz="0" w:space="0" w:color="auto"/>
        <w:right w:val="none" w:sz="0" w:space="0" w:color="auto"/>
      </w:divBdr>
    </w:div>
    <w:div w:id="981352301">
      <w:bodyDiv w:val="1"/>
      <w:marLeft w:val="0"/>
      <w:marRight w:val="0"/>
      <w:marTop w:val="0"/>
      <w:marBottom w:val="0"/>
      <w:divBdr>
        <w:top w:val="none" w:sz="0" w:space="0" w:color="auto"/>
        <w:left w:val="none" w:sz="0" w:space="0" w:color="auto"/>
        <w:bottom w:val="none" w:sz="0" w:space="0" w:color="auto"/>
        <w:right w:val="none" w:sz="0" w:space="0" w:color="auto"/>
      </w:divBdr>
    </w:div>
    <w:div w:id="1063678018">
      <w:bodyDiv w:val="1"/>
      <w:marLeft w:val="0"/>
      <w:marRight w:val="0"/>
      <w:marTop w:val="0"/>
      <w:marBottom w:val="0"/>
      <w:divBdr>
        <w:top w:val="none" w:sz="0" w:space="0" w:color="auto"/>
        <w:left w:val="none" w:sz="0" w:space="0" w:color="auto"/>
        <w:bottom w:val="none" w:sz="0" w:space="0" w:color="auto"/>
        <w:right w:val="none" w:sz="0" w:space="0" w:color="auto"/>
      </w:divBdr>
    </w:div>
    <w:div w:id="1112482577">
      <w:bodyDiv w:val="1"/>
      <w:marLeft w:val="0"/>
      <w:marRight w:val="0"/>
      <w:marTop w:val="0"/>
      <w:marBottom w:val="0"/>
      <w:divBdr>
        <w:top w:val="none" w:sz="0" w:space="0" w:color="auto"/>
        <w:left w:val="none" w:sz="0" w:space="0" w:color="auto"/>
        <w:bottom w:val="none" w:sz="0" w:space="0" w:color="auto"/>
        <w:right w:val="none" w:sz="0" w:space="0" w:color="auto"/>
      </w:divBdr>
    </w:div>
    <w:div w:id="1127503812">
      <w:bodyDiv w:val="1"/>
      <w:marLeft w:val="0"/>
      <w:marRight w:val="0"/>
      <w:marTop w:val="0"/>
      <w:marBottom w:val="0"/>
      <w:divBdr>
        <w:top w:val="none" w:sz="0" w:space="0" w:color="auto"/>
        <w:left w:val="none" w:sz="0" w:space="0" w:color="auto"/>
        <w:bottom w:val="none" w:sz="0" w:space="0" w:color="auto"/>
        <w:right w:val="none" w:sz="0" w:space="0" w:color="auto"/>
      </w:divBdr>
    </w:div>
    <w:div w:id="1159811443">
      <w:bodyDiv w:val="1"/>
      <w:marLeft w:val="0"/>
      <w:marRight w:val="0"/>
      <w:marTop w:val="0"/>
      <w:marBottom w:val="0"/>
      <w:divBdr>
        <w:top w:val="none" w:sz="0" w:space="0" w:color="auto"/>
        <w:left w:val="none" w:sz="0" w:space="0" w:color="auto"/>
        <w:bottom w:val="none" w:sz="0" w:space="0" w:color="auto"/>
        <w:right w:val="none" w:sz="0" w:space="0" w:color="auto"/>
      </w:divBdr>
    </w:div>
    <w:div w:id="1171867877">
      <w:bodyDiv w:val="1"/>
      <w:marLeft w:val="0"/>
      <w:marRight w:val="0"/>
      <w:marTop w:val="0"/>
      <w:marBottom w:val="0"/>
      <w:divBdr>
        <w:top w:val="none" w:sz="0" w:space="0" w:color="auto"/>
        <w:left w:val="none" w:sz="0" w:space="0" w:color="auto"/>
        <w:bottom w:val="none" w:sz="0" w:space="0" w:color="auto"/>
        <w:right w:val="none" w:sz="0" w:space="0" w:color="auto"/>
      </w:divBdr>
    </w:div>
    <w:div w:id="1214268319">
      <w:bodyDiv w:val="1"/>
      <w:marLeft w:val="0"/>
      <w:marRight w:val="0"/>
      <w:marTop w:val="0"/>
      <w:marBottom w:val="0"/>
      <w:divBdr>
        <w:top w:val="none" w:sz="0" w:space="0" w:color="auto"/>
        <w:left w:val="none" w:sz="0" w:space="0" w:color="auto"/>
        <w:bottom w:val="none" w:sz="0" w:space="0" w:color="auto"/>
        <w:right w:val="none" w:sz="0" w:space="0" w:color="auto"/>
      </w:divBdr>
    </w:div>
    <w:div w:id="1217813871">
      <w:bodyDiv w:val="1"/>
      <w:marLeft w:val="0"/>
      <w:marRight w:val="0"/>
      <w:marTop w:val="0"/>
      <w:marBottom w:val="0"/>
      <w:divBdr>
        <w:top w:val="none" w:sz="0" w:space="0" w:color="auto"/>
        <w:left w:val="none" w:sz="0" w:space="0" w:color="auto"/>
        <w:bottom w:val="none" w:sz="0" w:space="0" w:color="auto"/>
        <w:right w:val="none" w:sz="0" w:space="0" w:color="auto"/>
      </w:divBdr>
    </w:div>
    <w:div w:id="1284193123">
      <w:bodyDiv w:val="1"/>
      <w:marLeft w:val="0"/>
      <w:marRight w:val="0"/>
      <w:marTop w:val="0"/>
      <w:marBottom w:val="0"/>
      <w:divBdr>
        <w:top w:val="none" w:sz="0" w:space="0" w:color="auto"/>
        <w:left w:val="none" w:sz="0" w:space="0" w:color="auto"/>
        <w:bottom w:val="none" w:sz="0" w:space="0" w:color="auto"/>
        <w:right w:val="none" w:sz="0" w:space="0" w:color="auto"/>
      </w:divBdr>
    </w:div>
    <w:div w:id="1314412453">
      <w:bodyDiv w:val="1"/>
      <w:marLeft w:val="0"/>
      <w:marRight w:val="0"/>
      <w:marTop w:val="0"/>
      <w:marBottom w:val="0"/>
      <w:divBdr>
        <w:top w:val="none" w:sz="0" w:space="0" w:color="auto"/>
        <w:left w:val="none" w:sz="0" w:space="0" w:color="auto"/>
        <w:bottom w:val="none" w:sz="0" w:space="0" w:color="auto"/>
        <w:right w:val="none" w:sz="0" w:space="0" w:color="auto"/>
      </w:divBdr>
    </w:div>
    <w:div w:id="1351300876">
      <w:bodyDiv w:val="1"/>
      <w:marLeft w:val="0"/>
      <w:marRight w:val="0"/>
      <w:marTop w:val="0"/>
      <w:marBottom w:val="0"/>
      <w:divBdr>
        <w:top w:val="none" w:sz="0" w:space="0" w:color="auto"/>
        <w:left w:val="none" w:sz="0" w:space="0" w:color="auto"/>
        <w:bottom w:val="none" w:sz="0" w:space="0" w:color="auto"/>
        <w:right w:val="none" w:sz="0" w:space="0" w:color="auto"/>
      </w:divBdr>
    </w:div>
    <w:div w:id="1357348079">
      <w:bodyDiv w:val="1"/>
      <w:marLeft w:val="0"/>
      <w:marRight w:val="0"/>
      <w:marTop w:val="0"/>
      <w:marBottom w:val="0"/>
      <w:divBdr>
        <w:top w:val="none" w:sz="0" w:space="0" w:color="auto"/>
        <w:left w:val="none" w:sz="0" w:space="0" w:color="auto"/>
        <w:bottom w:val="none" w:sz="0" w:space="0" w:color="auto"/>
        <w:right w:val="none" w:sz="0" w:space="0" w:color="auto"/>
      </w:divBdr>
    </w:div>
    <w:div w:id="1372415869">
      <w:bodyDiv w:val="1"/>
      <w:marLeft w:val="0"/>
      <w:marRight w:val="0"/>
      <w:marTop w:val="0"/>
      <w:marBottom w:val="0"/>
      <w:divBdr>
        <w:top w:val="none" w:sz="0" w:space="0" w:color="auto"/>
        <w:left w:val="none" w:sz="0" w:space="0" w:color="auto"/>
        <w:bottom w:val="none" w:sz="0" w:space="0" w:color="auto"/>
        <w:right w:val="none" w:sz="0" w:space="0" w:color="auto"/>
      </w:divBdr>
    </w:div>
    <w:div w:id="1398094999">
      <w:bodyDiv w:val="1"/>
      <w:marLeft w:val="0"/>
      <w:marRight w:val="0"/>
      <w:marTop w:val="0"/>
      <w:marBottom w:val="0"/>
      <w:divBdr>
        <w:top w:val="none" w:sz="0" w:space="0" w:color="auto"/>
        <w:left w:val="none" w:sz="0" w:space="0" w:color="auto"/>
        <w:bottom w:val="none" w:sz="0" w:space="0" w:color="auto"/>
        <w:right w:val="none" w:sz="0" w:space="0" w:color="auto"/>
      </w:divBdr>
    </w:div>
    <w:div w:id="1408041857">
      <w:bodyDiv w:val="1"/>
      <w:marLeft w:val="0"/>
      <w:marRight w:val="0"/>
      <w:marTop w:val="0"/>
      <w:marBottom w:val="0"/>
      <w:divBdr>
        <w:top w:val="none" w:sz="0" w:space="0" w:color="auto"/>
        <w:left w:val="none" w:sz="0" w:space="0" w:color="auto"/>
        <w:bottom w:val="none" w:sz="0" w:space="0" w:color="auto"/>
        <w:right w:val="none" w:sz="0" w:space="0" w:color="auto"/>
      </w:divBdr>
    </w:div>
    <w:div w:id="1467045394">
      <w:bodyDiv w:val="1"/>
      <w:marLeft w:val="0"/>
      <w:marRight w:val="0"/>
      <w:marTop w:val="0"/>
      <w:marBottom w:val="0"/>
      <w:divBdr>
        <w:top w:val="none" w:sz="0" w:space="0" w:color="auto"/>
        <w:left w:val="none" w:sz="0" w:space="0" w:color="auto"/>
        <w:bottom w:val="none" w:sz="0" w:space="0" w:color="auto"/>
        <w:right w:val="none" w:sz="0" w:space="0" w:color="auto"/>
      </w:divBdr>
    </w:div>
    <w:div w:id="1515878107">
      <w:bodyDiv w:val="1"/>
      <w:marLeft w:val="0"/>
      <w:marRight w:val="0"/>
      <w:marTop w:val="0"/>
      <w:marBottom w:val="0"/>
      <w:divBdr>
        <w:top w:val="none" w:sz="0" w:space="0" w:color="auto"/>
        <w:left w:val="none" w:sz="0" w:space="0" w:color="auto"/>
        <w:bottom w:val="none" w:sz="0" w:space="0" w:color="auto"/>
        <w:right w:val="none" w:sz="0" w:space="0" w:color="auto"/>
      </w:divBdr>
    </w:div>
    <w:div w:id="1516841615">
      <w:bodyDiv w:val="1"/>
      <w:marLeft w:val="0"/>
      <w:marRight w:val="0"/>
      <w:marTop w:val="0"/>
      <w:marBottom w:val="0"/>
      <w:divBdr>
        <w:top w:val="none" w:sz="0" w:space="0" w:color="auto"/>
        <w:left w:val="none" w:sz="0" w:space="0" w:color="auto"/>
        <w:bottom w:val="none" w:sz="0" w:space="0" w:color="auto"/>
        <w:right w:val="none" w:sz="0" w:space="0" w:color="auto"/>
      </w:divBdr>
    </w:div>
    <w:div w:id="1537620383">
      <w:bodyDiv w:val="1"/>
      <w:marLeft w:val="0"/>
      <w:marRight w:val="0"/>
      <w:marTop w:val="0"/>
      <w:marBottom w:val="0"/>
      <w:divBdr>
        <w:top w:val="none" w:sz="0" w:space="0" w:color="auto"/>
        <w:left w:val="none" w:sz="0" w:space="0" w:color="auto"/>
        <w:bottom w:val="none" w:sz="0" w:space="0" w:color="auto"/>
        <w:right w:val="none" w:sz="0" w:space="0" w:color="auto"/>
      </w:divBdr>
    </w:div>
    <w:div w:id="1560095044">
      <w:bodyDiv w:val="1"/>
      <w:marLeft w:val="0"/>
      <w:marRight w:val="0"/>
      <w:marTop w:val="0"/>
      <w:marBottom w:val="0"/>
      <w:divBdr>
        <w:top w:val="none" w:sz="0" w:space="0" w:color="auto"/>
        <w:left w:val="none" w:sz="0" w:space="0" w:color="auto"/>
        <w:bottom w:val="none" w:sz="0" w:space="0" w:color="auto"/>
        <w:right w:val="none" w:sz="0" w:space="0" w:color="auto"/>
      </w:divBdr>
    </w:div>
    <w:div w:id="1577595041">
      <w:bodyDiv w:val="1"/>
      <w:marLeft w:val="0"/>
      <w:marRight w:val="0"/>
      <w:marTop w:val="0"/>
      <w:marBottom w:val="0"/>
      <w:divBdr>
        <w:top w:val="none" w:sz="0" w:space="0" w:color="auto"/>
        <w:left w:val="none" w:sz="0" w:space="0" w:color="auto"/>
        <w:bottom w:val="none" w:sz="0" w:space="0" w:color="auto"/>
        <w:right w:val="none" w:sz="0" w:space="0" w:color="auto"/>
      </w:divBdr>
    </w:div>
    <w:div w:id="1602300345">
      <w:bodyDiv w:val="1"/>
      <w:marLeft w:val="0"/>
      <w:marRight w:val="0"/>
      <w:marTop w:val="0"/>
      <w:marBottom w:val="0"/>
      <w:divBdr>
        <w:top w:val="none" w:sz="0" w:space="0" w:color="auto"/>
        <w:left w:val="none" w:sz="0" w:space="0" w:color="auto"/>
        <w:bottom w:val="none" w:sz="0" w:space="0" w:color="auto"/>
        <w:right w:val="none" w:sz="0" w:space="0" w:color="auto"/>
      </w:divBdr>
    </w:div>
    <w:div w:id="1625119881">
      <w:bodyDiv w:val="1"/>
      <w:marLeft w:val="0"/>
      <w:marRight w:val="0"/>
      <w:marTop w:val="0"/>
      <w:marBottom w:val="0"/>
      <w:divBdr>
        <w:top w:val="none" w:sz="0" w:space="0" w:color="auto"/>
        <w:left w:val="none" w:sz="0" w:space="0" w:color="auto"/>
        <w:bottom w:val="none" w:sz="0" w:space="0" w:color="auto"/>
        <w:right w:val="none" w:sz="0" w:space="0" w:color="auto"/>
      </w:divBdr>
    </w:div>
    <w:div w:id="1657950605">
      <w:bodyDiv w:val="1"/>
      <w:marLeft w:val="0"/>
      <w:marRight w:val="0"/>
      <w:marTop w:val="0"/>
      <w:marBottom w:val="0"/>
      <w:divBdr>
        <w:top w:val="none" w:sz="0" w:space="0" w:color="auto"/>
        <w:left w:val="none" w:sz="0" w:space="0" w:color="auto"/>
        <w:bottom w:val="none" w:sz="0" w:space="0" w:color="auto"/>
        <w:right w:val="none" w:sz="0" w:space="0" w:color="auto"/>
      </w:divBdr>
    </w:div>
    <w:div w:id="1676565906">
      <w:bodyDiv w:val="1"/>
      <w:marLeft w:val="0"/>
      <w:marRight w:val="0"/>
      <w:marTop w:val="0"/>
      <w:marBottom w:val="0"/>
      <w:divBdr>
        <w:top w:val="none" w:sz="0" w:space="0" w:color="auto"/>
        <w:left w:val="none" w:sz="0" w:space="0" w:color="auto"/>
        <w:bottom w:val="none" w:sz="0" w:space="0" w:color="auto"/>
        <w:right w:val="none" w:sz="0" w:space="0" w:color="auto"/>
      </w:divBdr>
    </w:div>
    <w:div w:id="1726373210">
      <w:bodyDiv w:val="1"/>
      <w:marLeft w:val="0"/>
      <w:marRight w:val="0"/>
      <w:marTop w:val="0"/>
      <w:marBottom w:val="0"/>
      <w:divBdr>
        <w:top w:val="none" w:sz="0" w:space="0" w:color="auto"/>
        <w:left w:val="none" w:sz="0" w:space="0" w:color="auto"/>
        <w:bottom w:val="none" w:sz="0" w:space="0" w:color="auto"/>
        <w:right w:val="none" w:sz="0" w:space="0" w:color="auto"/>
      </w:divBdr>
    </w:div>
    <w:div w:id="1728720220">
      <w:bodyDiv w:val="1"/>
      <w:marLeft w:val="0"/>
      <w:marRight w:val="0"/>
      <w:marTop w:val="0"/>
      <w:marBottom w:val="0"/>
      <w:divBdr>
        <w:top w:val="none" w:sz="0" w:space="0" w:color="auto"/>
        <w:left w:val="none" w:sz="0" w:space="0" w:color="auto"/>
        <w:bottom w:val="none" w:sz="0" w:space="0" w:color="auto"/>
        <w:right w:val="none" w:sz="0" w:space="0" w:color="auto"/>
      </w:divBdr>
    </w:div>
    <w:div w:id="1771851232">
      <w:bodyDiv w:val="1"/>
      <w:marLeft w:val="0"/>
      <w:marRight w:val="0"/>
      <w:marTop w:val="0"/>
      <w:marBottom w:val="0"/>
      <w:divBdr>
        <w:top w:val="none" w:sz="0" w:space="0" w:color="auto"/>
        <w:left w:val="none" w:sz="0" w:space="0" w:color="auto"/>
        <w:bottom w:val="none" w:sz="0" w:space="0" w:color="auto"/>
        <w:right w:val="none" w:sz="0" w:space="0" w:color="auto"/>
      </w:divBdr>
    </w:div>
    <w:div w:id="1784154044">
      <w:bodyDiv w:val="1"/>
      <w:marLeft w:val="0"/>
      <w:marRight w:val="0"/>
      <w:marTop w:val="0"/>
      <w:marBottom w:val="0"/>
      <w:divBdr>
        <w:top w:val="none" w:sz="0" w:space="0" w:color="auto"/>
        <w:left w:val="none" w:sz="0" w:space="0" w:color="auto"/>
        <w:bottom w:val="none" w:sz="0" w:space="0" w:color="auto"/>
        <w:right w:val="none" w:sz="0" w:space="0" w:color="auto"/>
      </w:divBdr>
    </w:div>
    <w:div w:id="1792017253">
      <w:bodyDiv w:val="1"/>
      <w:marLeft w:val="0"/>
      <w:marRight w:val="0"/>
      <w:marTop w:val="0"/>
      <w:marBottom w:val="0"/>
      <w:divBdr>
        <w:top w:val="none" w:sz="0" w:space="0" w:color="auto"/>
        <w:left w:val="none" w:sz="0" w:space="0" w:color="auto"/>
        <w:bottom w:val="none" w:sz="0" w:space="0" w:color="auto"/>
        <w:right w:val="none" w:sz="0" w:space="0" w:color="auto"/>
      </w:divBdr>
    </w:div>
    <w:div w:id="1840383120">
      <w:bodyDiv w:val="1"/>
      <w:marLeft w:val="0"/>
      <w:marRight w:val="0"/>
      <w:marTop w:val="0"/>
      <w:marBottom w:val="0"/>
      <w:divBdr>
        <w:top w:val="none" w:sz="0" w:space="0" w:color="auto"/>
        <w:left w:val="none" w:sz="0" w:space="0" w:color="auto"/>
        <w:bottom w:val="none" w:sz="0" w:space="0" w:color="auto"/>
        <w:right w:val="none" w:sz="0" w:space="0" w:color="auto"/>
      </w:divBdr>
    </w:div>
    <w:div w:id="1894734019">
      <w:bodyDiv w:val="1"/>
      <w:marLeft w:val="0"/>
      <w:marRight w:val="0"/>
      <w:marTop w:val="0"/>
      <w:marBottom w:val="0"/>
      <w:divBdr>
        <w:top w:val="none" w:sz="0" w:space="0" w:color="auto"/>
        <w:left w:val="none" w:sz="0" w:space="0" w:color="auto"/>
        <w:bottom w:val="none" w:sz="0" w:space="0" w:color="auto"/>
        <w:right w:val="none" w:sz="0" w:space="0" w:color="auto"/>
      </w:divBdr>
    </w:div>
    <w:div w:id="1921060841">
      <w:bodyDiv w:val="1"/>
      <w:marLeft w:val="0"/>
      <w:marRight w:val="0"/>
      <w:marTop w:val="0"/>
      <w:marBottom w:val="0"/>
      <w:divBdr>
        <w:top w:val="none" w:sz="0" w:space="0" w:color="auto"/>
        <w:left w:val="none" w:sz="0" w:space="0" w:color="auto"/>
        <w:bottom w:val="none" w:sz="0" w:space="0" w:color="auto"/>
        <w:right w:val="none" w:sz="0" w:space="0" w:color="auto"/>
      </w:divBdr>
    </w:div>
    <w:div w:id="2019194730">
      <w:bodyDiv w:val="1"/>
      <w:marLeft w:val="0"/>
      <w:marRight w:val="0"/>
      <w:marTop w:val="0"/>
      <w:marBottom w:val="0"/>
      <w:divBdr>
        <w:top w:val="none" w:sz="0" w:space="0" w:color="auto"/>
        <w:left w:val="none" w:sz="0" w:space="0" w:color="auto"/>
        <w:bottom w:val="none" w:sz="0" w:space="0" w:color="auto"/>
        <w:right w:val="none" w:sz="0" w:space="0" w:color="auto"/>
      </w:divBdr>
    </w:div>
    <w:div w:id="2030182110">
      <w:bodyDiv w:val="1"/>
      <w:marLeft w:val="0"/>
      <w:marRight w:val="0"/>
      <w:marTop w:val="0"/>
      <w:marBottom w:val="0"/>
      <w:divBdr>
        <w:top w:val="none" w:sz="0" w:space="0" w:color="auto"/>
        <w:left w:val="none" w:sz="0" w:space="0" w:color="auto"/>
        <w:bottom w:val="none" w:sz="0" w:space="0" w:color="auto"/>
        <w:right w:val="none" w:sz="0" w:space="0" w:color="auto"/>
      </w:divBdr>
    </w:div>
    <w:div w:id="2031829761">
      <w:bodyDiv w:val="1"/>
      <w:marLeft w:val="0"/>
      <w:marRight w:val="0"/>
      <w:marTop w:val="0"/>
      <w:marBottom w:val="0"/>
      <w:divBdr>
        <w:top w:val="none" w:sz="0" w:space="0" w:color="auto"/>
        <w:left w:val="none" w:sz="0" w:space="0" w:color="auto"/>
        <w:bottom w:val="none" w:sz="0" w:space="0" w:color="auto"/>
        <w:right w:val="none" w:sz="0" w:space="0" w:color="auto"/>
      </w:divBdr>
      <w:divsChild>
        <w:div w:id="1600677181">
          <w:marLeft w:val="0"/>
          <w:marRight w:val="0"/>
          <w:marTop w:val="0"/>
          <w:marBottom w:val="0"/>
          <w:divBdr>
            <w:top w:val="single" w:sz="2" w:space="0" w:color="D9D9E3"/>
            <w:left w:val="single" w:sz="2" w:space="0" w:color="D9D9E3"/>
            <w:bottom w:val="single" w:sz="2" w:space="0" w:color="D9D9E3"/>
            <w:right w:val="single" w:sz="2" w:space="0" w:color="D9D9E3"/>
          </w:divBdr>
          <w:divsChild>
            <w:div w:id="904756629">
              <w:marLeft w:val="0"/>
              <w:marRight w:val="0"/>
              <w:marTop w:val="0"/>
              <w:marBottom w:val="0"/>
              <w:divBdr>
                <w:top w:val="single" w:sz="2" w:space="0" w:color="D9D9E3"/>
                <w:left w:val="single" w:sz="2" w:space="0" w:color="D9D9E3"/>
                <w:bottom w:val="single" w:sz="2" w:space="0" w:color="D9D9E3"/>
                <w:right w:val="single" w:sz="2" w:space="0" w:color="D9D9E3"/>
              </w:divBdr>
              <w:divsChild>
                <w:div w:id="2046057360">
                  <w:marLeft w:val="0"/>
                  <w:marRight w:val="0"/>
                  <w:marTop w:val="0"/>
                  <w:marBottom w:val="0"/>
                  <w:divBdr>
                    <w:top w:val="single" w:sz="2" w:space="0" w:color="D9D9E3"/>
                    <w:left w:val="single" w:sz="2" w:space="0" w:color="D9D9E3"/>
                    <w:bottom w:val="single" w:sz="2" w:space="0" w:color="D9D9E3"/>
                    <w:right w:val="single" w:sz="2" w:space="0" w:color="D9D9E3"/>
                  </w:divBdr>
                  <w:divsChild>
                    <w:div w:id="1004670893">
                      <w:marLeft w:val="0"/>
                      <w:marRight w:val="0"/>
                      <w:marTop w:val="0"/>
                      <w:marBottom w:val="0"/>
                      <w:divBdr>
                        <w:top w:val="single" w:sz="2" w:space="0" w:color="D9D9E3"/>
                        <w:left w:val="single" w:sz="2" w:space="0" w:color="D9D9E3"/>
                        <w:bottom w:val="single" w:sz="2" w:space="0" w:color="D9D9E3"/>
                        <w:right w:val="single" w:sz="2" w:space="0" w:color="D9D9E3"/>
                      </w:divBdr>
                      <w:divsChild>
                        <w:div w:id="2027978309">
                          <w:marLeft w:val="0"/>
                          <w:marRight w:val="0"/>
                          <w:marTop w:val="0"/>
                          <w:marBottom w:val="0"/>
                          <w:divBdr>
                            <w:top w:val="single" w:sz="2" w:space="0" w:color="auto"/>
                            <w:left w:val="single" w:sz="2" w:space="0" w:color="auto"/>
                            <w:bottom w:val="single" w:sz="6" w:space="0" w:color="auto"/>
                            <w:right w:val="single" w:sz="2" w:space="0" w:color="auto"/>
                          </w:divBdr>
                          <w:divsChild>
                            <w:div w:id="13460567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8598036">
                                  <w:marLeft w:val="0"/>
                                  <w:marRight w:val="0"/>
                                  <w:marTop w:val="0"/>
                                  <w:marBottom w:val="0"/>
                                  <w:divBdr>
                                    <w:top w:val="single" w:sz="2" w:space="0" w:color="D9D9E3"/>
                                    <w:left w:val="single" w:sz="2" w:space="0" w:color="D9D9E3"/>
                                    <w:bottom w:val="single" w:sz="2" w:space="0" w:color="D9D9E3"/>
                                    <w:right w:val="single" w:sz="2" w:space="0" w:color="D9D9E3"/>
                                  </w:divBdr>
                                  <w:divsChild>
                                    <w:div w:id="1665083065">
                                      <w:marLeft w:val="0"/>
                                      <w:marRight w:val="0"/>
                                      <w:marTop w:val="0"/>
                                      <w:marBottom w:val="0"/>
                                      <w:divBdr>
                                        <w:top w:val="single" w:sz="2" w:space="0" w:color="D9D9E3"/>
                                        <w:left w:val="single" w:sz="2" w:space="0" w:color="D9D9E3"/>
                                        <w:bottom w:val="single" w:sz="2" w:space="0" w:color="D9D9E3"/>
                                        <w:right w:val="single" w:sz="2" w:space="0" w:color="D9D9E3"/>
                                      </w:divBdr>
                                      <w:divsChild>
                                        <w:div w:id="2016302569">
                                          <w:marLeft w:val="0"/>
                                          <w:marRight w:val="0"/>
                                          <w:marTop w:val="0"/>
                                          <w:marBottom w:val="0"/>
                                          <w:divBdr>
                                            <w:top w:val="single" w:sz="2" w:space="0" w:color="D9D9E3"/>
                                            <w:left w:val="single" w:sz="2" w:space="0" w:color="D9D9E3"/>
                                            <w:bottom w:val="single" w:sz="2" w:space="0" w:color="D9D9E3"/>
                                            <w:right w:val="single" w:sz="2" w:space="0" w:color="D9D9E3"/>
                                          </w:divBdr>
                                          <w:divsChild>
                                            <w:div w:id="2951113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79152430">
          <w:marLeft w:val="0"/>
          <w:marRight w:val="0"/>
          <w:marTop w:val="0"/>
          <w:marBottom w:val="0"/>
          <w:divBdr>
            <w:top w:val="none" w:sz="0" w:space="0" w:color="auto"/>
            <w:left w:val="none" w:sz="0" w:space="0" w:color="auto"/>
            <w:bottom w:val="none" w:sz="0" w:space="0" w:color="auto"/>
            <w:right w:val="none" w:sz="0" w:space="0" w:color="auto"/>
          </w:divBdr>
          <w:divsChild>
            <w:div w:id="1853035025">
              <w:marLeft w:val="0"/>
              <w:marRight w:val="0"/>
              <w:marTop w:val="0"/>
              <w:marBottom w:val="0"/>
              <w:divBdr>
                <w:top w:val="single" w:sz="2" w:space="0" w:color="D9D9E3"/>
                <w:left w:val="single" w:sz="2" w:space="0" w:color="D9D9E3"/>
                <w:bottom w:val="single" w:sz="2" w:space="0" w:color="D9D9E3"/>
                <w:right w:val="single" w:sz="2" w:space="0" w:color="D9D9E3"/>
              </w:divBdr>
              <w:divsChild>
                <w:div w:id="910581673">
                  <w:marLeft w:val="0"/>
                  <w:marRight w:val="0"/>
                  <w:marTop w:val="0"/>
                  <w:marBottom w:val="0"/>
                  <w:divBdr>
                    <w:top w:val="single" w:sz="2" w:space="0" w:color="D9D9E3"/>
                    <w:left w:val="single" w:sz="2" w:space="0" w:color="D9D9E3"/>
                    <w:bottom w:val="single" w:sz="2" w:space="0" w:color="D9D9E3"/>
                    <w:right w:val="single" w:sz="2" w:space="0" w:color="D9D9E3"/>
                  </w:divBdr>
                  <w:divsChild>
                    <w:div w:id="17531636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2087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tkkarjal/mag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870A8-E929-1447-AE93-3FA8F1391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2674</Words>
  <Characters>15243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Vesa Putkinen</dc:creator>
  <cp:keywords/>
  <dc:description/>
  <cp:lastModifiedBy>Vesa Putkinen</cp:lastModifiedBy>
  <cp:revision>3</cp:revision>
  <cp:lastPrinted>2025-02-21T11:34:00Z</cp:lastPrinted>
  <dcterms:created xsi:type="dcterms:W3CDTF">2025-03-18T18:09:00Z</dcterms:created>
  <dcterms:modified xsi:type="dcterms:W3CDTF">2025-03-18T18:09:00Z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id="mnHegmka"/&gt;&lt;style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 name="dontAskDelayCitationUpdates" value="true"/&gt;&lt;/prefs&gt;&lt;/data&gt;</vt:lpwstr>
  </property>
</Properties>
</file>