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E06D3" w:rsidR="00780EEA" w:rsidP="00BE4F55" w:rsidRDefault="59113CEE" w14:paraId="2C078E63" w14:textId="450755CC">
      <w:pPr>
        <w:spacing w:line="480" w:lineRule="auto"/>
        <w:rPr>
          <w:rFonts w:ascii="Times New Roman" w:hAnsi="Times New Roman" w:eastAsia="Arial" w:cs="Times New Roman"/>
          <w:b/>
          <w:bCs/>
          <w:sz w:val="20"/>
          <w:szCs w:val="20"/>
        </w:rPr>
      </w:pPr>
      <w:r w:rsidRPr="007E06D3">
        <w:rPr>
          <w:rFonts w:ascii="Times New Roman" w:hAnsi="Times New Roman" w:eastAsia="Arial" w:cs="Times New Roman"/>
          <w:b/>
          <w:bCs/>
          <w:sz w:val="20"/>
          <w:szCs w:val="20"/>
        </w:rPr>
        <w:t xml:space="preserve">Supplementary </w:t>
      </w:r>
      <w:r w:rsidR="00CF74A4">
        <w:rPr>
          <w:rFonts w:ascii="Times New Roman" w:hAnsi="Times New Roman" w:eastAsia="Arial" w:cs="Times New Roman"/>
          <w:b/>
          <w:bCs/>
          <w:sz w:val="20"/>
          <w:szCs w:val="20"/>
        </w:rPr>
        <w:t>Material</w:t>
      </w:r>
    </w:p>
    <w:sdt>
      <w:sdtPr>
        <w:id w:val="-330524975"/>
        <w:docPartObj>
          <w:docPartGallery w:val="Table of Contents"/>
          <w:docPartUnique/>
        </w:docPartObj>
        <w:rPr>
          <w:rFonts w:ascii="Times New Roman" w:hAnsi="Times New Roman" w:eastAsia="" w:cs="Times New Roman" w:eastAsiaTheme="minorEastAsia"/>
          <w:color w:val="auto"/>
          <w:sz w:val="20"/>
          <w:szCs w:val="20"/>
          <w:lang w:val="en-US" w:eastAsia="ja-JP"/>
        </w:rPr>
      </w:sdtPr>
      <w:sdtEndPr>
        <w:rPr>
          <w:rFonts w:ascii="Times New Roman" w:hAnsi="Times New Roman" w:eastAsia="" w:cs="Times New Roman" w:eastAsiaTheme="minorEastAsia"/>
          <w:b w:val="1"/>
          <w:bCs w:val="1"/>
          <w:color w:val="auto"/>
          <w:sz w:val="20"/>
          <w:szCs w:val="20"/>
          <w:lang w:val="en-US" w:eastAsia="ja-JP"/>
        </w:rPr>
      </w:sdtEndPr>
      <w:sdtContent>
        <w:p w:rsidRPr="007E06D3" w:rsidR="00D94CF8" w:rsidP="00D94CF8" w:rsidRDefault="00D94CF8" w14:paraId="1E977D8B" w14:textId="3EF68E6A">
          <w:pPr>
            <w:pStyle w:val="Kopvaninhoudsopgave"/>
            <w:rPr>
              <w:rFonts w:ascii="Times New Roman" w:hAnsi="Times New Roman" w:cs="Times New Roman"/>
              <w:sz w:val="20"/>
              <w:szCs w:val="20"/>
            </w:rPr>
          </w:pPr>
        </w:p>
        <w:p w:rsidRPr="007E06D3" w:rsidR="007E06D3" w:rsidRDefault="00D94CF8" w14:paraId="6BD97807" w14:textId="62A94374">
          <w:pPr>
            <w:pStyle w:val="Inhopg1"/>
            <w:tabs>
              <w:tab w:val="right" w:leader="dot" w:pos="9350"/>
            </w:tabs>
            <w:rPr>
              <w:rFonts w:ascii="Times New Roman" w:hAnsi="Times New Roman" w:cs="Times New Roman"/>
              <w:noProof/>
              <w:kern w:val="2"/>
              <w:sz w:val="20"/>
              <w:szCs w:val="20"/>
              <w:lang w:val="nl-NL" w:eastAsia="nl-NL"/>
              <w14:ligatures w14:val="standardContextual"/>
            </w:rPr>
          </w:pPr>
          <w:r w:rsidRPr="007E06D3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7E06D3">
            <w:rPr>
              <w:rFonts w:ascii="Times New Roman" w:hAnsi="Times New Roman" w:cs="Times New Roman"/>
              <w:sz w:val="20"/>
              <w:szCs w:val="20"/>
            </w:rPr>
            <w:instrText xml:space="preserve"> TOC \o "1-3" \h \z \u </w:instrText>
          </w:r>
          <w:r w:rsidRPr="007E06D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hyperlink w:history="1" w:anchor="_Toc190427121">
            <w:r w:rsidRPr="007E06D3" w:rsidR="007E06D3">
              <w:rPr>
                <w:rStyle w:val="Hyperlink"/>
                <w:rFonts w:ascii="Times New Roman" w:hAnsi="Times New Roman" w:eastAsia="Arial" w:cs="Times New Roman"/>
                <w:i/>
                <w:iCs/>
                <w:noProof/>
                <w:sz w:val="20"/>
                <w:szCs w:val="20"/>
              </w:rPr>
              <w:t>PET-MRI acquisition details</w:t>
            </w:r>
            <w:r w:rsidRPr="007E06D3" w:rsidR="007E06D3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7E06D3" w:rsidR="007E06D3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Pr="007E06D3" w:rsidR="007E06D3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_Toc190427121 \h </w:instrText>
            </w:r>
            <w:r w:rsidRPr="007E06D3" w:rsidR="007E06D3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7E06D3" w:rsidR="007E06D3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Pr="007E06D3" w:rsidR="007E06D3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</w:t>
            </w:r>
            <w:r w:rsidRPr="007E06D3" w:rsidR="007E06D3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Pr="007E06D3" w:rsidR="007E06D3" w:rsidRDefault="00BB2726" w14:paraId="10DE84FB" w14:textId="13F54B0A">
          <w:pPr>
            <w:pStyle w:val="Inhopg1"/>
            <w:tabs>
              <w:tab w:val="right" w:leader="dot" w:pos="9350"/>
            </w:tabs>
            <w:rPr>
              <w:rFonts w:ascii="Times New Roman" w:hAnsi="Times New Roman" w:cs="Times New Roman"/>
              <w:noProof/>
              <w:kern w:val="2"/>
              <w:sz w:val="20"/>
              <w:szCs w:val="20"/>
              <w:lang w:val="nl-NL" w:eastAsia="nl-NL"/>
              <w14:ligatures w14:val="standardContextual"/>
            </w:rPr>
          </w:pPr>
          <w:hyperlink w:history="1" w:anchor="_Toc190427122">
            <w:r w:rsidRPr="007E06D3" w:rsidR="007E06D3">
              <w:rPr>
                <w:rStyle w:val="Hyperlink"/>
                <w:rFonts w:ascii="Times New Roman" w:hAnsi="Times New Roman" w:eastAsia="Arial" w:cs="Times New Roman"/>
                <w:i/>
                <w:iCs/>
                <w:noProof/>
                <w:sz w:val="20"/>
                <w:szCs w:val="20"/>
              </w:rPr>
              <w:t>Multiplex immunofluorescence staining protocol</w:t>
            </w:r>
            <w:r w:rsidRPr="007E06D3" w:rsidR="007E06D3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7E06D3" w:rsidR="007E06D3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Pr="007E06D3" w:rsidR="007E06D3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_Toc190427122 \h </w:instrText>
            </w:r>
            <w:r w:rsidRPr="007E06D3" w:rsidR="007E06D3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7E06D3" w:rsidR="007E06D3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Pr="007E06D3" w:rsidR="007E06D3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</w:t>
            </w:r>
            <w:r w:rsidRPr="007E06D3" w:rsidR="007E06D3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Pr="007E06D3" w:rsidR="00D94CF8" w:rsidP="00D94CF8" w:rsidRDefault="00D94CF8" w14:paraId="242EE6D9" w14:textId="43A03BF8">
          <w:pPr>
            <w:rPr>
              <w:rFonts w:ascii="Times New Roman" w:hAnsi="Times New Roman" w:cs="Times New Roman"/>
              <w:sz w:val="20"/>
              <w:szCs w:val="20"/>
            </w:rPr>
          </w:pPr>
          <w:r w:rsidRPr="007E06D3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end"/>
          </w:r>
        </w:p>
      </w:sdtContent>
    </w:sdt>
    <w:p w:rsidRPr="007E06D3" w:rsidR="00D94CF8" w:rsidP="00D94CF8" w:rsidRDefault="00D94CF8" w14:paraId="4090A76C" w14:textId="77C8887C">
      <w:pPr>
        <w:tabs>
          <w:tab w:val="left" w:pos="1141"/>
        </w:tabs>
        <w:spacing w:line="480" w:lineRule="auto"/>
        <w:rPr>
          <w:rFonts w:ascii="Times New Roman" w:hAnsi="Times New Roman" w:eastAsia="Arial" w:cs="Times New Roman"/>
          <w:b/>
          <w:bCs/>
          <w:sz w:val="20"/>
          <w:szCs w:val="20"/>
        </w:rPr>
      </w:pPr>
      <w:r w:rsidRPr="007E06D3">
        <w:rPr>
          <w:rFonts w:ascii="Times New Roman" w:hAnsi="Times New Roman" w:eastAsia="Arial" w:cs="Times New Roman"/>
          <w:b/>
          <w:bCs/>
          <w:sz w:val="20"/>
          <w:szCs w:val="20"/>
        </w:rPr>
        <w:tab/>
      </w:r>
    </w:p>
    <w:p w:rsidRPr="007E06D3" w:rsidR="00D94CF8" w:rsidRDefault="00D94CF8" w14:paraId="632902F1" w14:textId="77777777">
      <w:pPr>
        <w:rPr>
          <w:rFonts w:ascii="Times New Roman" w:hAnsi="Times New Roman" w:eastAsia="Arial" w:cs="Times New Roman"/>
          <w:b/>
          <w:bCs/>
          <w:sz w:val="20"/>
          <w:szCs w:val="20"/>
        </w:rPr>
      </w:pPr>
      <w:r w:rsidRPr="007E06D3">
        <w:rPr>
          <w:rFonts w:ascii="Times New Roman" w:hAnsi="Times New Roman" w:eastAsia="Arial" w:cs="Times New Roman"/>
          <w:b/>
          <w:bCs/>
          <w:sz w:val="20"/>
          <w:szCs w:val="20"/>
        </w:rPr>
        <w:br w:type="page"/>
      </w:r>
    </w:p>
    <w:p w:rsidRPr="007E06D3" w:rsidR="59113CEE" w:rsidP="000B4F7A" w:rsidRDefault="59113CEE" w14:paraId="34432107" w14:textId="1FD8C926">
      <w:pPr>
        <w:pStyle w:val="Kop1"/>
        <w:rPr>
          <w:rFonts w:ascii="Times New Roman" w:hAnsi="Times New Roman" w:eastAsia="Arial" w:cs="Times New Roman"/>
          <w:i/>
          <w:iCs/>
          <w:color w:val="auto"/>
          <w:sz w:val="20"/>
          <w:szCs w:val="20"/>
        </w:rPr>
      </w:pPr>
      <w:bookmarkStart w:name="_Toc190427121" w:id="0"/>
      <w:r w:rsidRPr="007E06D3">
        <w:rPr>
          <w:rFonts w:ascii="Times New Roman" w:hAnsi="Times New Roman" w:eastAsia="Arial" w:cs="Times New Roman"/>
          <w:i/>
          <w:iCs/>
          <w:color w:val="auto"/>
          <w:sz w:val="20"/>
          <w:szCs w:val="20"/>
        </w:rPr>
        <w:lastRenderedPageBreak/>
        <w:t>PET-MRI acquisition details</w:t>
      </w:r>
      <w:bookmarkEnd w:id="0"/>
    </w:p>
    <w:p w:rsidRPr="007E06D3" w:rsidR="00D94CF8" w:rsidP="00D94CF8" w:rsidRDefault="00D94CF8" w14:paraId="50AB61C0" w14:textId="77777777">
      <w:pPr>
        <w:rPr>
          <w:rFonts w:ascii="Times New Roman" w:hAnsi="Times New Roman" w:cs="Times New Roman"/>
          <w:sz w:val="20"/>
          <w:szCs w:val="20"/>
        </w:rPr>
      </w:pPr>
    </w:p>
    <w:p w:rsidRPr="007E06D3" w:rsidR="48444718" w:rsidP="00063994" w:rsidRDefault="00F8096E" w14:paraId="7A4C2FCB" w14:textId="13BF441B">
      <w:pPr>
        <w:spacing w:line="480" w:lineRule="auto"/>
        <w:ind w:firstLine="708"/>
        <w:jc w:val="both"/>
        <w:rPr>
          <w:rFonts w:ascii="Times New Roman" w:hAnsi="Times New Roman" w:eastAsia="Arial" w:cs="Times New Roman"/>
          <w:sz w:val="20"/>
          <w:szCs w:val="20"/>
        </w:rPr>
      </w:pPr>
      <w:r w:rsidRPr="06F89DB6" w:rsidR="00F8096E">
        <w:rPr>
          <w:rFonts w:ascii="Times New Roman" w:hAnsi="Times New Roman" w:eastAsia="Arial" w:cs="Times New Roman"/>
          <w:sz w:val="20"/>
          <w:szCs w:val="20"/>
        </w:rPr>
        <w:t>[</w:t>
      </w:r>
      <w:r w:rsidRPr="06F89DB6" w:rsidR="00F8096E">
        <w:rPr>
          <w:rFonts w:ascii="Times New Roman" w:hAnsi="Times New Roman" w:eastAsia="Arial" w:cs="Times New Roman"/>
          <w:sz w:val="20"/>
          <w:szCs w:val="20"/>
          <w:vertAlign w:val="superscript"/>
        </w:rPr>
        <w:t>68</w:t>
      </w:r>
      <w:r w:rsidRPr="06F89DB6" w:rsidR="00F8096E">
        <w:rPr>
          <w:rFonts w:ascii="Times New Roman" w:hAnsi="Times New Roman" w:eastAsia="Arial" w:cs="Times New Roman"/>
          <w:sz w:val="20"/>
          <w:szCs w:val="20"/>
        </w:rPr>
        <w:t>Ga]Ga</w:t>
      </w:r>
      <w:r w:rsidRPr="06F89DB6" w:rsidR="00F8096E">
        <w:rPr>
          <w:rFonts w:ascii="Times New Roman" w:hAnsi="Times New Roman" w:eastAsia="Arial" w:cs="Times New Roman"/>
          <w:sz w:val="20"/>
          <w:szCs w:val="20"/>
        </w:rPr>
        <w:t xml:space="preserve">-PSMA-11 was prepared in-house using the commercially </w:t>
      </w:r>
      <w:r w:rsidRPr="06F89DB6" w:rsidR="00F8096E">
        <w:rPr>
          <w:rFonts w:ascii="Times New Roman" w:hAnsi="Times New Roman" w:eastAsia="Arial" w:cs="Times New Roman"/>
          <w:sz w:val="20"/>
          <w:szCs w:val="20"/>
        </w:rPr>
        <w:t>purchased</w:t>
      </w:r>
      <w:r w:rsidRPr="06F89DB6" w:rsidR="00F8096E">
        <w:rPr>
          <w:rFonts w:ascii="Times New Roman" w:hAnsi="Times New Roman" w:eastAsia="Arial" w:cs="Times New Roman"/>
          <w:sz w:val="20"/>
          <w:szCs w:val="20"/>
        </w:rPr>
        <w:t xml:space="preserve"> precursor PSMA-11 (ABX, </w:t>
      </w:r>
      <w:r w:rsidRPr="06F89DB6" w:rsidR="00F8096E">
        <w:rPr>
          <w:rFonts w:ascii="Times New Roman" w:hAnsi="Times New Roman" w:eastAsia="Arial" w:cs="Times New Roman"/>
          <w:sz w:val="20"/>
          <w:szCs w:val="20"/>
        </w:rPr>
        <w:t>Radeberg</w:t>
      </w:r>
      <w:r w:rsidRPr="06F89DB6" w:rsidR="00F8096E">
        <w:rPr>
          <w:rFonts w:ascii="Times New Roman" w:hAnsi="Times New Roman" w:eastAsia="Arial" w:cs="Times New Roman"/>
          <w:sz w:val="20"/>
          <w:szCs w:val="20"/>
        </w:rPr>
        <w:t xml:space="preserve">, Germany). 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 xml:space="preserve">Scans were 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>acquired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 xml:space="preserve"> on a 3.0T whole-body hybrid PET-MR system (Signa PET-MR, GE Healthcare, USA))</w:t>
      </w:r>
      <w:r w:rsidRPr="06F89DB6" w:rsidR="00E96E47">
        <w:rPr>
          <w:rFonts w:ascii="Times New Roman" w:hAnsi="Times New Roman" w:eastAsia="Arial" w:cs="Times New Roman"/>
          <w:sz w:val="20"/>
          <w:szCs w:val="20"/>
        </w:rPr>
        <w:t xml:space="preserve"> 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 xml:space="preserve">at 90 minutes (min; 1.5 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>hrs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 xml:space="preserve">), 165 min (2.75 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>hrs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 xml:space="preserve">) and 240 min (4 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>hrs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 xml:space="preserve">) after intravenous injection (post-injection, 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>p.i.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>) of 1.5 MBq/kg [</w:t>
      </w:r>
      <w:r w:rsidRPr="06F89DB6" w:rsidR="48444718">
        <w:rPr>
          <w:rFonts w:ascii="Times New Roman" w:hAnsi="Times New Roman" w:eastAsia="Arial" w:cs="Times New Roman"/>
          <w:sz w:val="20"/>
          <w:szCs w:val="20"/>
          <w:vertAlign w:val="superscript"/>
        </w:rPr>
        <w:t>68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>Ga]Ga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 xml:space="preserve">-PSMA-11. At </w:t>
      </w:r>
      <w:r w:rsidRPr="06F89DB6" w:rsidR="40185A6A">
        <w:rPr>
          <w:rFonts w:ascii="Times New Roman" w:hAnsi="Times New Roman" w:eastAsia="Arial" w:cs="Times New Roman"/>
          <w:sz w:val="20"/>
          <w:szCs w:val="20"/>
        </w:rPr>
        <w:t xml:space="preserve">each 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 xml:space="preserve">time-point a single bed position PET scan of the brain was 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>acquired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 xml:space="preserve"> for 15 min (90 min and 165 min 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>p.i.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 xml:space="preserve">) or 20 min (240 min 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>p.i.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 xml:space="preserve">, 10 min pre- and post-gadolinium administration) in ‘list mode’ to enable dynamic (i.e., continuous) acquisition. </w:t>
      </w:r>
      <w:r w:rsidRPr="06F89DB6" w:rsidR="1DD13970">
        <w:rPr>
          <w:rFonts w:ascii="Times New Roman" w:hAnsi="Times New Roman" w:eastAsia="Arial" w:cs="Times New Roman"/>
          <w:sz w:val="20"/>
          <w:szCs w:val="20"/>
        </w:rPr>
        <w:t xml:space="preserve">At each timepoint, a single bed position (bp) PET scan of the brain was </w:t>
      </w:r>
      <w:r w:rsidRPr="06F89DB6" w:rsidR="1DD13970">
        <w:rPr>
          <w:rFonts w:ascii="Times New Roman" w:hAnsi="Times New Roman" w:eastAsia="Arial" w:cs="Times New Roman"/>
          <w:sz w:val="20"/>
          <w:szCs w:val="20"/>
        </w:rPr>
        <w:t>acquired</w:t>
      </w:r>
      <w:r w:rsidRPr="06F89DB6" w:rsidR="1DD13970">
        <w:rPr>
          <w:rFonts w:ascii="Times New Roman" w:hAnsi="Times New Roman" w:eastAsia="Arial" w:cs="Times New Roman"/>
          <w:sz w:val="20"/>
          <w:szCs w:val="20"/>
        </w:rPr>
        <w:t xml:space="preserve"> for 15 min. The first scan was followed by a whole-body scan (from skull to vertex to thighs) of 5 bp (each 3 min). 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 xml:space="preserve">Standard 4-tissue (air, lung, water, fat) MR DIXON based attenuation maps (MRAC) were 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>acquired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 xml:space="preserve"> simultaneously; this was combined with a standard MR ZTE scan</w:t>
      </w:r>
      <w:r w:rsidRPr="06F89DB6" w:rsidR="00603893">
        <w:rPr>
          <w:rFonts w:ascii="Times New Roman" w:hAnsi="Times New Roman" w:eastAsia="Arial" w:cs="Times New Roman"/>
          <w:sz w:val="20"/>
          <w:szCs w:val="20"/>
        </w:rPr>
        <w:t xml:space="preserve"> for the head,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 xml:space="preserve"> that adds bone tissue to the MRAC. In addition, MR sequences were 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>acquired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 xml:space="preserve"> simultaneously during each PET bed position for anatomical localization. PET list-mode data were binned in one frame of 15 (90 and 165 min 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>p.i.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 xml:space="preserve">) and 20 (240 min 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>p.i.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>) minutes for reconstruction of static PET images</w:t>
      </w:r>
      <w:r w:rsidRPr="06F89DB6" w:rsidR="08B77FCD">
        <w:rPr>
          <w:rFonts w:ascii="Times New Roman" w:hAnsi="Times New Roman" w:eastAsia="Arial" w:cs="Times New Roman"/>
          <w:sz w:val="20"/>
          <w:szCs w:val="20"/>
        </w:rPr>
        <w:t xml:space="preserve"> (with a slice thickness of 2.7 mm)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>. All PET images were reconstructed using a block sequential regularized expectation maximization (BSREM) algorithm using time-of-flight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 xml:space="preserve"> (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>T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>oF</w:t>
      </w:r>
      <w:r w:rsidRPr="06F89DB6" w:rsidR="48444718">
        <w:rPr>
          <w:rFonts w:ascii="Times New Roman" w:hAnsi="Times New Roman" w:eastAsia="Arial" w:cs="Times New Roman"/>
          <w:sz w:val="20"/>
          <w:szCs w:val="20"/>
        </w:rPr>
        <w:t>) information, point-spread-functions (PSF) and a beta value of 300. Corrections for attenuation, scatter and random coincidences were applied.</w:t>
      </w:r>
    </w:p>
    <w:p w:rsidRPr="007E06D3" w:rsidR="0003284B" w:rsidP="0003284B" w:rsidRDefault="0003284B" w14:paraId="0C161912" w14:textId="77777777">
      <w:pPr>
        <w:spacing w:line="480" w:lineRule="auto"/>
        <w:jc w:val="both"/>
        <w:rPr>
          <w:rFonts w:ascii="Times New Roman" w:hAnsi="Times New Roman" w:eastAsia="Arial" w:cs="Times New Roman"/>
          <w:sz w:val="20"/>
          <w:szCs w:val="20"/>
        </w:rPr>
      </w:pPr>
    </w:p>
    <w:p w:rsidRPr="007E06D3" w:rsidR="00897EF7" w:rsidRDefault="00897EF7" w14:paraId="0179B489" w14:textId="77777777">
      <w:pPr>
        <w:rPr>
          <w:rFonts w:ascii="Times New Roman" w:hAnsi="Times New Roman" w:eastAsia="Arial" w:cs="Times New Roman"/>
          <w:i/>
          <w:iCs/>
          <w:sz w:val="20"/>
          <w:szCs w:val="20"/>
        </w:rPr>
      </w:pPr>
      <w:r w:rsidRPr="007E06D3">
        <w:rPr>
          <w:rFonts w:ascii="Times New Roman" w:hAnsi="Times New Roman" w:eastAsia="Arial" w:cs="Times New Roman"/>
          <w:i/>
          <w:iCs/>
          <w:sz w:val="20"/>
          <w:szCs w:val="20"/>
        </w:rPr>
        <w:br w:type="page"/>
      </w:r>
    </w:p>
    <w:p w:rsidRPr="007E06D3" w:rsidR="000B4F7A" w:rsidP="000B4F7A" w:rsidRDefault="000B4F7A" w14:paraId="242037DA" w14:textId="6D9C2E8A">
      <w:pPr>
        <w:pStyle w:val="Kop1"/>
        <w:rPr>
          <w:rFonts w:ascii="Times New Roman" w:hAnsi="Times New Roman" w:eastAsia="Arial" w:cs="Times New Roman"/>
          <w:i/>
          <w:iCs/>
          <w:color w:val="auto"/>
          <w:sz w:val="20"/>
          <w:szCs w:val="20"/>
        </w:rPr>
      </w:pPr>
      <w:bookmarkStart w:name="_Toc190427122" w:id="1"/>
      <w:r w:rsidRPr="007E06D3">
        <w:rPr>
          <w:rFonts w:ascii="Times New Roman" w:hAnsi="Times New Roman" w:eastAsia="Arial" w:cs="Times New Roman"/>
          <w:i/>
          <w:iCs/>
          <w:color w:val="auto"/>
          <w:sz w:val="20"/>
          <w:szCs w:val="20"/>
        </w:rPr>
        <w:lastRenderedPageBreak/>
        <w:t>Multiplex immunofluorescence staining protocol</w:t>
      </w:r>
      <w:bookmarkEnd w:id="1"/>
    </w:p>
    <w:p w:rsidRPr="007E06D3" w:rsidR="00D94CF8" w:rsidP="00D94CF8" w:rsidRDefault="00D94CF8" w14:paraId="66BFD3B8" w14:textId="77777777">
      <w:pPr>
        <w:rPr>
          <w:rFonts w:ascii="Times New Roman" w:hAnsi="Times New Roman" w:cs="Times New Roman"/>
          <w:sz w:val="20"/>
          <w:szCs w:val="20"/>
        </w:rPr>
      </w:pPr>
    </w:p>
    <w:p w:rsidR="00063994" w:rsidP="00D94CF8" w:rsidRDefault="001900D8" w14:paraId="334C686C" w14:textId="7136367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</w:t>
      </w:r>
      <w:r w:rsidRPr="00063994">
        <w:rPr>
          <w:rFonts w:ascii="Times New Roman" w:hAnsi="Times New Roman" w:cs="Times New Roman"/>
          <w:sz w:val="20"/>
          <w:szCs w:val="20"/>
        </w:rPr>
        <w:t>ollowing deparaffinization and heat-induced antigen retrieval with CC1 (#950-500, Ventana) for 40 minutes at 97°C</w:t>
      </w:r>
      <w:r>
        <w:rPr>
          <w:rFonts w:ascii="Times New Roman" w:hAnsi="Times New Roman" w:cs="Times New Roman"/>
          <w:sz w:val="20"/>
          <w:szCs w:val="20"/>
        </w:rPr>
        <w:t>, m</w:t>
      </w:r>
      <w:r w:rsidRPr="007E06D3" w:rsidR="00897EF7">
        <w:rPr>
          <w:rFonts w:ascii="Times New Roman" w:hAnsi="Times New Roman" w:cs="Times New Roman"/>
          <w:sz w:val="20"/>
          <w:szCs w:val="20"/>
        </w:rPr>
        <w:t xml:space="preserve">ultiplex immunofluorescence (IF) </w:t>
      </w:r>
      <w:proofErr w:type="spellStart"/>
      <w:r w:rsidRPr="007E06D3" w:rsidR="00897EF7">
        <w:rPr>
          <w:rFonts w:ascii="Times New Roman" w:hAnsi="Times New Roman" w:cs="Times New Roman"/>
          <w:sz w:val="20"/>
          <w:szCs w:val="20"/>
        </w:rPr>
        <w:t>stainings</w:t>
      </w:r>
      <w:proofErr w:type="spellEnd"/>
      <w:r w:rsidRPr="007E06D3" w:rsidR="00897EF7">
        <w:rPr>
          <w:rFonts w:ascii="Times New Roman" w:hAnsi="Times New Roman" w:cs="Times New Roman"/>
          <w:sz w:val="20"/>
          <w:szCs w:val="20"/>
        </w:rPr>
        <w:t xml:space="preserve"> were </w:t>
      </w:r>
      <w:r w:rsidRPr="00063994" w:rsidR="00897EF7">
        <w:rPr>
          <w:rFonts w:ascii="Times New Roman" w:hAnsi="Times New Roman" w:cs="Times New Roman"/>
          <w:sz w:val="20"/>
          <w:szCs w:val="20"/>
        </w:rPr>
        <w:t xml:space="preserve">performed on </w:t>
      </w:r>
      <w:r w:rsidRPr="00063994" w:rsidR="00897EF7">
        <w:rPr>
          <w:rFonts w:ascii="Times New Roman" w:hAnsi="Times New Roman" w:cs="Times New Roman"/>
          <w:color w:val="000000"/>
          <w:sz w:val="20"/>
          <w:szCs w:val="20"/>
        </w:rPr>
        <w:t xml:space="preserve">the Ventana Benchmark Discovery (Ventana Medical Systems Inc.). </w:t>
      </w:r>
      <w:r w:rsidRPr="00FD694D" w:rsidR="00C11674">
        <w:rPr>
          <w:rFonts w:ascii="Times New Roman" w:hAnsi="Times New Roman" w:cs="Times New Roman"/>
          <w:sz w:val="20"/>
          <w:szCs w:val="20"/>
        </w:rPr>
        <w:t xml:space="preserve">Antibody information can be found in </w:t>
      </w:r>
      <w:r w:rsidR="00C11674">
        <w:rPr>
          <w:rFonts w:ascii="Times New Roman" w:hAnsi="Times New Roman" w:cs="Times New Roman"/>
          <w:sz w:val="20"/>
          <w:szCs w:val="20"/>
        </w:rPr>
        <w:t>the Supplementary T</w:t>
      </w:r>
      <w:r w:rsidRPr="00FD694D" w:rsidR="00C11674">
        <w:rPr>
          <w:rFonts w:ascii="Times New Roman" w:hAnsi="Times New Roman" w:cs="Times New Roman"/>
          <w:sz w:val="20"/>
          <w:szCs w:val="20"/>
        </w:rPr>
        <w:t>able 1</w:t>
      </w:r>
      <w:r w:rsidR="00C11674">
        <w:rPr>
          <w:rFonts w:ascii="Times New Roman" w:hAnsi="Times New Roman" w:cs="Times New Roman"/>
          <w:sz w:val="20"/>
          <w:szCs w:val="20"/>
        </w:rPr>
        <w:t xml:space="preserve"> below</w:t>
      </w:r>
      <w:r w:rsidRPr="00FD694D" w:rsidR="00C11674">
        <w:rPr>
          <w:rFonts w:ascii="Times New Roman" w:hAnsi="Times New Roman" w:cs="Times New Roman"/>
          <w:sz w:val="20"/>
          <w:szCs w:val="20"/>
        </w:rPr>
        <w:t>.</w:t>
      </w:r>
    </w:p>
    <w:p w:rsidR="00063994" w:rsidP="00063994" w:rsidRDefault="00897EF7" w14:paraId="1C51BFBF" w14:textId="44954991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B7277B">
        <w:rPr>
          <w:rFonts w:ascii="Times New Roman" w:hAnsi="Times New Roman" w:cs="Times New Roman"/>
          <w:sz w:val="20"/>
          <w:szCs w:val="20"/>
        </w:rPr>
        <w:t>For the first panel</w:t>
      </w:r>
      <w:r w:rsidRPr="00063994">
        <w:rPr>
          <w:rFonts w:ascii="Times New Roman" w:hAnsi="Times New Roman" w:cs="Times New Roman"/>
          <w:sz w:val="20"/>
          <w:szCs w:val="20"/>
        </w:rPr>
        <w:t xml:space="preserve"> the tissue samples were incubated firstly with </w:t>
      </w:r>
      <w:r w:rsidRPr="007E06D3">
        <w:rPr>
          <w:rFonts w:ascii="Times New Roman" w:hAnsi="Times New Roman" w:cs="Times New Roman"/>
          <w:sz w:val="20"/>
          <w:szCs w:val="20"/>
        </w:rPr>
        <w:t xml:space="preserve">PSMA for 36 minutes at 37˚C followed by detection with </w:t>
      </w:r>
      <w:proofErr w:type="spellStart"/>
      <w:r w:rsidRPr="007E06D3">
        <w:rPr>
          <w:rFonts w:ascii="Times New Roman" w:hAnsi="Times New Roman" w:cs="Times New Roman"/>
          <w:sz w:val="20"/>
          <w:szCs w:val="20"/>
        </w:rPr>
        <w:t>omnimap</w:t>
      </w:r>
      <w:proofErr w:type="spellEnd"/>
      <w:r w:rsidRPr="007E06D3">
        <w:rPr>
          <w:rFonts w:ascii="Times New Roman" w:hAnsi="Times New Roman" w:cs="Times New Roman"/>
          <w:sz w:val="20"/>
          <w:szCs w:val="20"/>
        </w:rPr>
        <w:t xml:space="preserve"> anti-rabbit HRP </w:t>
      </w:r>
      <w:r w:rsidRPr="00063994" w:rsidR="00B159A2">
        <w:rPr>
          <w:rFonts w:ascii="Times New Roman" w:hAnsi="Times New Roman" w:cs="Times New Roman"/>
          <w:sz w:val="20"/>
          <w:szCs w:val="20"/>
        </w:rPr>
        <w:t xml:space="preserve">(#760-4311, Ventana) </w:t>
      </w:r>
      <w:r w:rsidRPr="007E06D3">
        <w:rPr>
          <w:rFonts w:ascii="Times New Roman" w:hAnsi="Times New Roman" w:cs="Times New Roman"/>
          <w:sz w:val="20"/>
          <w:szCs w:val="20"/>
        </w:rPr>
        <w:t xml:space="preserve">followed by visualization with DCC (#760-235, Ventana) for 4 minutes. Antibody denature step was performed using CC2 for 20 minutes at 100˚C. </w:t>
      </w:r>
      <w:r w:rsidR="00E77851">
        <w:rPr>
          <w:rFonts w:ascii="Times New Roman" w:hAnsi="Times New Roman" w:cs="Times New Roman"/>
          <w:sz w:val="20"/>
          <w:szCs w:val="20"/>
        </w:rPr>
        <w:t>Second</w:t>
      </w:r>
      <w:r w:rsidRPr="007E06D3">
        <w:rPr>
          <w:rFonts w:ascii="Times New Roman" w:hAnsi="Times New Roman" w:cs="Times New Roman"/>
          <w:sz w:val="20"/>
          <w:szCs w:val="20"/>
        </w:rPr>
        <w:t xml:space="preserve">, Glut-1 was incubated for 24 minutes at 37 ˚C followed by detection with </w:t>
      </w:r>
      <w:proofErr w:type="spellStart"/>
      <w:r w:rsidRPr="007E06D3">
        <w:rPr>
          <w:rFonts w:ascii="Times New Roman" w:hAnsi="Times New Roman" w:cs="Times New Roman"/>
          <w:sz w:val="20"/>
          <w:szCs w:val="20"/>
        </w:rPr>
        <w:t>omnimap</w:t>
      </w:r>
      <w:proofErr w:type="spellEnd"/>
      <w:r w:rsidRPr="007E06D3">
        <w:rPr>
          <w:rFonts w:ascii="Times New Roman" w:hAnsi="Times New Roman" w:cs="Times New Roman"/>
          <w:sz w:val="20"/>
          <w:szCs w:val="20"/>
        </w:rPr>
        <w:t xml:space="preserve"> anti-rabbit HRP for 20 minutes followed by visualization with Red610 (#760-245, Ventana) for 8 minutes. </w:t>
      </w:r>
      <w:r w:rsidR="00FF236F">
        <w:rPr>
          <w:rFonts w:ascii="Times New Roman" w:hAnsi="Times New Roman" w:cs="Times New Roman"/>
          <w:sz w:val="20"/>
          <w:szCs w:val="20"/>
        </w:rPr>
        <w:t>Thirdly</w:t>
      </w:r>
      <w:r w:rsidRPr="007E06D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E06D3">
        <w:rPr>
          <w:rFonts w:ascii="Times New Roman" w:hAnsi="Times New Roman" w:cs="Times New Roman"/>
          <w:sz w:val="20"/>
          <w:szCs w:val="20"/>
        </w:rPr>
        <w:t>Nestin</w:t>
      </w:r>
      <w:proofErr w:type="spellEnd"/>
      <w:r w:rsidRPr="007E06D3">
        <w:rPr>
          <w:rFonts w:ascii="Times New Roman" w:hAnsi="Times New Roman" w:cs="Times New Roman"/>
          <w:sz w:val="20"/>
          <w:szCs w:val="20"/>
        </w:rPr>
        <w:t xml:space="preserve"> was incubated for 32 minutes at 37˚C followed by detection with </w:t>
      </w:r>
      <w:proofErr w:type="spellStart"/>
      <w:r w:rsidRPr="007E06D3">
        <w:rPr>
          <w:rFonts w:ascii="Times New Roman" w:hAnsi="Times New Roman" w:cs="Times New Roman"/>
          <w:sz w:val="20"/>
          <w:szCs w:val="20"/>
        </w:rPr>
        <w:t>omnimap</w:t>
      </w:r>
      <w:proofErr w:type="spellEnd"/>
      <w:r w:rsidRPr="007E06D3">
        <w:rPr>
          <w:rFonts w:ascii="Times New Roman" w:hAnsi="Times New Roman" w:cs="Times New Roman"/>
          <w:sz w:val="20"/>
          <w:szCs w:val="20"/>
        </w:rPr>
        <w:t xml:space="preserve"> anti-mouse HRP (#760-4310, Ventana) followed by visualization with Cy5 (#760-238, Ventana) for 4 minutes. At lasted, GFAP was incubated for 24 minutes at 37 ˚C followed by detection with </w:t>
      </w:r>
      <w:proofErr w:type="spellStart"/>
      <w:r w:rsidRPr="007E06D3">
        <w:rPr>
          <w:rFonts w:ascii="Times New Roman" w:hAnsi="Times New Roman" w:cs="Times New Roman"/>
          <w:sz w:val="20"/>
          <w:szCs w:val="20"/>
        </w:rPr>
        <w:t>omnimap</w:t>
      </w:r>
      <w:proofErr w:type="spellEnd"/>
      <w:r w:rsidRPr="007E06D3">
        <w:rPr>
          <w:rFonts w:ascii="Times New Roman" w:hAnsi="Times New Roman" w:cs="Times New Roman"/>
          <w:sz w:val="20"/>
          <w:szCs w:val="20"/>
        </w:rPr>
        <w:t xml:space="preserve"> anti-rabbit HRP for 20 minutes at 37 ˚C followed by visualization with FAM (#760-243, Ventana) for 4 minutes. </w:t>
      </w:r>
    </w:p>
    <w:p w:rsidR="00897EF7" w:rsidP="00063994" w:rsidRDefault="00897EF7" w14:paraId="13D4E0BE" w14:textId="3C65E7DD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B7277B">
        <w:rPr>
          <w:rFonts w:ascii="Times New Roman" w:hAnsi="Times New Roman" w:cs="Times New Roman"/>
          <w:sz w:val="20"/>
          <w:szCs w:val="20"/>
        </w:rPr>
        <w:t>For the seconded panel the</w:t>
      </w:r>
      <w:r w:rsidRPr="007E06D3">
        <w:rPr>
          <w:rFonts w:ascii="Times New Roman" w:hAnsi="Times New Roman" w:cs="Times New Roman"/>
          <w:sz w:val="20"/>
          <w:szCs w:val="20"/>
        </w:rPr>
        <w:t xml:space="preserve"> tissue samples were incubated firstly with PDGFR-β for 32 minutes at 37˚C followed by an amplification step and by detection with </w:t>
      </w:r>
      <w:proofErr w:type="spellStart"/>
      <w:r w:rsidRPr="007E06D3">
        <w:rPr>
          <w:rFonts w:ascii="Times New Roman" w:hAnsi="Times New Roman" w:cs="Times New Roman"/>
          <w:sz w:val="20"/>
          <w:szCs w:val="20"/>
        </w:rPr>
        <w:t>omnimap</w:t>
      </w:r>
      <w:proofErr w:type="spellEnd"/>
      <w:r w:rsidRPr="007E06D3">
        <w:rPr>
          <w:rFonts w:ascii="Times New Roman" w:hAnsi="Times New Roman" w:cs="Times New Roman"/>
          <w:sz w:val="20"/>
          <w:szCs w:val="20"/>
        </w:rPr>
        <w:t xml:space="preserve"> anti-mouse HRP for 20 minutes followed by visualization with R6G for 4 minutes. Antibody denature step was performed using CC2 for 20 minutes at 100˚C. Secondly, PSMA was incubated for 36 minutes at 37˚C followed by detection with </w:t>
      </w:r>
      <w:proofErr w:type="spellStart"/>
      <w:r w:rsidRPr="007E06D3">
        <w:rPr>
          <w:rFonts w:ascii="Times New Roman" w:hAnsi="Times New Roman" w:cs="Times New Roman"/>
          <w:sz w:val="20"/>
          <w:szCs w:val="20"/>
        </w:rPr>
        <w:t>omnimap</w:t>
      </w:r>
      <w:proofErr w:type="spellEnd"/>
      <w:r w:rsidRPr="007E06D3">
        <w:rPr>
          <w:rFonts w:ascii="Times New Roman" w:hAnsi="Times New Roman" w:cs="Times New Roman"/>
          <w:sz w:val="20"/>
          <w:szCs w:val="20"/>
        </w:rPr>
        <w:t xml:space="preserve"> anti-rabbit HRP followed by visualization with DCC for 4 minutes. Antibody denature step was performed using CC2 for 20 minutes at 100˚C. Thirdly, </w:t>
      </w:r>
      <w:proofErr w:type="spellStart"/>
      <w:r w:rsidRPr="007E06D3">
        <w:rPr>
          <w:rFonts w:ascii="Times New Roman" w:hAnsi="Times New Roman" w:cs="Times New Roman"/>
          <w:sz w:val="20"/>
          <w:szCs w:val="20"/>
        </w:rPr>
        <w:t>Nestin</w:t>
      </w:r>
      <w:proofErr w:type="spellEnd"/>
      <w:r w:rsidRPr="007E06D3">
        <w:rPr>
          <w:rFonts w:ascii="Times New Roman" w:hAnsi="Times New Roman" w:cs="Times New Roman"/>
          <w:sz w:val="20"/>
          <w:szCs w:val="20"/>
        </w:rPr>
        <w:t xml:space="preserve"> was incubated for 32 minutes at 37˚C followed by detection with </w:t>
      </w:r>
      <w:proofErr w:type="spellStart"/>
      <w:r w:rsidRPr="007E06D3">
        <w:rPr>
          <w:rFonts w:ascii="Times New Roman" w:hAnsi="Times New Roman" w:cs="Times New Roman"/>
          <w:sz w:val="20"/>
          <w:szCs w:val="20"/>
        </w:rPr>
        <w:t>omnimap</w:t>
      </w:r>
      <w:proofErr w:type="spellEnd"/>
      <w:r w:rsidRPr="007E06D3">
        <w:rPr>
          <w:rFonts w:ascii="Times New Roman" w:hAnsi="Times New Roman" w:cs="Times New Roman"/>
          <w:sz w:val="20"/>
          <w:szCs w:val="20"/>
        </w:rPr>
        <w:t xml:space="preserve"> anti-mouse HRP followed by visualization with Cy5 for 4 minutes. At lasted, GFAP was incubated for 24 minutes at 37 ˚C followed by detection with </w:t>
      </w:r>
      <w:proofErr w:type="spellStart"/>
      <w:r w:rsidRPr="007E06D3">
        <w:rPr>
          <w:rFonts w:ascii="Times New Roman" w:hAnsi="Times New Roman" w:cs="Times New Roman"/>
          <w:sz w:val="20"/>
          <w:szCs w:val="20"/>
        </w:rPr>
        <w:t>omnimap</w:t>
      </w:r>
      <w:proofErr w:type="spellEnd"/>
      <w:r w:rsidRPr="007E06D3">
        <w:rPr>
          <w:rFonts w:ascii="Times New Roman" w:hAnsi="Times New Roman" w:cs="Times New Roman"/>
          <w:sz w:val="20"/>
          <w:szCs w:val="20"/>
        </w:rPr>
        <w:t xml:space="preserve"> anti-rabbit HRP for 20 minutes at 37 ˚C followed by visualization with FAM for 4 minutes</w:t>
      </w:r>
      <w:r w:rsidRPr="00FD694D">
        <w:rPr>
          <w:rFonts w:ascii="Times New Roman" w:hAnsi="Times New Roman" w:cs="Times New Roman"/>
          <w:sz w:val="20"/>
          <w:szCs w:val="20"/>
        </w:rPr>
        <w:t xml:space="preserve">. The slides were covered with anti-fading medium (DAKO, S3023) with DAPI. </w:t>
      </w:r>
    </w:p>
    <w:p w:rsidRPr="007E06D3" w:rsidR="00E93180" w:rsidP="00063994" w:rsidRDefault="00E93180" w14:paraId="4AF498E5" w14:textId="3B30D4CC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="00010939">
        <w:rPr>
          <w:rFonts w:ascii="Times New Roman" w:hAnsi="Times New Roman" w:cs="Times New Roman"/>
          <w:sz w:val="20"/>
          <w:szCs w:val="20"/>
        </w:rPr>
        <w:t xml:space="preserve">resulting images were visually assessed by the neuropathologists using ZEISS ZEN Microscopy Software (Carl Zeiss AG, </w:t>
      </w:r>
      <w:proofErr w:type="spellStart"/>
      <w:r w:rsidR="00010939">
        <w:rPr>
          <w:rFonts w:ascii="Times New Roman" w:hAnsi="Times New Roman" w:cs="Times New Roman"/>
          <w:sz w:val="20"/>
          <w:szCs w:val="20"/>
        </w:rPr>
        <w:t>Oberkochen</w:t>
      </w:r>
      <w:proofErr w:type="spellEnd"/>
      <w:r w:rsidR="00010939">
        <w:rPr>
          <w:rFonts w:ascii="Times New Roman" w:hAnsi="Times New Roman" w:cs="Times New Roman"/>
          <w:sz w:val="20"/>
          <w:szCs w:val="20"/>
        </w:rPr>
        <w:t>, Germany).</w:t>
      </w:r>
    </w:p>
    <w:p w:rsidR="005766D6" w:rsidRDefault="005766D6" w14:paraId="1A7BFD33" w14:textId="7777777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Pr="007E06D3" w:rsidR="00897EF7" w:rsidP="000B4F7A" w:rsidRDefault="005766D6" w14:paraId="68BEA5D3" w14:textId="504E601F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</w:t>
      </w:r>
      <w:r w:rsidRPr="007E06D3" w:rsidR="00897EF7">
        <w:rPr>
          <w:rFonts w:ascii="Times New Roman" w:hAnsi="Times New Roman" w:cs="Times New Roman"/>
          <w:b/>
          <w:sz w:val="20"/>
          <w:szCs w:val="20"/>
        </w:rPr>
        <w:t>Table 1. Antibody information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1348"/>
        <w:gridCol w:w="1643"/>
        <w:gridCol w:w="2700"/>
        <w:gridCol w:w="1859"/>
        <w:gridCol w:w="1517"/>
      </w:tblGrid>
      <w:tr w:rsidRPr="007E06D3" w:rsidR="006546F0" w:rsidTr="00CE26C2" w14:paraId="5FFACB7F" w14:textId="77777777">
        <w:trPr>
          <w:trHeight w:val="63"/>
        </w:trPr>
        <w:tc>
          <w:tcPr>
            <w:tcW w:w="1348" w:type="dxa"/>
            <w:noWrap/>
            <w:hideMark/>
          </w:tcPr>
          <w:p w:rsidRPr="007E06D3" w:rsidR="006546F0" w:rsidP="000B4F7A" w:rsidRDefault="006546F0" w14:paraId="74EC7075" w14:textId="77777777">
            <w:pPr>
              <w:spacing w:line="48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Antibody</w:t>
            </w:r>
          </w:p>
        </w:tc>
        <w:tc>
          <w:tcPr>
            <w:tcW w:w="1643" w:type="dxa"/>
            <w:noWrap/>
            <w:hideMark/>
          </w:tcPr>
          <w:p w:rsidRPr="007E06D3" w:rsidR="006546F0" w:rsidP="000B4F7A" w:rsidRDefault="006546F0" w14:paraId="2DA32C6B" w14:textId="77777777">
            <w:pPr>
              <w:spacing w:line="48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2700" w:type="dxa"/>
            <w:noWrap/>
            <w:hideMark/>
          </w:tcPr>
          <w:p w:rsidRPr="007E06D3" w:rsidR="006546F0" w:rsidP="000B4F7A" w:rsidRDefault="006546F0" w14:paraId="67EBDEB5" w14:textId="77777777">
            <w:pPr>
              <w:spacing w:line="48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Concentration/Dilution</w:t>
            </w:r>
          </w:p>
        </w:tc>
        <w:tc>
          <w:tcPr>
            <w:tcW w:w="1859" w:type="dxa"/>
            <w:noWrap/>
            <w:hideMark/>
          </w:tcPr>
          <w:p w:rsidRPr="007E06D3" w:rsidR="006546F0" w:rsidP="000B4F7A" w:rsidRDefault="006546F0" w14:paraId="5ECBBDCA" w14:textId="77777777">
            <w:pPr>
              <w:spacing w:line="48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Company</w:t>
            </w:r>
          </w:p>
        </w:tc>
        <w:tc>
          <w:tcPr>
            <w:tcW w:w="1517" w:type="dxa"/>
            <w:noWrap/>
            <w:hideMark/>
          </w:tcPr>
          <w:p w:rsidRPr="007E06D3" w:rsidR="006546F0" w:rsidP="000B4F7A" w:rsidRDefault="006546F0" w14:paraId="20405B49" w14:textId="1B3FD80F">
            <w:pPr>
              <w:spacing w:line="48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Clone</w:t>
            </w:r>
          </w:p>
        </w:tc>
      </w:tr>
      <w:tr w:rsidRPr="007E06D3" w:rsidR="006546F0" w:rsidTr="00CE26C2" w14:paraId="70113DD1" w14:textId="77777777">
        <w:trPr>
          <w:trHeight w:val="63"/>
        </w:trPr>
        <w:tc>
          <w:tcPr>
            <w:tcW w:w="0" w:type="auto"/>
            <w:noWrap/>
            <w:hideMark/>
          </w:tcPr>
          <w:p w:rsidRPr="007E06D3" w:rsidR="006546F0" w:rsidP="000B4F7A" w:rsidRDefault="006546F0" w14:paraId="6AC652A5" w14:textId="77777777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PSMA</w:t>
            </w:r>
          </w:p>
        </w:tc>
        <w:tc>
          <w:tcPr>
            <w:tcW w:w="0" w:type="auto"/>
            <w:noWrap/>
            <w:hideMark/>
          </w:tcPr>
          <w:p w:rsidRPr="007E06D3" w:rsidR="006546F0" w:rsidP="000B4F7A" w:rsidRDefault="006546F0" w14:paraId="555D736F" w14:textId="77777777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Anti-rabbit</w:t>
            </w:r>
          </w:p>
        </w:tc>
        <w:tc>
          <w:tcPr>
            <w:tcW w:w="2700" w:type="dxa"/>
            <w:noWrap/>
            <w:hideMark/>
          </w:tcPr>
          <w:p w:rsidRPr="007E06D3" w:rsidR="006546F0" w:rsidP="000B4F7A" w:rsidRDefault="006546F0" w14:paraId="7D224DF3" w14:textId="75B70FB0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13 </w:t>
            </w:r>
            <w:r w:rsidR="00CE26C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µ</w:t>
            </w: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g/ml</w:t>
            </w:r>
          </w:p>
        </w:tc>
        <w:tc>
          <w:tcPr>
            <w:tcW w:w="1859" w:type="dxa"/>
            <w:noWrap/>
            <w:hideMark/>
          </w:tcPr>
          <w:p w:rsidRPr="007E06D3" w:rsidR="006546F0" w:rsidP="000B4F7A" w:rsidRDefault="006546F0" w14:paraId="2815614F" w14:textId="77777777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Cell Marque</w:t>
            </w:r>
          </w:p>
        </w:tc>
        <w:tc>
          <w:tcPr>
            <w:tcW w:w="0" w:type="auto"/>
            <w:noWrap/>
            <w:hideMark/>
          </w:tcPr>
          <w:p w:rsidRPr="007E06D3" w:rsidR="006546F0" w:rsidP="000B4F7A" w:rsidRDefault="006546F0" w14:paraId="3AE2385C" w14:textId="485F9D72">
            <w:pPr>
              <w:spacing w:line="48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EP192</w:t>
            </w:r>
          </w:p>
        </w:tc>
      </w:tr>
      <w:tr w:rsidRPr="007E06D3" w:rsidR="006546F0" w:rsidTr="00CE26C2" w14:paraId="02CA0531" w14:textId="77777777">
        <w:trPr>
          <w:trHeight w:val="63"/>
        </w:trPr>
        <w:tc>
          <w:tcPr>
            <w:tcW w:w="0" w:type="auto"/>
            <w:noWrap/>
            <w:hideMark/>
          </w:tcPr>
          <w:p w:rsidRPr="007E06D3" w:rsidR="006546F0" w:rsidP="000B4F7A" w:rsidRDefault="006546F0" w14:paraId="607D7C53" w14:textId="77777777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Glut-1</w:t>
            </w:r>
          </w:p>
        </w:tc>
        <w:tc>
          <w:tcPr>
            <w:tcW w:w="0" w:type="auto"/>
            <w:noWrap/>
            <w:hideMark/>
          </w:tcPr>
          <w:p w:rsidRPr="007E06D3" w:rsidR="006546F0" w:rsidP="000B4F7A" w:rsidRDefault="006546F0" w14:paraId="491770AA" w14:textId="77777777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Anti-rabbit</w:t>
            </w:r>
          </w:p>
        </w:tc>
        <w:tc>
          <w:tcPr>
            <w:tcW w:w="2700" w:type="dxa"/>
            <w:noWrap/>
            <w:hideMark/>
          </w:tcPr>
          <w:p w:rsidRPr="007E06D3" w:rsidR="006546F0" w:rsidP="000B4F7A" w:rsidRDefault="006546F0" w14:paraId="234A14E8" w14:textId="15C3EE83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0,8 </w:t>
            </w:r>
            <w:r w:rsidR="00CE26C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µ</w:t>
            </w: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g/ml</w:t>
            </w:r>
          </w:p>
        </w:tc>
        <w:tc>
          <w:tcPr>
            <w:tcW w:w="1859" w:type="dxa"/>
            <w:noWrap/>
            <w:hideMark/>
          </w:tcPr>
          <w:p w:rsidRPr="007E06D3" w:rsidR="006546F0" w:rsidP="000B4F7A" w:rsidRDefault="006546F0" w14:paraId="6C10D861" w14:textId="77777777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Cell Marque</w:t>
            </w:r>
          </w:p>
        </w:tc>
        <w:tc>
          <w:tcPr>
            <w:tcW w:w="0" w:type="auto"/>
            <w:noWrap/>
            <w:hideMark/>
          </w:tcPr>
          <w:p w:rsidRPr="007E06D3" w:rsidR="006546F0" w:rsidP="000B4F7A" w:rsidRDefault="006546F0" w14:paraId="7666346D" w14:textId="0C1D2C88">
            <w:pPr>
              <w:spacing w:line="48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Pr="007E06D3" w:rsidR="006546F0" w:rsidTr="00CE26C2" w14:paraId="77A51DB8" w14:textId="77777777">
        <w:trPr>
          <w:trHeight w:val="63"/>
        </w:trPr>
        <w:tc>
          <w:tcPr>
            <w:tcW w:w="0" w:type="auto"/>
            <w:noWrap/>
          </w:tcPr>
          <w:p w:rsidRPr="007E06D3" w:rsidR="006546F0" w:rsidP="000B4F7A" w:rsidRDefault="006546F0" w14:paraId="1B35D59C" w14:textId="77777777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Nestin</w:t>
            </w:r>
            <w:proofErr w:type="spellEnd"/>
          </w:p>
        </w:tc>
        <w:tc>
          <w:tcPr>
            <w:tcW w:w="0" w:type="auto"/>
            <w:noWrap/>
          </w:tcPr>
          <w:p w:rsidRPr="007E06D3" w:rsidR="006546F0" w:rsidP="000B4F7A" w:rsidRDefault="006546F0" w14:paraId="7B508CF9" w14:textId="77777777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Anti-mouse</w:t>
            </w:r>
          </w:p>
        </w:tc>
        <w:tc>
          <w:tcPr>
            <w:tcW w:w="2700" w:type="dxa"/>
            <w:noWrap/>
          </w:tcPr>
          <w:p w:rsidRPr="007E06D3" w:rsidR="006546F0" w:rsidP="000B4F7A" w:rsidRDefault="006546F0" w14:paraId="5C3D325A" w14:textId="77777777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1:25600</w:t>
            </w:r>
          </w:p>
        </w:tc>
        <w:tc>
          <w:tcPr>
            <w:tcW w:w="1859" w:type="dxa"/>
            <w:noWrap/>
          </w:tcPr>
          <w:p w:rsidRPr="007E06D3" w:rsidR="006546F0" w:rsidP="000B4F7A" w:rsidRDefault="006546F0" w14:paraId="32C19750" w14:textId="77777777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NovusBio</w:t>
            </w:r>
            <w:proofErr w:type="spellEnd"/>
          </w:p>
        </w:tc>
        <w:tc>
          <w:tcPr>
            <w:tcW w:w="0" w:type="auto"/>
            <w:noWrap/>
          </w:tcPr>
          <w:p w:rsidRPr="007E06D3" w:rsidR="006546F0" w:rsidP="000B4F7A" w:rsidRDefault="006546F0" w14:paraId="127C5C34" w14:textId="0CB82DB1">
            <w:pPr>
              <w:spacing w:line="48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Pr="007E06D3" w:rsidR="006546F0" w:rsidTr="00CE26C2" w14:paraId="3C3A21BD" w14:textId="77777777">
        <w:trPr>
          <w:trHeight w:val="88"/>
        </w:trPr>
        <w:tc>
          <w:tcPr>
            <w:tcW w:w="0" w:type="auto"/>
            <w:noWrap/>
          </w:tcPr>
          <w:p w:rsidRPr="007E06D3" w:rsidR="006546F0" w:rsidP="000B4F7A" w:rsidRDefault="006546F0" w14:paraId="14720366" w14:textId="77777777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0" w:type="auto"/>
            <w:noWrap/>
          </w:tcPr>
          <w:p w:rsidRPr="007E06D3" w:rsidR="006546F0" w:rsidP="000B4F7A" w:rsidRDefault="006546F0" w14:paraId="74F914BA" w14:textId="77777777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Anti-rabbit</w:t>
            </w:r>
          </w:p>
        </w:tc>
        <w:tc>
          <w:tcPr>
            <w:tcW w:w="2700" w:type="dxa"/>
            <w:noWrap/>
          </w:tcPr>
          <w:p w:rsidRPr="007E06D3" w:rsidR="006546F0" w:rsidP="000B4F7A" w:rsidRDefault="006546F0" w14:paraId="129D1803" w14:textId="153C9737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 </w:t>
            </w:r>
            <w:r w:rsidR="00CE26C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µ</w:t>
            </w: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g/ml</w:t>
            </w:r>
          </w:p>
        </w:tc>
        <w:tc>
          <w:tcPr>
            <w:tcW w:w="1859" w:type="dxa"/>
            <w:noWrap/>
          </w:tcPr>
          <w:p w:rsidRPr="007E06D3" w:rsidR="006546F0" w:rsidP="000B4F7A" w:rsidRDefault="006546F0" w14:paraId="2FAEE90F" w14:textId="77777777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Cell Marque</w:t>
            </w:r>
          </w:p>
        </w:tc>
        <w:tc>
          <w:tcPr>
            <w:tcW w:w="0" w:type="auto"/>
            <w:noWrap/>
          </w:tcPr>
          <w:p w:rsidRPr="007E06D3" w:rsidR="006546F0" w:rsidP="000B4F7A" w:rsidRDefault="006546F0" w14:paraId="1223426B" w14:textId="29A54F8B">
            <w:pPr>
              <w:spacing w:line="48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EP6724</w:t>
            </w:r>
          </w:p>
        </w:tc>
      </w:tr>
      <w:tr w:rsidRPr="007E06D3" w:rsidR="006546F0" w:rsidTr="00CE26C2" w14:paraId="290F3ED2" w14:textId="77777777">
        <w:trPr>
          <w:trHeight w:val="88"/>
        </w:trPr>
        <w:tc>
          <w:tcPr>
            <w:tcW w:w="0" w:type="auto"/>
            <w:noWrap/>
          </w:tcPr>
          <w:p w:rsidRPr="007E06D3" w:rsidR="006546F0" w:rsidP="000B4F7A" w:rsidRDefault="006546F0" w14:paraId="1D2D1439" w14:textId="77777777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PDGFRb</w:t>
            </w:r>
            <w:proofErr w:type="spellEnd"/>
          </w:p>
        </w:tc>
        <w:tc>
          <w:tcPr>
            <w:tcW w:w="0" w:type="auto"/>
            <w:noWrap/>
          </w:tcPr>
          <w:p w:rsidRPr="007E06D3" w:rsidR="006546F0" w:rsidP="000B4F7A" w:rsidRDefault="006546F0" w14:paraId="656D89E6" w14:textId="77777777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Anti-mouse</w:t>
            </w:r>
          </w:p>
        </w:tc>
        <w:tc>
          <w:tcPr>
            <w:tcW w:w="2700" w:type="dxa"/>
            <w:noWrap/>
          </w:tcPr>
          <w:p w:rsidRPr="007E06D3" w:rsidR="006546F0" w:rsidP="000B4F7A" w:rsidRDefault="006546F0" w14:paraId="3650296D" w14:textId="77777777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1:800</w:t>
            </w:r>
          </w:p>
        </w:tc>
        <w:tc>
          <w:tcPr>
            <w:tcW w:w="1859" w:type="dxa"/>
            <w:noWrap/>
          </w:tcPr>
          <w:p w:rsidRPr="007E06D3" w:rsidR="006546F0" w:rsidP="000B4F7A" w:rsidRDefault="006546F0" w14:paraId="3C521184" w14:textId="77777777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R&amp;D</w:t>
            </w:r>
          </w:p>
        </w:tc>
        <w:tc>
          <w:tcPr>
            <w:tcW w:w="0" w:type="auto"/>
            <w:noWrap/>
          </w:tcPr>
          <w:p w:rsidRPr="007E06D3" w:rsidR="006546F0" w:rsidP="000B4F7A" w:rsidRDefault="006546F0" w14:paraId="6E332713" w14:textId="0EA08C09">
            <w:pPr>
              <w:spacing w:line="48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7E06D3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Pr="007E06D3" w:rsidR="0003284B" w:rsidP="004E7347" w:rsidRDefault="0049261F" w14:paraId="46012259" w14:textId="19AADBB6">
      <w:pPr>
        <w:spacing w:line="480" w:lineRule="auto"/>
        <w:rPr>
          <w:rFonts w:ascii="Times New Roman" w:hAnsi="Times New Roman" w:eastAsia="Arial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Abbreviations: </w:t>
      </w:r>
      <w:r w:rsidR="001F37CC">
        <w:rPr>
          <w:rFonts w:ascii="Times New Roman" w:hAnsi="Times New Roman" w:cs="Times New Roman"/>
          <w:sz w:val="20"/>
          <w:szCs w:val="20"/>
        </w:rPr>
        <w:t xml:space="preserve">Glut-1 = </w:t>
      </w:r>
      <w:r w:rsidRPr="55A1FB37" w:rsidR="00991B05">
        <w:rPr>
          <w:rFonts w:ascii="Times New Roman" w:hAnsi="Times New Roman" w:cs="Times New Roman"/>
          <w:sz w:val="20"/>
          <w:szCs w:val="20"/>
        </w:rPr>
        <w:t>glucose transporter-1</w:t>
      </w:r>
      <w:r w:rsidR="00991B05">
        <w:rPr>
          <w:rFonts w:ascii="Times New Roman" w:hAnsi="Times New Roman" w:cs="Times New Roman"/>
          <w:sz w:val="20"/>
          <w:szCs w:val="20"/>
        </w:rPr>
        <w:t xml:space="preserve">, GFAP = </w:t>
      </w:r>
      <w:r w:rsidR="0009476C">
        <w:rPr>
          <w:rFonts w:ascii="Times New Roman" w:hAnsi="Times New Roman" w:cs="Times New Roman"/>
          <w:sz w:val="20"/>
          <w:szCs w:val="20"/>
        </w:rPr>
        <w:t>g</w:t>
      </w:r>
      <w:r w:rsidRPr="0009476C" w:rsidR="0009476C">
        <w:rPr>
          <w:rFonts w:ascii="Times New Roman" w:hAnsi="Times New Roman" w:cs="Times New Roman"/>
          <w:sz w:val="20"/>
          <w:szCs w:val="20"/>
        </w:rPr>
        <w:t>lial fibrillary acidic protein</w:t>
      </w:r>
      <w:r w:rsidR="004E734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E7347">
        <w:rPr>
          <w:rFonts w:ascii="Times New Roman" w:hAnsi="Times New Roman" w:cs="Times New Roman"/>
          <w:sz w:val="20"/>
          <w:szCs w:val="20"/>
        </w:rPr>
        <w:t>PDGFRb</w:t>
      </w:r>
      <w:proofErr w:type="spellEnd"/>
      <w:r w:rsidR="004E7347">
        <w:rPr>
          <w:rFonts w:ascii="Times New Roman" w:hAnsi="Times New Roman" w:cs="Times New Roman"/>
          <w:sz w:val="20"/>
          <w:szCs w:val="20"/>
        </w:rPr>
        <w:t xml:space="preserve"> = </w:t>
      </w:r>
      <w:r w:rsidRPr="006546F0" w:rsidR="006546F0">
        <w:rPr>
          <w:rFonts w:ascii="Times New Roman" w:hAnsi="Times New Roman" w:cs="Times New Roman"/>
          <w:sz w:val="20"/>
          <w:szCs w:val="20"/>
        </w:rPr>
        <w:t>Platelet-derived growth factor receptors</w:t>
      </w:r>
      <w:r w:rsidR="006546F0">
        <w:rPr>
          <w:rFonts w:ascii="Times New Roman" w:hAnsi="Times New Roman" w:cs="Times New Roman"/>
          <w:sz w:val="20"/>
          <w:szCs w:val="20"/>
        </w:rPr>
        <w:t xml:space="preserve"> beta</w:t>
      </w:r>
      <w:r w:rsidR="004E7347">
        <w:rPr>
          <w:rFonts w:ascii="Times New Roman" w:hAnsi="Times New Roman" w:cs="Times New Roman"/>
          <w:sz w:val="20"/>
          <w:szCs w:val="20"/>
        </w:rPr>
        <w:t>, PSMA = prostate-specific membrane antigen.</w:t>
      </w:r>
    </w:p>
    <w:p w:rsidRPr="007E06D3" w:rsidR="5B584DA2" w:rsidP="00BE4F55" w:rsidRDefault="5B584DA2" w14:paraId="4F4623FE" w14:textId="41E554C0">
      <w:pPr>
        <w:spacing w:line="480" w:lineRule="auto"/>
        <w:rPr>
          <w:rFonts w:ascii="Times New Roman" w:hAnsi="Times New Roman" w:eastAsia="Arial" w:cs="Times New Roman"/>
          <w:b/>
          <w:bCs/>
          <w:i/>
          <w:iCs/>
          <w:sz w:val="20"/>
          <w:szCs w:val="20"/>
        </w:rPr>
      </w:pPr>
    </w:p>
    <w:sectPr w:rsidRPr="007E06D3" w:rsidR="5B584DA2" w:rsidSect="007E06D3">
      <w:footerReference w:type="default" r:id="rId7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E06D3" w:rsidP="007E06D3" w:rsidRDefault="007E06D3" w14:paraId="18BB1E6A" w14:textId="77777777">
      <w:pPr>
        <w:spacing w:after="0" w:line="240" w:lineRule="auto"/>
      </w:pPr>
      <w:r>
        <w:separator/>
      </w:r>
    </w:p>
  </w:endnote>
  <w:endnote w:type="continuationSeparator" w:id="0">
    <w:p w:rsidR="007E06D3" w:rsidP="007E06D3" w:rsidRDefault="007E06D3" w14:paraId="39ABF4E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3373036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Pr="007E06D3" w:rsidR="007E06D3" w:rsidRDefault="007E06D3" w14:paraId="02424AFA" w14:textId="5A331D2E">
        <w:pPr>
          <w:pStyle w:val="Voettekst"/>
          <w:jc w:val="right"/>
          <w:rPr>
            <w:rFonts w:ascii="Times New Roman" w:hAnsi="Times New Roman" w:cs="Times New Roman"/>
            <w:sz w:val="20"/>
            <w:szCs w:val="20"/>
          </w:rPr>
        </w:pPr>
        <w:r w:rsidRPr="007E06D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E06D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E06D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7E06D3">
          <w:rPr>
            <w:rFonts w:ascii="Times New Roman" w:hAnsi="Times New Roman" w:cs="Times New Roman"/>
            <w:sz w:val="20"/>
            <w:szCs w:val="20"/>
            <w:lang w:val="nl-NL"/>
          </w:rPr>
          <w:t>2</w:t>
        </w:r>
        <w:r w:rsidRPr="007E06D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Pr="007E06D3" w:rsidR="007E06D3" w:rsidRDefault="007E06D3" w14:paraId="67EBB083" w14:textId="77777777">
    <w:pPr>
      <w:pStyle w:val="Voettekst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E06D3" w:rsidP="007E06D3" w:rsidRDefault="007E06D3" w14:paraId="4F9D6B95" w14:textId="77777777">
      <w:pPr>
        <w:spacing w:after="0" w:line="240" w:lineRule="auto"/>
      </w:pPr>
      <w:r>
        <w:separator/>
      </w:r>
    </w:p>
  </w:footnote>
  <w:footnote w:type="continuationSeparator" w:id="0">
    <w:p w:rsidR="007E06D3" w:rsidP="007E06D3" w:rsidRDefault="007E06D3" w14:paraId="73058A3B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27E119"/>
    <w:rsid w:val="00010939"/>
    <w:rsid w:val="0003284B"/>
    <w:rsid w:val="00063960"/>
    <w:rsid w:val="00063994"/>
    <w:rsid w:val="0009476C"/>
    <w:rsid w:val="000B4F7A"/>
    <w:rsid w:val="001900D8"/>
    <w:rsid w:val="001C7740"/>
    <w:rsid w:val="001F37CC"/>
    <w:rsid w:val="002429C2"/>
    <w:rsid w:val="00261B0A"/>
    <w:rsid w:val="00282C4A"/>
    <w:rsid w:val="00292EF9"/>
    <w:rsid w:val="002E043E"/>
    <w:rsid w:val="00325978"/>
    <w:rsid w:val="003A7A89"/>
    <w:rsid w:val="0049261F"/>
    <w:rsid w:val="004E7347"/>
    <w:rsid w:val="004F35EC"/>
    <w:rsid w:val="0052146F"/>
    <w:rsid w:val="005766D6"/>
    <w:rsid w:val="00603893"/>
    <w:rsid w:val="006546F0"/>
    <w:rsid w:val="00780EEA"/>
    <w:rsid w:val="007E06D3"/>
    <w:rsid w:val="00897EF7"/>
    <w:rsid w:val="008D4108"/>
    <w:rsid w:val="009423C9"/>
    <w:rsid w:val="00991B05"/>
    <w:rsid w:val="009D22E7"/>
    <w:rsid w:val="00B159A2"/>
    <w:rsid w:val="00B7277B"/>
    <w:rsid w:val="00BB2726"/>
    <w:rsid w:val="00BE4F55"/>
    <w:rsid w:val="00C11674"/>
    <w:rsid w:val="00C57D58"/>
    <w:rsid w:val="00CE26C2"/>
    <w:rsid w:val="00CF74A4"/>
    <w:rsid w:val="00D94CF8"/>
    <w:rsid w:val="00DA4C9D"/>
    <w:rsid w:val="00E77851"/>
    <w:rsid w:val="00E93180"/>
    <w:rsid w:val="00E96E47"/>
    <w:rsid w:val="00F8096E"/>
    <w:rsid w:val="00FD694D"/>
    <w:rsid w:val="00FF236F"/>
    <w:rsid w:val="06F89DB6"/>
    <w:rsid w:val="08B77FCD"/>
    <w:rsid w:val="1DD13970"/>
    <w:rsid w:val="20A61A32"/>
    <w:rsid w:val="320838CE"/>
    <w:rsid w:val="324EB3B4"/>
    <w:rsid w:val="40185A6A"/>
    <w:rsid w:val="48444718"/>
    <w:rsid w:val="5527E119"/>
    <w:rsid w:val="59113CEE"/>
    <w:rsid w:val="5B584DA2"/>
    <w:rsid w:val="76BB4B06"/>
    <w:rsid w:val="7E33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7E119"/>
  <w15:chartTrackingRefBased/>
  <w15:docId w15:val="{3C13FD93-9153-4B09-B0D4-325D3C5E7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rPr>
      <w:rFonts w:eastAsiaTheme="majorEastAsia" w:cstheme="majorBidi"/>
      <w:color w:val="272727" w:themeColor="text1" w:themeTint="D8"/>
    </w:rPr>
  </w:style>
  <w:style w:type="character" w:styleId="TitelChar" w:customStyle="1">
    <w:name w:val="Titel Char"/>
    <w:basedOn w:val="Standaardalinea-lettertype"/>
    <w:link w:val="Titel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el">
    <w:name w:val="Title"/>
    <w:basedOn w:val="Standaard"/>
    <w:next w:val="Standaard"/>
    <w:link w:val="Titel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OndertitelChar" w:customStyle="1">
    <w:name w:val="Ondertitel Char"/>
    <w:basedOn w:val="Standaardalinea-lettertype"/>
    <w:link w:val="Onderti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ievebenadrukking">
    <w:name w:val="Intense Emphasis"/>
    <w:basedOn w:val="Standaardalinea-lettertype"/>
    <w:uiPriority w:val="21"/>
    <w:qFormat/>
    <w:rPr>
      <w:i/>
      <w:iCs/>
      <w:color w:val="0F4761" w:themeColor="accent1" w:themeShade="BF"/>
    </w:rPr>
  </w:style>
  <w:style w:type="character" w:styleId="CitaatChar" w:customStyle="1">
    <w:name w:val="Citaat Char"/>
    <w:basedOn w:val="Standaardalinea-lettertype"/>
    <w:link w:val="Citaat"/>
    <w:uiPriority w:val="29"/>
    <w:rPr>
      <w:i/>
      <w:iCs/>
      <w:color w:val="404040" w:themeColor="text1" w:themeTint="BF"/>
    </w:rPr>
  </w:style>
  <w:style w:type="paragraph" w:styleId="Citaat">
    <w:name w:val="Quote"/>
    <w:basedOn w:val="Standaard"/>
    <w:next w:val="Standaard"/>
    <w:link w:val="Citaa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94CF8"/>
    <w:pPr>
      <w:spacing w:before="240" w:after="0" w:line="259" w:lineRule="auto"/>
      <w:outlineLvl w:val="9"/>
    </w:pPr>
    <w:rPr>
      <w:sz w:val="32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94CF8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D94CF8"/>
    <w:rPr>
      <w:color w:val="467886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E06D3"/>
    <w:pPr>
      <w:tabs>
        <w:tab w:val="center" w:pos="4680"/>
        <w:tab w:val="right" w:pos="9360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E06D3"/>
  </w:style>
  <w:style w:type="paragraph" w:styleId="Voettekst">
    <w:name w:val="footer"/>
    <w:basedOn w:val="Standaard"/>
    <w:link w:val="VoettekstChar"/>
    <w:uiPriority w:val="99"/>
    <w:unhideWhenUsed/>
    <w:rsid w:val="007E06D3"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E06D3"/>
  </w:style>
  <w:style w:type="table" w:styleId="Tabelraster">
    <w:name w:val="Table Grid"/>
    <w:basedOn w:val="Standaardtabel"/>
    <w:uiPriority w:val="39"/>
    <w:rsid w:val="006546F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4CB2A-0EF3-4728-9F15-2C3CA75D7F1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Ilanah Pruis</dc:creator>
  <keywords/>
  <dc:description/>
  <lastModifiedBy>Ilanah Pruis</lastModifiedBy>
  <revision>4</revision>
  <dcterms:created xsi:type="dcterms:W3CDTF">2025-04-18T09:00:00.0000000Z</dcterms:created>
  <dcterms:modified xsi:type="dcterms:W3CDTF">2025-04-19T09:59:25.3258422Z</dcterms:modified>
</coreProperties>
</file>