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02B4" w:rsidRPr="00126996" w:rsidRDefault="00E802B4" w:rsidP="00E802B4">
      <w:pPr>
        <w:tabs>
          <w:tab w:val="left" w:pos="2326"/>
        </w:tabs>
        <w:rPr>
          <w:b/>
          <w:i/>
          <w:color w:val="000000" w:themeColor="text1"/>
          <w:lang w:val="en-US"/>
        </w:rPr>
      </w:pPr>
      <w:r w:rsidRPr="00126996">
        <w:rPr>
          <w:b/>
          <w:i/>
          <w:color w:val="000000" w:themeColor="text1"/>
          <w:lang w:val="en-US"/>
        </w:rPr>
        <w:t>Regional Properties of the Left Ventricle</w:t>
      </w:r>
    </w:p>
    <w:p w:rsidR="00E802B4" w:rsidRPr="00126996" w:rsidRDefault="00E802B4" w:rsidP="00E802B4">
      <w:pPr>
        <w:tabs>
          <w:tab w:val="left" w:pos="2326"/>
        </w:tabs>
        <w:rPr>
          <w:b/>
          <w:i/>
          <w:color w:val="000000" w:themeColor="text1"/>
          <w:lang w:val="en-US"/>
        </w:rPr>
      </w:pPr>
    </w:p>
    <w:p w:rsidR="00E802B4" w:rsidRPr="00126996" w:rsidRDefault="00E802B4" w:rsidP="00E802B4">
      <w:pPr>
        <w:tabs>
          <w:tab w:val="left" w:pos="2326"/>
        </w:tabs>
        <w:spacing w:line="360" w:lineRule="auto"/>
        <w:jc w:val="both"/>
        <w:rPr>
          <w:color w:val="000000" w:themeColor="text1"/>
          <w:lang w:val="en-US"/>
        </w:rPr>
      </w:pPr>
      <w:r w:rsidRPr="00126996">
        <w:rPr>
          <w:color w:val="000000" w:themeColor="text1"/>
          <w:lang w:val="en-US"/>
        </w:rPr>
        <w:t xml:space="preserve">Global LV dimensions and derived functional parameters, such as EDV and LVEF, are widely accepted as surrogate markers of LV remodeling and cardiac function in both clinical and preclinical settings. Nevertheless, these functional parameters do not provide information about properties of the scar itself. Hence, we evaluated regional scar properties based on a cine CMR approach, recently developed by us </w:t>
      </w:r>
      <w:r w:rsidRPr="00126996">
        <w:rPr>
          <w:color w:val="000000" w:themeColor="text1"/>
          <w:lang w:val="en-US"/>
        </w:rPr>
        <w:fldChar w:fldCharType="begin">
          <w:fldData xml:space="preserve">PEVuZE5vdGU+PENpdGU+PEF1dGhvcj5MYW5nPC9BdXRob3I+PFllYXI+MjAyMTwvWWVhcj48UmVj
TnVtPjM2OTwvUmVjTnVtPjxEaXNwbGF5VGV4dD5bMTddPC9EaXNwbGF5VGV4dD48cmVjb3JkPjxy
ZWMtbnVtYmVyPjM2OTwvcmVjLW51bWJlcj48Zm9yZWlnbi1rZXlzPjxrZXkgYXBwPSJFTiIgZGIt
aWQ9Ijk5eHJmc3JhcnZ4OXR4ZXgwdjB2YXI5b3Mwd3o5ZmVmc2Q1ZiIgdGltZXN0YW1wPSIxNjIy
OTgyMDI5Ij4zNjk8L2tleT48L2ZvcmVpZ24ta2V5cz48cmVmLXR5cGUgbmFtZT0iSm91cm5hbCBB
cnRpY2xlIj4xNzwvcmVmLXR5cGU+PGNvbnRyaWJ1dG9ycz48YXV0aG9ycz48YXV0aG9yPkxhbmcs
IEMuIEkuPC9hdXRob3I+PGF1dGhvcj5WYXN1ZGV2YW4sIFAuPC9hdXRob3I+PGF1dGhvcj5Eb3Jp
bmcsIFAuPC9hdXRob3I+PGF1dGhvcj5HYWJlbCwgUi48L2F1dGhvcj48YXV0aG9yPkxlbWNrZSwg
SC48L2F1dGhvcj48YXV0aG9yPkxpbmRuZXIsIFQuPC9hdXRob3I+PGF1dGhvcj5TdGVpbmhvZmYs
IEcuPC9hdXRob3I+PGF1dGhvcj5LcmF1c2UsIEIuIEouPC9hdXRob3I+PGF1dGhvcj5Wb2xsbWFy
LCBCLjwvYXV0aG9yPjxhdXRob3I+TWVpbmVsLCBGLiBHLjwvYXV0aG9yPjxhdXRob3I+WXVjZWws
IFMuPC9hdXRob3I+PGF1dGhvcj5PbmVyLCBBLjwvYXV0aG9yPjxhdXRob3I+SW5jZSwgSC48L2F1
dGhvcj48YXV0aG9yPkRhdmlkLCBSLjwvYXV0aG9yPjwvYXV0aG9ycz48L2NvbnRyaWJ1dG9ycz48
YXV0aC1hZGRyZXNzPkRlcGFydG1lbnQgb2YgQ2FyZGlvbG9neSwgUm9zdG9jayBVbml2ZXJzaXR5
IE1lZGljYWwgQ2VudGVyLCBSb3N0b2NrLCBHZXJtYW55LiBjYWpldGFuLmxhbmdAbWVkLnVuaS1y
b3N0b2NrLmRlLiYjeEQ7RGVwYXJ0bWVudCBvZiBDYXJkaWFjIFN1cmdlcnksIFJvc3RvY2sgVW5p
dmVyc2l0eSBNZWRpY2FsIENlbnRlciwgUm9zdG9jaywgR2VybWFueS4mI3hEO0RlcGFydG1lbnQg
b2YgTGlmZSwgTGlnaHQgYW5kIE1hdHRlciwgVW5pdmVyc2l0eSBvZiBSb3N0b2NrLCBSb3N0b2Nr
LCBHZXJtYW55LiYjeEQ7RGVwYXJ0bWVudCBvZiBOdWNsZWFyIE1lZGljaW5lLCBSb3N0b2NrIFVu
aXZlcnNpdHkgTWVkaWNhbCBDZW50ZXIsIFJvc3RvY2ssIEdlcm1hbnkuJiN4RDtDb3JlIEZhY2ls
aXR5IE11bHRpbW9kYWwgU21hbGwgQW5pbWFsIEltYWdpbmcsIFJvc3RvY2sgVW5pdmVyc2l0eSBN
ZWRpY2FsIENlbnRlciwgUm9zdG9jaywgR2VybWFueS4mI3hEO1J1ZG9sZi1aZW5rZXItSW5zdGl0
dXRlIGZvciBFeHBlcmltZW50YWwgU3VyZ2VyeSwgUm9zdG9jayBVbml2ZXJzaXR5IE1lZGljYWwg
Q2VudGVyLCBSb3N0b2NrLCBHZXJtYW55LiYjeEQ7SW5zdGl0dXRlIG9mIERpYWdub3N0aWMgYW5k
IEludGVydmVudGlvbmFsIFJhZGlvbG9neSwgUm9zdG9jayBVbml2ZXJzaXR5IE1lZGljYWwgQ2Vu
dGVyLCBSb3N0b2NrLCBHZXJtYW55LiYjeEQ7RGVwYXJ0bWVudCBvZiBDYXJkaW9sb2d5LCBSb3N0
b2NrIFVuaXZlcnNpdHkgTWVkaWNhbCBDZW50ZXIsIFJvc3RvY2ssIEdlcm1hbnkuPC9hdXRoLWFk
ZHJlc3M+PHRpdGxlcz48dGl0bGU+RXhwZWRpZW50IGFzc2Vzc21lbnQgb2YgcG9zdC1pbmZhcmN0
IHJlbW9kZWxpbmcgYnkgbmF0aXZlIGNhcmRpYWMgbWFnbmV0aWMgcmVzb25hbmNlIGltYWdpbmcg
aW4gbWljZTwvdGl0bGU+PHNlY29uZGFyeS10aXRsZT5TY2kgUmVwPC9zZWNvbmRhcnktdGl0bGU+
PC90aXRsZXM+PHBlcmlvZGljYWw+PGZ1bGwtdGl0bGU+U2NpIFJlcDwvZnVsbC10aXRsZT48L3Bl
cmlvZGljYWw+PHBhZ2VzPjExNjI1PC9wYWdlcz48dm9sdW1lPjExPC92b2x1bWU+PG51bWJlcj4x
PC9udW1iZXI+PGVkaXRpb24+MjAyMS8wNi8wNDwvZWRpdGlvbj48ZGF0ZXM+PHllYXI+MjAyMTwv
eWVhcj48cHViLWRhdGVzPjxkYXRlPkp1biAyPC9kYXRlPjwvcHViLWRhdGVzPjwvZGF0ZXM+PGlz
Ym4+MjA0NS0yMzIyIChFbGVjdHJvbmljKSYjeEQ7MjA0NS0yMzIyIChMaW5raW5nKTwvaXNibj48
YWNjZXNzaW9uLW51bT4zNDA3OTAwNTwvYWNjZXNzaW9uLW51bT48dXJscz48cmVsYXRlZC11cmxz
Pjx1cmw+aHR0cHM6Ly93d3cubmNiaS5ubG0ubmloLmdvdi9wdWJtZWQvMzQwNzkwMDU8L3VybD48
L3JlbGF0ZWQtdXJscz48L3VybHM+PGVsZWN0cm9uaWMtcmVzb3VyY2UtbnVtPjEwLjEwMzgvczQx
NTk4LTAyMS05MTA5Ni00PC9lbGVjdHJvbmljLXJlc291cmNlLW51bT48L3JlY29yZD48L0NpdGU+
PC9FbmROb3RlPgB=
</w:fldData>
        </w:fldChar>
      </w:r>
      <w:r w:rsidRPr="00126996">
        <w:rPr>
          <w:color w:val="000000" w:themeColor="text1"/>
          <w:lang w:val="en-US"/>
        </w:rPr>
        <w:instrText xml:space="preserve"> ADDIN EN.CITE </w:instrText>
      </w:r>
      <w:r w:rsidRPr="00126996">
        <w:rPr>
          <w:color w:val="000000" w:themeColor="text1"/>
          <w:lang w:val="en-US"/>
        </w:rPr>
        <w:fldChar w:fldCharType="begin">
          <w:fldData xml:space="preserve">PEVuZE5vdGU+PENpdGU+PEF1dGhvcj5MYW5nPC9BdXRob3I+PFllYXI+MjAyMTwvWWVhcj48UmVj
TnVtPjM2OTwvUmVjTnVtPjxEaXNwbGF5VGV4dD5bMTddPC9EaXNwbGF5VGV4dD48cmVjb3JkPjxy
ZWMtbnVtYmVyPjM2OTwvcmVjLW51bWJlcj48Zm9yZWlnbi1rZXlzPjxrZXkgYXBwPSJFTiIgZGIt
aWQ9Ijk5eHJmc3JhcnZ4OXR4ZXgwdjB2YXI5b3Mwd3o5ZmVmc2Q1ZiIgdGltZXN0YW1wPSIxNjIy
OTgyMDI5Ij4zNjk8L2tleT48L2ZvcmVpZ24ta2V5cz48cmVmLXR5cGUgbmFtZT0iSm91cm5hbCBB
cnRpY2xlIj4xNzwvcmVmLXR5cGU+PGNvbnRyaWJ1dG9ycz48YXV0aG9ycz48YXV0aG9yPkxhbmcs
IEMuIEkuPC9hdXRob3I+PGF1dGhvcj5WYXN1ZGV2YW4sIFAuPC9hdXRob3I+PGF1dGhvcj5Eb3Jp
bmcsIFAuPC9hdXRob3I+PGF1dGhvcj5HYWJlbCwgUi48L2F1dGhvcj48YXV0aG9yPkxlbWNrZSwg
SC48L2F1dGhvcj48YXV0aG9yPkxpbmRuZXIsIFQuPC9hdXRob3I+PGF1dGhvcj5TdGVpbmhvZmYs
IEcuPC9hdXRob3I+PGF1dGhvcj5LcmF1c2UsIEIuIEouPC9hdXRob3I+PGF1dGhvcj5Wb2xsbWFy
LCBCLjwvYXV0aG9yPjxhdXRob3I+TWVpbmVsLCBGLiBHLjwvYXV0aG9yPjxhdXRob3I+WXVjZWws
IFMuPC9hdXRob3I+PGF1dGhvcj5PbmVyLCBBLjwvYXV0aG9yPjxhdXRob3I+SW5jZSwgSC48L2F1
dGhvcj48YXV0aG9yPkRhdmlkLCBSLjwvYXV0aG9yPjwvYXV0aG9ycz48L2NvbnRyaWJ1dG9ycz48
YXV0aC1hZGRyZXNzPkRlcGFydG1lbnQgb2YgQ2FyZGlvbG9neSwgUm9zdG9jayBVbml2ZXJzaXR5
IE1lZGljYWwgQ2VudGVyLCBSb3N0b2NrLCBHZXJtYW55LiBjYWpldGFuLmxhbmdAbWVkLnVuaS1y
b3N0b2NrLmRlLiYjeEQ7RGVwYXJ0bWVudCBvZiBDYXJkaWFjIFN1cmdlcnksIFJvc3RvY2sgVW5p
dmVyc2l0eSBNZWRpY2FsIENlbnRlciwgUm9zdG9jaywgR2VybWFueS4mI3hEO0RlcGFydG1lbnQg
b2YgTGlmZSwgTGlnaHQgYW5kIE1hdHRlciwgVW5pdmVyc2l0eSBvZiBSb3N0b2NrLCBSb3N0b2Nr
LCBHZXJtYW55LiYjeEQ7RGVwYXJ0bWVudCBvZiBOdWNsZWFyIE1lZGljaW5lLCBSb3N0b2NrIFVu
aXZlcnNpdHkgTWVkaWNhbCBDZW50ZXIsIFJvc3RvY2ssIEdlcm1hbnkuJiN4RDtDb3JlIEZhY2ls
aXR5IE11bHRpbW9kYWwgU21hbGwgQW5pbWFsIEltYWdpbmcsIFJvc3RvY2sgVW5pdmVyc2l0eSBN
ZWRpY2FsIENlbnRlciwgUm9zdG9jaywgR2VybWFueS4mI3hEO1J1ZG9sZi1aZW5rZXItSW5zdGl0
dXRlIGZvciBFeHBlcmltZW50YWwgU3VyZ2VyeSwgUm9zdG9jayBVbml2ZXJzaXR5IE1lZGljYWwg
Q2VudGVyLCBSb3N0b2NrLCBHZXJtYW55LiYjeEQ7SW5zdGl0dXRlIG9mIERpYWdub3N0aWMgYW5k
IEludGVydmVudGlvbmFsIFJhZGlvbG9neSwgUm9zdG9jayBVbml2ZXJzaXR5IE1lZGljYWwgQ2Vu
dGVyLCBSb3N0b2NrLCBHZXJtYW55LiYjeEQ7RGVwYXJ0bWVudCBvZiBDYXJkaW9sb2d5LCBSb3N0
b2NrIFVuaXZlcnNpdHkgTWVkaWNhbCBDZW50ZXIsIFJvc3RvY2ssIEdlcm1hbnkuPC9hdXRoLWFk
ZHJlc3M+PHRpdGxlcz48dGl0bGU+RXhwZWRpZW50IGFzc2Vzc21lbnQgb2YgcG9zdC1pbmZhcmN0
IHJlbW9kZWxpbmcgYnkgbmF0aXZlIGNhcmRpYWMgbWFnbmV0aWMgcmVzb25hbmNlIGltYWdpbmcg
aW4gbWljZTwvdGl0bGU+PHNlY29uZGFyeS10aXRsZT5TY2kgUmVwPC9zZWNvbmRhcnktdGl0bGU+
PC90aXRsZXM+PHBlcmlvZGljYWw+PGZ1bGwtdGl0bGU+U2NpIFJlcDwvZnVsbC10aXRsZT48L3Bl
cmlvZGljYWw+PHBhZ2VzPjExNjI1PC9wYWdlcz48dm9sdW1lPjExPC92b2x1bWU+PG51bWJlcj4x
PC9udW1iZXI+PGVkaXRpb24+MjAyMS8wNi8wNDwvZWRpdGlvbj48ZGF0ZXM+PHllYXI+MjAyMTwv
eWVhcj48cHViLWRhdGVzPjxkYXRlPkp1biAyPC9kYXRlPjwvcHViLWRhdGVzPjwvZGF0ZXM+PGlz
Ym4+MjA0NS0yMzIyIChFbGVjdHJvbmljKSYjeEQ7MjA0NS0yMzIyIChMaW5raW5nKTwvaXNibj48
YWNjZXNzaW9uLW51bT4zNDA3OTAwNTwvYWNjZXNzaW9uLW51bT48dXJscz48cmVsYXRlZC11cmxz
Pjx1cmw+aHR0cHM6Ly93d3cubmNiaS5ubG0ubmloLmdvdi9wdWJtZWQvMzQwNzkwMDU8L3VybD48
L3JlbGF0ZWQtdXJscz48L3VybHM+PGVsZWN0cm9uaWMtcmVzb3VyY2UtbnVtPjEwLjEwMzgvczQx
NTk4LTAyMS05MTA5Ni00PC9lbGVjdHJvbmljLXJlc291cmNlLW51bT48L3JlY29yZD48L0NpdGU+
PC9FbmROb3RlPgB=
</w:fldData>
        </w:fldChar>
      </w:r>
      <w:r w:rsidRPr="00126996">
        <w:rPr>
          <w:color w:val="000000" w:themeColor="text1"/>
          <w:lang w:val="en-US"/>
        </w:rPr>
        <w:instrText xml:space="preserve"> ADDIN EN.CITE.DATA </w:instrText>
      </w:r>
      <w:r w:rsidRPr="00126996">
        <w:rPr>
          <w:color w:val="000000" w:themeColor="text1"/>
          <w:lang w:val="en-US"/>
        </w:rPr>
      </w:r>
      <w:r w:rsidRPr="00126996">
        <w:rPr>
          <w:color w:val="000000" w:themeColor="text1"/>
          <w:lang w:val="en-US"/>
        </w:rPr>
        <w:fldChar w:fldCharType="end"/>
      </w:r>
      <w:r w:rsidRPr="00126996">
        <w:rPr>
          <w:color w:val="000000" w:themeColor="text1"/>
          <w:lang w:val="en-US"/>
        </w:rPr>
      </w:r>
      <w:r w:rsidRPr="00126996">
        <w:rPr>
          <w:color w:val="000000" w:themeColor="text1"/>
          <w:lang w:val="en-US"/>
        </w:rPr>
        <w:fldChar w:fldCharType="separate"/>
      </w:r>
      <w:r w:rsidRPr="00126996">
        <w:rPr>
          <w:noProof/>
          <w:color w:val="000000" w:themeColor="text1"/>
          <w:lang w:val="en-US"/>
        </w:rPr>
        <w:t>[17]</w:t>
      </w:r>
      <w:r w:rsidRPr="00126996">
        <w:rPr>
          <w:color w:val="000000" w:themeColor="text1"/>
          <w:lang w:val="en-US"/>
        </w:rPr>
        <w:fldChar w:fldCharType="end"/>
      </w:r>
      <w:r w:rsidRPr="00126996">
        <w:rPr>
          <w:color w:val="000000" w:themeColor="text1"/>
          <w:lang w:val="en-US"/>
        </w:rPr>
        <w:t>.</w:t>
      </w:r>
    </w:p>
    <w:p w:rsidR="00E802B4" w:rsidRPr="00126996" w:rsidRDefault="00E802B4" w:rsidP="00E802B4">
      <w:pPr>
        <w:tabs>
          <w:tab w:val="left" w:pos="2326"/>
        </w:tabs>
        <w:spacing w:line="360" w:lineRule="auto"/>
        <w:jc w:val="both"/>
        <w:rPr>
          <w:color w:val="000000" w:themeColor="text1"/>
          <w:lang w:val="en-US"/>
        </w:rPr>
      </w:pPr>
      <w:r w:rsidRPr="00126996">
        <w:rPr>
          <w:color w:val="000000" w:themeColor="text1"/>
          <w:lang w:val="en-US"/>
        </w:rPr>
        <w:t>The septal myocardium was thicker in both PL and IR compared to the SHAM group, reaching a level of statistical significance in the PL group only. (SHAM: 0.76 ± 0.07 mm, PL: 0.90 ± 0.15 mm, IR: 0.82 ± 0.06 mm; SHAM vs PL: p=</w:t>
      </w:r>
      <w:r w:rsidRPr="00126996">
        <w:rPr>
          <w:color w:val="000000" w:themeColor="text1"/>
          <w:sz w:val="22"/>
          <w:szCs w:val="22"/>
          <w:lang w:val="en-US"/>
        </w:rPr>
        <w:t>0.027</w:t>
      </w:r>
      <w:r w:rsidRPr="00126996">
        <w:rPr>
          <w:color w:val="000000" w:themeColor="text1"/>
          <w:lang w:val="en-US"/>
        </w:rPr>
        <w:t xml:space="preserve">). </w:t>
      </w:r>
    </w:p>
    <w:p w:rsidR="00E802B4" w:rsidRPr="00126996" w:rsidRDefault="00E802B4" w:rsidP="00E802B4">
      <w:pPr>
        <w:tabs>
          <w:tab w:val="left" w:pos="2326"/>
        </w:tabs>
        <w:spacing w:line="360" w:lineRule="auto"/>
        <w:jc w:val="both"/>
        <w:rPr>
          <w:color w:val="000000" w:themeColor="text1"/>
          <w:lang w:val="en-US"/>
        </w:rPr>
      </w:pPr>
      <w:r w:rsidRPr="00126996">
        <w:rPr>
          <w:color w:val="000000" w:themeColor="text1"/>
          <w:lang w:val="en-US"/>
        </w:rPr>
        <w:t>Relevant thinning of the scar – represented by the lateral wall thickness - was present in the PL group only (SHAM: 0.83 ± 0.11 mm, PL: 0.36 ± 0.11 mm, IR: 0.77 ± 0.10 mm; SHAM vs PL: p</w:t>
      </w:r>
      <w:r w:rsidRPr="00126996">
        <w:rPr>
          <w:color w:val="000000" w:themeColor="text1"/>
          <w:sz w:val="22"/>
          <w:szCs w:val="22"/>
          <w:lang w:val="en-US"/>
        </w:rPr>
        <w:t>&lt;0.001</w:t>
      </w:r>
      <w:r w:rsidRPr="00126996">
        <w:rPr>
          <w:color w:val="000000" w:themeColor="text1"/>
          <w:lang w:val="en-US"/>
        </w:rPr>
        <w:t>) (</w:t>
      </w:r>
      <w:r w:rsidR="00693C01" w:rsidRPr="00126996">
        <w:rPr>
          <w:i/>
          <w:color w:val="000000" w:themeColor="text1"/>
          <w:lang w:val="en-US"/>
        </w:rPr>
        <w:t xml:space="preserve">Supplemental </w:t>
      </w:r>
      <w:r w:rsidRPr="00126996">
        <w:rPr>
          <w:i/>
          <w:color w:val="000000" w:themeColor="text1"/>
          <w:lang w:val="en-US"/>
        </w:rPr>
        <w:t xml:space="preserve">Figure 1, </w:t>
      </w:r>
      <w:r w:rsidR="00693C01" w:rsidRPr="00126996">
        <w:rPr>
          <w:i/>
          <w:color w:val="000000" w:themeColor="text1"/>
          <w:lang w:val="en-US"/>
        </w:rPr>
        <w:t>2</w:t>
      </w:r>
      <w:r w:rsidRPr="00126996">
        <w:rPr>
          <w:color w:val="000000" w:themeColor="text1"/>
          <w:lang w:val="en-US"/>
        </w:rPr>
        <w:t>).</w:t>
      </w:r>
    </w:p>
    <w:p w:rsidR="00E802B4" w:rsidRPr="00126996" w:rsidRDefault="00E802B4" w:rsidP="00E802B4">
      <w:pPr>
        <w:tabs>
          <w:tab w:val="left" w:pos="2326"/>
        </w:tabs>
        <w:spacing w:line="360" w:lineRule="auto"/>
        <w:jc w:val="both"/>
        <w:rPr>
          <w:color w:val="000000" w:themeColor="text1"/>
          <w:lang w:val="en-US"/>
        </w:rPr>
      </w:pPr>
      <w:r w:rsidRPr="00126996">
        <w:rPr>
          <w:color w:val="000000" w:themeColor="text1"/>
          <w:lang w:val="en-US"/>
        </w:rPr>
        <w:t>Likewise, wall thickening as a measure of radial contractility, was significantly reduced in the PL group in the lateral segments of the LV wall, corresponding to the scar area (SHAM: 0.35 ± 0.09 mm, PL: -0.02 ± 0.04 mm, IR: 0.30 ± 0.07 mm; SHAM vs PL: p&lt;0.001). Wall thickening in the septal wall seemed impaired in the PL group, yet not to a statistically significant extent (SHAM: 0.36 ± 0.06 mm, PL: 0.24 ± 0.12 mm, IR: 0.32 ± 0.10 mm). (</w:t>
      </w:r>
      <w:r w:rsidR="004734B6" w:rsidRPr="00126996">
        <w:rPr>
          <w:i/>
          <w:color w:val="000000" w:themeColor="text1"/>
          <w:lang w:val="en-US"/>
        </w:rPr>
        <w:t>Supplemental Figure 1, 2</w:t>
      </w:r>
      <w:r w:rsidRPr="00126996">
        <w:rPr>
          <w:color w:val="000000" w:themeColor="text1"/>
          <w:lang w:val="en-US"/>
        </w:rPr>
        <w:t>).</w:t>
      </w:r>
    </w:p>
    <w:p w:rsidR="00E802B4" w:rsidRPr="00126996" w:rsidRDefault="00E802B4" w:rsidP="00E802B4">
      <w:pPr>
        <w:tabs>
          <w:tab w:val="left" w:pos="2326"/>
        </w:tabs>
        <w:spacing w:line="360" w:lineRule="auto"/>
        <w:jc w:val="both"/>
        <w:rPr>
          <w:color w:val="000000" w:themeColor="text1"/>
          <w:lang w:val="en-US"/>
        </w:rPr>
      </w:pPr>
      <w:bookmarkStart w:id="0" w:name="_GoBack"/>
      <w:bookmarkEnd w:id="0"/>
    </w:p>
    <w:p w:rsidR="00E802B4" w:rsidRPr="00126996" w:rsidRDefault="00E802B4" w:rsidP="00E802B4">
      <w:pPr>
        <w:tabs>
          <w:tab w:val="left" w:pos="2326"/>
        </w:tabs>
        <w:jc w:val="both"/>
        <w:rPr>
          <w:color w:val="000000" w:themeColor="text1"/>
          <w:lang w:val="en-US"/>
        </w:rPr>
      </w:pPr>
      <w:r w:rsidRPr="00126996">
        <w:rPr>
          <w:noProof/>
          <w:color w:val="000000" w:themeColor="text1"/>
          <w:lang w:eastAsia="de-DE"/>
        </w:rPr>
        <w:lastRenderedPageBreak/>
        <w:drawing>
          <wp:inline distT="0" distB="0" distL="0" distR="0" wp14:anchorId="43212285" wp14:editId="693620A8">
            <wp:extent cx="5756400" cy="4190400"/>
            <wp:effectExtent l="0" t="0" r="0" b="635"/>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bbildung 3.pdf"/>
                    <pic:cNvPicPr/>
                  </pic:nvPicPr>
                  <pic:blipFill>
                    <a:blip r:embed="rId4">
                      <a:extLst>
                        <a:ext uri="{28A0092B-C50C-407E-A947-70E740481C1C}">
                          <a14:useLocalDpi xmlns:a14="http://schemas.microsoft.com/office/drawing/2010/main" val="0"/>
                        </a:ext>
                      </a:extLst>
                    </a:blip>
                    <a:stretch>
                      <a:fillRect/>
                    </a:stretch>
                  </pic:blipFill>
                  <pic:spPr>
                    <a:xfrm>
                      <a:off x="0" y="0"/>
                      <a:ext cx="5756400" cy="4190400"/>
                    </a:xfrm>
                    <a:prstGeom prst="rect">
                      <a:avLst/>
                    </a:prstGeom>
                  </pic:spPr>
                </pic:pic>
              </a:graphicData>
            </a:graphic>
          </wp:inline>
        </w:drawing>
      </w:r>
    </w:p>
    <w:p w:rsidR="00E802B4" w:rsidRPr="00126996" w:rsidRDefault="00FB3CF2" w:rsidP="00E802B4">
      <w:pPr>
        <w:tabs>
          <w:tab w:val="left" w:pos="2326"/>
        </w:tabs>
        <w:spacing w:before="100" w:beforeAutospacing="1"/>
        <w:jc w:val="both"/>
        <w:rPr>
          <w:rFonts w:ascii="MinionPro" w:eastAsia="Times New Roman" w:hAnsi="MinionPro" w:cs="Times New Roman"/>
          <w:color w:val="000000" w:themeColor="text1"/>
          <w:sz w:val="18"/>
          <w:szCs w:val="18"/>
          <w:lang w:val="en-US" w:eastAsia="de-DE"/>
        </w:rPr>
      </w:pPr>
      <w:r w:rsidRPr="00126996">
        <w:rPr>
          <w:b/>
          <w:i/>
          <w:color w:val="000000" w:themeColor="text1"/>
          <w:sz w:val="22"/>
          <w:szCs w:val="22"/>
          <w:lang w:val="en-US"/>
        </w:rPr>
        <w:t xml:space="preserve">Supplemental </w:t>
      </w:r>
      <w:r w:rsidR="00E802B4" w:rsidRPr="00126996">
        <w:rPr>
          <w:b/>
          <w:i/>
          <w:color w:val="000000" w:themeColor="text1"/>
          <w:sz w:val="22"/>
          <w:szCs w:val="22"/>
          <w:lang w:val="en-US"/>
        </w:rPr>
        <w:t>Figure 1:</w:t>
      </w:r>
      <w:r w:rsidR="00E802B4" w:rsidRPr="00126996">
        <w:rPr>
          <w:b/>
          <w:color w:val="000000" w:themeColor="text1"/>
          <w:sz w:val="22"/>
          <w:szCs w:val="22"/>
          <w:lang w:val="en-US"/>
        </w:rPr>
        <w:t xml:space="preserve"> Regional Properties of the LV visualized as bulls-eye plots. </w:t>
      </w:r>
      <w:r w:rsidR="00E802B4" w:rsidRPr="00126996">
        <w:rPr>
          <w:color w:val="000000" w:themeColor="text1"/>
          <w:sz w:val="22"/>
          <w:szCs w:val="22"/>
          <w:lang w:val="en-US"/>
        </w:rPr>
        <w:t xml:space="preserve">Representative images of SHAM, </w:t>
      </w:r>
      <w:r w:rsidR="00E802B4" w:rsidRPr="00126996">
        <w:rPr>
          <w:rFonts w:cstheme="minorHAnsi"/>
          <w:color w:val="000000" w:themeColor="text1"/>
          <w:sz w:val="22"/>
          <w:szCs w:val="22"/>
          <w:lang w:val="en-US"/>
        </w:rPr>
        <w:t xml:space="preserve">PL and IR animals. Upper row: end-diastolic wall thickness. Lower row: wall thickening. The inner ring represents the apical slice, the outer ring the basal slice. </w:t>
      </w:r>
      <w:r w:rsidR="00E802B4" w:rsidRPr="00126996">
        <w:rPr>
          <w:rFonts w:eastAsia="Times New Roman" w:cstheme="minorHAnsi"/>
          <w:color w:val="000000" w:themeColor="text1"/>
          <w:sz w:val="22"/>
          <w:szCs w:val="22"/>
          <w:lang w:val="en-US" w:eastAsia="de-DE"/>
        </w:rPr>
        <w:t>Each slice was divided into six segments as visualized. The septal wall is represented by the respective segments 2 and 3, the lateral wall by the respective segments 5 and 6.</w:t>
      </w:r>
      <w:r w:rsidR="00E802B4" w:rsidRPr="00126996">
        <w:rPr>
          <w:rFonts w:ascii="MinionPro" w:eastAsia="Times New Roman" w:hAnsi="MinionPro" w:cs="Times New Roman"/>
          <w:color w:val="000000" w:themeColor="text1"/>
          <w:sz w:val="18"/>
          <w:szCs w:val="18"/>
          <w:lang w:val="en-US" w:eastAsia="de-DE"/>
        </w:rPr>
        <w:t xml:space="preserve"> </w:t>
      </w:r>
    </w:p>
    <w:p w:rsidR="00E802B4" w:rsidRPr="00126996" w:rsidRDefault="00E802B4" w:rsidP="00E802B4">
      <w:pPr>
        <w:tabs>
          <w:tab w:val="left" w:pos="2326"/>
        </w:tabs>
        <w:spacing w:before="100" w:beforeAutospacing="1"/>
        <w:jc w:val="both"/>
        <w:rPr>
          <w:rFonts w:ascii="MinionPro" w:eastAsia="Times New Roman" w:hAnsi="MinionPro" w:cs="Times New Roman"/>
          <w:color w:val="000000" w:themeColor="text1"/>
          <w:sz w:val="18"/>
          <w:szCs w:val="18"/>
          <w:lang w:val="en-US" w:eastAsia="de-DE"/>
        </w:rPr>
      </w:pPr>
    </w:p>
    <w:p w:rsidR="00E802B4" w:rsidRPr="00126996" w:rsidRDefault="00E802B4" w:rsidP="00E802B4">
      <w:pPr>
        <w:tabs>
          <w:tab w:val="left" w:pos="2326"/>
        </w:tabs>
        <w:jc w:val="both"/>
        <w:rPr>
          <w:color w:val="000000" w:themeColor="text1"/>
          <w:lang w:val="en-US"/>
        </w:rPr>
      </w:pPr>
      <w:r w:rsidRPr="00126996">
        <w:rPr>
          <w:noProof/>
          <w:color w:val="000000" w:themeColor="text1"/>
          <w:lang w:eastAsia="de-DE"/>
        </w:rPr>
        <w:drawing>
          <wp:inline distT="0" distB="0" distL="0" distR="0" wp14:anchorId="5C8FACCA" wp14:editId="0EE4A078">
            <wp:extent cx="5756910" cy="2425065"/>
            <wp:effectExtent l="0" t="0" r="0" b="63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all.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56910" cy="2425065"/>
                    </a:xfrm>
                    <a:prstGeom prst="rect">
                      <a:avLst/>
                    </a:prstGeom>
                  </pic:spPr>
                </pic:pic>
              </a:graphicData>
            </a:graphic>
          </wp:inline>
        </w:drawing>
      </w:r>
    </w:p>
    <w:p w:rsidR="00E802B4" w:rsidRPr="00126996" w:rsidRDefault="00FB3CF2" w:rsidP="00E802B4">
      <w:pPr>
        <w:tabs>
          <w:tab w:val="left" w:pos="2858"/>
        </w:tabs>
        <w:spacing w:before="100" w:beforeAutospacing="1"/>
        <w:jc w:val="both"/>
        <w:rPr>
          <w:color w:val="000000" w:themeColor="text1"/>
          <w:sz w:val="22"/>
          <w:szCs w:val="22"/>
          <w:lang w:val="en-US"/>
        </w:rPr>
      </w:pPr>
      <w:r w:rsidRPr="00126996">
        <w:rPr>
          <w:b/>
          <w:i/>
          <w:color w:val="000000" w:themeColor="text1"/>
          <w:sz w:val="22"/>
          <w:szCs w:val="22"/>
          <w:lang w:val="en-US"/>
        </w:rPr>
        <w:t>Supplemental Figure 2:</w:t>
      </w:r>
      <w:r w:rsidRPr="00126996">
        <w:rPr>
          <w:b/>
          <w:color w:val="000000" w:themeColor="text1"/>
          <w:sz w:val="22"/>
          <w:szCs w:val="22"/>
          <w:lang w:val="en-US"/>
        </w:rPr>
        <w:t xml:space="preserve"> </w:t>
      </w:r>
      <w:r w:rsidR="00E802B4" w:rsidRPr="00126996">
        <w:rPr>
          <w:b/>
          <w:color w:val="000000" w:themeColor="text1"/>
          <w:sz w:val="22"/>
          <w:szCs w:val="22"/>
          <w:lang w:val="en-US"/>
        </w:rPr>
        <w:t xml:space="preserve">Regional wall analysis of short-axis slices 3–5. </w:t>
      </w:r>
      <w:r w:rsidR="00E802B4" w:rsidRPr="00126996">
        <w:rPr>
          <w:color w:val="000000" w:themeColor="text1"/>
          <w:sz w:val="22"/>
          <w:szCs w:val="22"/>
          <w:lang w:val="en-US"/>
        </w:rPr>
        <w:t xml:space="preserve">Wall thickness was assessed in end-diastolic images. Wall thickening is the difference between end-systolic and end-diastolic wall thickness. Boxplots show medians (center lines), 25th and 75th percentiles (box limits), and whiskers (1.5 IQR); outliers are squares. </w:t>
      </w:r>
      <w:r w:rsidR="00E802B4" w:rsidRPr="00126996">
        <w:rPr>
          <w:rFonts w:cstheme="minorHAnsi"/>
          <w:color w:val="000000" w:themeColor="text1"/>
          <w:sz w:val="22"/>
          <w:szCs w:val="22"/>
          <w:shd w:val="clear" w:color="auto" w:fill="FFFFFF"/>
          <w:lang w:val="en-US"/>
        </w:rPr>
        <w:t xml:space="preserve">One-way ANOVA followed by Tukey’s post hoc was used to compare </w:t>
      </w:r>
      <w:r w:rsidR="00E802B4" w:rsidRPr="00126996">
        <w:rPr>
          <w:rFonts w:cstheme="minorHAnsi"/>
          <w:color w:val="000000" w:themeColor="text1"/>
          <w:sz w:val="22"/>
          <w:szCs w:val="22"/>
          <w:shd w:val="clear" w:color="auto" w:fill="FFFFFF"/>
          <w:lang w:val="en-US"/>
        </w:rPr>
        <w:lastRenderedPageBreak/>
        <w:t xml:space="preserve">experimental groups. </w:t>
      </w:r>
      <w:r w:rsidR="00E802B4" w:rsidRPr="00126996">
        <w:rPr>
          <w:color w:val="000000" w:themeColor="text1"/>
          <w:sz w:val="22"/>
          <w:szCs w:val="22"/>
          <w:lang w:val="en-US"/>
        </w:rPr>
        <w:t xml:space="preserve">* p &lt; 0.05 compared to control group. # p &lt; 0.05 compared to PL group. </w:t>
      </w:r>
      <w:r w:rsidR="00E802B4" w:rsidRPr="00126996">
        <w:rPr>
          <w:rFonts w:cstheme="minorHAnsi"/>
          <w:color w:val="000000" w:themeColor="text1"/>
          <w:sz w:val="22"/>
          <w:szCs w:val="22"/>
          <w:shd w:val="clear" w:color="auto" w:fill="FFFFFF"/>
          <w:lang w:val="en-US"/>
        </w:rPr>
        <w:t>SHAM: n = 8; PL: n = 9; I/R: n = 9.</w:t>
      </w:r>
    </w:p>
    <w:p w:rsidR="00E802B4" w:rsidRPr="00126996" w:rsidRDefault="00E802B4">
      <w:pPr>
        <w:rPr>
          <w:color w:val="000000" w:themeColor="text1"/>
          <w:lang w:val="en-US"/>
        </w:rPr>
      </w:pPr>
    </w:p>
    <w:p w:rsidR="00E802B4" w:rsidRPr="00126996" w:rsidRDefault="00E802B4">
      <w:pPr>
        <w:rPr>
          <w:color w:val="000000" w:themeColor="text1"/>
          <w:lang w:val="en-US"/>
        </w:rPr>
      </w:pPr>
    </w:p>
    <w:p w:rsidR="00E802B4" w:rsidRPr="00126996" w:rsidRDefault="00E802B4">
      <w:pPr>
        <w:rPr>
          <w:color w:val="000000" w:themeColor="text1"/>
          <w:lang w:val="en-US"/>
        </w:rPr>
      </w:pPr>
    </w:p>
    <w:p w:rsidR="00E802B4" w:rsidRPr="00126996" w:rsidRDefault="00E802B4" w:rsidP="00E802B4">
      <w:pPr>
        <w:tabs>
          <w:tab w:val="left" w:pos="2326"/>
        </w:tabs>
        <w:spacing w:line="360" w:lineRule="auto"/>
        <w:jc w:val="both"/>
        <w:rPr>
          <w:color w:val="000000" w:themeColor="text1"/>
          <w:lang w:val="en-US"/>
        </w:rPr>
      </w:pPr>
      <w:r w:rsidRPr="00126996">
        <w:rPr>
          <w:color w:val="000000" w:themeColor="text1"/>
          <w:lang w:val="en-US"/>
        </w:rPr>
        <w:t>Capillary density of the left ventricle was quantified by tomato lectin staining within septal and lateral segments separately. Capillary density was dramatically reduced in the lateral segments (scar) in the PL group compared to the SHAM group (</w:t>
      </w:r>
      <w:r w:rsidRPr="00126996">
        <w:rPr>
          <w:color w:val="000000" w:themeColor="text1"/>
          <w:sz w:val="22"/>
          <w:szCs w:val="22"/>
          <w:lang w:val="en-US"/>
        </w:rPr>
        <w:t>PL vs SHAM: p&lt;0.001)</w:t>
      </w:r>
      <w:r w:rsidRPr="00126996">
        <w:rPr>
          <w:color w:val="000000" w:themeColor="text1"/>
          <w:lang w:val="en-US"/>
        </w:rPr>
        <w:t>. Similar observations were made in the septal segments (</w:t>
      </w:r>
      <w:r w:rsidRPr="00126996">
        <w:rPr>
          <w:color w:val="000000" w:themeColor="text1"/>
          <w:sz w:val="22"/>
          <w:szCs w:val="22"/>
          <w:lang w:val="en-US"/>
        </w:rPr>
        <w:t xml:space="preserve">PL vs SHAM: p=0.027) </w:t>
      </w:r>
      <w:r w:rsidRPr="00126996">
        <w:rPr>
          <w:color w:val="000000" w:themeColor="text1"/>
          <w:lang w:val="en-US"/>
        </w:rPr>
        <w:t>(</w:t>
      </w:r>
      <w:r w:rsidR="00603331" w:rsidRPr="00126996">
        <w:rPr>
          <w:i/>
          <w:color w:val="000000" w:themeColor="text1"/>
          <w:lang w:val="en-US"/>
        </w:rPr>
        <w:t>Supplemental Figure 3</w:t>
      </w:r>
      <w:r w:rsidRPr="00126996">
        <w:rPr>
          <w:color w:val="000000" w:themeColor="text1"/>
          <w:lang w:val="en-US"/>
        </w:rPr>
        <w:t>).</w:t>
      </w:r>
    </w:p>
    <w:p w:rsidR="00E802B4" w:rsidRPr="00126996" w:rsidRDefault="00E802B4" w:rsidP="00E802B4">
      <w:pPr>
        <w:tabs>
          <w:tab w:val="left" w:pos="2326"/>
        </w:tabs>
        <w:spacing w:line="360" w:lineRule="auto"/>
        <w:jc w:val="both"/>
        <w:rPr>
          <w:color w:val="000000" w:themeColor="text1"/>
          <w:lang w:val="en-US"/>
        </w:rPr>
      </w:pPr>
    </w:p>
    <w:p w:rsidR="00E802B4" w:rsidRPr="00126996" w:rsidRDefault="00E802B4" w:rsidP="00E802B4">
      <w:pPr>
        <w:tabs>
          <w:tab w:val="left" w:pos="2326"/>
        </w:tabs>
        <w:spacing w:line="360" w:lineRule="auto"/>
        <w:jc w:val="both"/>
        <w:rPr>
          <w:color w:val="000000" w:themeColor="text1"/>
          <w:lang w:val="en-US"/>
        </w:rPr>
      </w:pPr>
    </w:p>
    <w:p w:rsidR="00E802B4" w:rsidRPr="00126996" w:rsidRDefault="00E802B4" w:rsidP="00E802B4">
      <w:pPr>
        <w:tabs>
          <w:tab w:val="left" w:pos="2326"/>
        </w:tabs>
        <w:spacing w:line="360" w:lineRule="auto"/>
        <w:jc w:val="both"/>
        <w:rPr>
          <w:color w:val="000000" w:themeColor="text1"/>
          <w:lang w:val="en-US"/>
        </w:rPr>
      </w:pPr>
    </w:p>
    <w:p w:rsidR="00E802B4" w:rsidRPr="00126996" w:rsidRDefault="00E802B4" w:rsidP="00E802B4">
      <w:pPr>
        <w:tabs>
          <w:tab w:val="left" w:pos="2326"/>
        </w:tabs>
        <w:spacing w:line="360" w:lineRule="auto"/>
        <w:jc w:val="both"/>
        <w:rPr>
          <w:color w:val="000000" w:themeColor="text1"/>
          <w:lang w:val="en-US"/>
        </w:rPr>
      </w:pPr>
      <w:r w:rsidRPr="00126996">
        <w:rPr>
          <w:noProof/>
          <w:color w:val="000000" w:themeColor="text1"/>
          <w:lang w:eastAsia="de-DE"/>
        </w:rPr>
        <w:drawing>
          <wp:inline distT="0" distB="0" distL="0" distR="0" wp14:anchorId="7C9282B6" wp14:editId="1BAD6CEA">
            <wp:extent cx="5756910" cy="187261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12.pdf"/>
                    <pic:cNvPicPr/>
                  </pic:nvPicPr>
                  <pic:blipFill>
                    <a:blip r:embed="rId6">
                      <a:extLst>
                        <a:ext uri="{28A0092B-C50C-407E-A947-70E740481C1C}">
                          <a14:useLocalDpi xmlns:a14="http://schemas.microsoft.com/office/drawing/2010/main" val="0"/>
                        </a:ext>
                      </a:extLst>
                    </a:blip>
                    <a:stretch>
                      <a:fillRect/>
                    </a:stretch>
                  </pic:blipFill>
                  <pic:spPr>
                    <a:xfrm>
                      <a:off x="0" y="0"/>
                      <a:ext cx="5762131" cy="1874313"/>
                    </a:xfrm>
                    <a:prstGeom prst="rect">
                      <a:avLst/>
                    </a:prstGeom>
                  </pic:spPr>
                </pic:pic>
              </a:graphicData>
            </a:graphic>
          </wp:inline>
        </w:drawing>
      </w:r>
    </w:p>
    <w:p w:rsidR="00E802B4" w:rsidRPr="00126996" w:rsidRDefault="00E802B4" w:rsidP="00E802B4">
      <w:pPr>
        <w:tabs>
          <w:tab w:val="left" w:pos="2326"/>
        </w:tabs>
        <w:jc w:val="both"/>
        <w:rPr>
          <w:color w:val="000000" w:themeColor="text1"/>
          <w:lang w:val="en-US"/>
        </w:rPr>
      </w:pPr>
      <w:r w:rsidRPr="00126996">
        <w:rPr>
          <w:noProof/>
          <w:color w:val="000000" w:themeColor="text1"/>
          <w:lang w:eastAsia="de-DE"/>
        </w:rPr>
        <w:drawing>
          <wp:inline distT="0" distB="0" distL="0" distR="0" wp14:anchorId="67381CF4" wp14:editId="6EBBB593">
            <wp:extent cx="5756910" cy="2407920"/>
            <wp:effectExtent l="0" t="0" r="0" b="508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api.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6910" cy="2407920"/>
                    </a:xfrm>
                    <a:prstGeom prst="rect">
                      <a:avLst/>
                    </a:prstGeom>
                  </pic:spPr>
                </pic:pic>
              </a:graphicData>
            </a:graphic>
          </wp:inline>
        </w:drawing>
      </w:r>
    </w:p>
    <w:p w:rsidR="00E802B4" w:rsidRPr="00126996" w:rsidRDefault="001004F1" w:rsidP="00E802B4">
      <w:pPr>
        <w:tabs>
          <w:tab w:val="left" w:pos="2326"/>
        </w:tabs>
        <w:spacing w:before="100" w:beforeAutospacing="1"/>
        <w:jc w:val="both"/>
        <w:rPr>
          <w:color w:val="000000" w:themeColor="text1"/>
          <w:sz w:val="22"/>
          <w:szCs w:val="22"/>
          <w:lang w:val="en-US"/>
        </w:rPr>
      </w:pPr>
      <w:r w:rsidRPr="00126996">
        <w:rPr>
          <w:b/>
          <w:i/>
          <w:color w:val="000000" w:themeColor="text1"/>
          <w:sz w:val="22"/>
          <w:szCs w:val="22"/>
          <w:lang w:val="en-US"/>
        </w:rPr>
        <w:t>Supplemental Figure 3</w:t>
      </w:r>
      <w:r w:rsidR="00E802B4" w:rsidRPr="00126996">
        <w:rPr>
          <w:b/>
          <w:i/>
          <w:color w:val="000000" w:themeColor="text1"/>
          <w:sz w:val="22"/>
          <w:szCs w:val="22"/>
          <w:lang w:val="en-US"/>
        </w:rPr>
        <w:t xml:space="preserve">: Capillary Density 4 Weeks post-MI. A </w:t>
      </w:r>
      <w:r w:rsidR="00E802B4" w:rsidRPr="00126996">
        <w:rPr>
          <w:color w:val="000000" w:themeColor="text1"/>
          <w:sz w:val="22"/>
          <w:lang w:val="en-US"/>
        </w:rPr>
        <w:t>Capillary density was assessed by fluorescence microscopy using tomato lectin and DAPI for cell nuclei.</w:t>
      </w:r>
      <w:r w:rsidR="00E802B4" w:rsidRPr="00126996">
        <w:rPr>
          <w:color w:val="000000" w:themeColor="text1"/>
          <w:sz w:val="22"/>
          <w:szCs w:val="22"/>
          <w:lang w:val="en-US"/>
        </w:rPr>
        <w:t xml:space="preserve"> </w:t>
      </w:r>
      <w:r w:rsidR="00E802B4" w:rsidRPr="00126996">
        <w:rPr>
          <w:b/>
          <w:i/>
          <w:color w:val="000000" w:themeColor="text1"/>
          <w:sz w:val="22"/>
          <w:szCs w:val="22"/>
          <w:lang w:val="en-US"/>
        </w:rPr>
        <w:t>B</w:t>
      </w:r>
      <w:r w:rsidR="00E802B4" w:rsidRPr="00126996">
        <w:rPr>
          <w:color w:val="000000" w:themeColor="text1"/>
          <w:sz w:val="22"/>
          <w:szCs w:val="22"/>
          <w:lang w:val="en-US"/>
        </w:rPr>
        <w:t xml:space="preserve"> Comparison of capillary density in the septal, lateral and total LV area.</w:t>
      </w:r>
      <w:r w:rsidR="00E802B4" w:rsidRPr="00126996">
        <w:rPr>
          <w:color w:val="000000" w:themeColor="text1"/>
          <w:sz w:val="22"/>
          <w:lang w:val="en-US"/>
        </w:rPr>
        <w:t xml:space="preserve"> </w:t>
      </w:r>
      <w:r w:rsidR="00E802B4" w:rsidRPr="00126996">
        <w:rPr>
          <w:color w:val="000000" w:themeColor="text1"/>
          <w:sz w:val="22"/>
          <w:szCs w:val="22"/>
          <w:lang w:val="en-US"/>
        </w:rPr>
        <w:t xml:space="preserve">Boxplots show medians (center lines), 25th and 75th percentiles (box limits), and whiskers (1.5 IQR). Outliers are squares; individual data points are dots. </w:t>
      </w:r>
      <w:r w:rsidR="00E802B4" w:rsidRPr="00126996">
        <w:rPr>
          <w:rFonts w:cstheme="minorHAnsi"/>
          <w:color w:val="000000" w:themeColor="text1"/>
          <w:sz w:val="22"/>
          <w:szCs w:val="22"/>
          <w:shd w:val="clear" w:color="auto" w:fill="FFFFFF"/>
          <w:lang w:val="en-US"/>
        </w:rPr>
        <w:t xml:space="preserve">One-way ANOVA followed by Tukey’s post hoc was used to compare experimental groups. </w:t>
      </w:r>
      <w:r w:rsidR="00E802B4" w:rsidRPr="00126996">
        <w:rPr>
          <w:color w:val="000000" w:themeColor="text1"/>
          <w:sz w:val="22"/>
          <w:szCs w:val="22"/>
          <w:lang w:val="en-US"/>
        </w:rPr>
        <w:t>* p &lt; 0.05 compared to SHAM group. # p &lt; 0.05 compared to PL group.</w:t>
      </w:r>
      <w:r w:rsidR="00E802B4" w:rsidRPr="00126996">
        <w:rPr>
          <w:color w:val="000000" w:themeColor="text1"/>
          <w:lang w:val="en-US"/>
        </w:rPr>
        <w:t xml:space="preserve"> </w:t>
      </w:r>
      <w:r w:rsidR="00E802B4" w:rsidRPr="00126996">
        <w:rPr>
          <w:rFonts w:cstheme="minorHAnsi"/>
          <w:color w:val="000000" w:themeColor="text1"/>
          <w:sz w:val="22"/>
          <w:szCs w:val="22"/>
          <w:shd w:val="clear" w:color="auto" w:fill="FFFFFF"/>
          <w:lang w:val="en-US"/>
        </w:rPr>
        <w:t xml:space="preserve">SHAM: n = 4; PL: n = 4; I/R: n = 4. </w:t>
      </w:r>
      <w:r w:rsidR="00E802B4" w:rsidRPr="00126996">
        <w:rPr>
          <w:color w:val="000000" w:themeColor="text1"/>
          <w:sz w:val="22"/>
          <w:szCs w:val="22"/>
          <w:lang w:val="en-US"/>
        </w:rPr>
        <w:t>Scale bar: 100 µm.</w:t>
      </w:r>
    </w:p>
    <w:p w:rsidR="00E802B4" w:rsidRPr="00126996" w:rsidRDefault="00E802B4" w:rsidP="00E802B4">
      <w:pPr>
        <w:tabs>
          <w:tab w:val="left" w:pos="2326"/>
        </w:tabs>
        <w:spacing w:line="360" w:lineRule="auto"/>
        <w:jc w:val="both"/>
        <w:rPr>
          <w:color w:val="000000" w:themeColor="text1"/>
          <w:sz w:val="22"/>
          <w:szCs w:val="22"/>
          <w:lang w:val="en-US"/>
        </w:rPr>
      </w:pPr>
    </w:p>
    <w:p w:rsidR="00E802B4" w:rsidRPr="00126996" w:rsidRDefault="00E802B4" w:rsidP="00E802B4">
      <w:pPr>
        <w:tabs>
          <w:tab w:val="left" w:pos="2326"/>
        </w:tabs>
        <w:spacing w:line="360" w:lineRule="auto"/>
        <w:jc w:val="both"/>
        <w:rPr>
          <w:color w:val="000000" w:themeColor="text1"/>
          <w:lang w:val="en-US"/>
        </w:rPr>
      </w:pPr>
      <w:r w:rsidRPr="00126996">
        <w:rPr>
          <w:color w:val="000000" w:themeColor="text1"/>
          <w:lang w:val="en-US"/>
        </w:rPr>
        <w:lastRenderedPageBreak/>
        <w:t xml:space="preserve">Cross-sectional cardiomyocyte size, as a measure of hypertrophy, was quantified by WGA staining of the cell membrane. As expected from </w:t>
      </w:r>
      <w:r w:rsidRPr="00126996">
        <w:rPr>
          <w:i/>
          <w:color w:val="000000" w:themeColor="text1"/>
          <w:lang w:val="en-US"/>
        </w:rPr>
        <w:t>in-vivo</w:t>
      </w:r>
      <w:r w:rsidRPr="00126996">
        <w:rPr>
          <w:color w:val="000000" w:themeColor="text1"/>
          <w:lang w:val="en-US"/>
        </w:rPr>
        <w:t xml:space="preserve"> CMR data, only PL resulted in a statistically significant hypertrophy of cardiomyocytes in the whole LV as well as in the lateral and septal segments when assessed separately (lateral: SHAM: 250.89 ± 17.21 µm², PL: 386.08 ± 38.61 µm², IR: 268.18 ± 14.01 µm²; p = 0.002; septal: SHAM: 252.50 ± 11.71 µm², PL: 324.58 ± 22.98 µm², IR: 254.40 ± 18.19 µm²; p = 0.002) (</w:t>
      </w:r>
      <w:r w:rsidR="0098215F" w:rsidRPr="00126996">
        <w:rPr>
          <w:i/>
          <w:color w:val="000000" w:themeColor="text1"/>
          <w:lang w:val="en-US"/>
        </w:rPr>
        <w:t>Supplemental Figure 4</w:t>
      </w:r>
      <w:r w:rsidRPr="00126996">
        <w:rPr>
          <w:color w:val="000000" w:themeColor="text1"/>
          <w:lang w:val="en-US"/>
        </w:rPr>
        <w:t>).</w:t>
      </w:r>
    </w:p>
    <w:p w:rsidR="00E802B4" w:rsidRPr="00126996" w:rsidRDefault="00E802B4" w:rsidP="00E802B4">
      <w:pPr>
        <w:tabs>
          <w:tab w:val="left" w:pos="2326"/>
        </w:tabs>
        <w:spacing w:line="360" w:lineRule="auto"/>
        <w:jc w:val="both"/>
        <w:rPr>
          <w:color w:val="000000" w:themeColor="text1"/>
          <w:lang w:val="en-US"/>
        </w:rPr>
      </w:pPr>
    </w:p>
    <w:p w:rsidR="00E802B4" w:rsidRPr="00126996" w:rsidRDefault="00E802B4" w:rsidP="00E802B4">
      <w:pPr>
        <w:tabs>
          <w:tab w:val="left" w:pos="2326"/>
        </w:tabs>
        <w:spacing w:line="360" w:lineRule="auto"/>
        <w:jc w:val="both"/>
        <w:rPr>
          <w:b/>
          <w:color w:val="000000" w:themeColor="text1"/>
          <w:lang w:val="en-US"/>
        </w:rPr>
      </w:pPr>
      <w:r w:rsidRPr="00126996">
        <w:rPr>
          <w:b/>
          <w:noProof/>
          <w:color w:val="000000" w:themeColor="text1"/>
          <w:lang w:eastAsia="de-DE"/>
        </w:rPr>
        <w:drawing>
          <wp:inline distT="0" distB="0" distL="0" distR="0" wp14:anchorId="3231A8B0" wp14:editId="36212B26">
            <wp:extent cx="5756910" cy="1857375"/>
            <wp:effectExtent l="0" t="0" r="0"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gure 13.pdf"/>
                    <pic:cNvPicPr/>
                  </pic:nvPicPr>
                  <pic:blipFill>
                    <a:blip r:embed="rId8">
                      <a:extLst>
                        <a:ext uri="{28A0092B-C50C-407E-A947-70E740481C1C}">
                          <a14:useLocalDpi xmlns:a14="http://schemas.microsoft.com/office/drawing/2010/main" val="0"/>
                        </a:ext>
                      </a:extLst>
                    </a:blip>
                    <a:stretch>
                      <a:fillRect/>
                    </a:stretch>
                  </pic:blipFill>
                  <pic:spPr>
                    <a:xfrm>
                      <a:off x="0" y="0"/>
                      <a:ext cx="5756910" cy="1857375"/>
                    </a:xfrm>
                    <a:prstGeom prst="rect">
                      <a:avLst/>
                    </a:prstGeom>
                  </pic:spPr>
                </pic:pic>
              </a:graphicData>
            </a:graphic>
          </wp:inline>
        </w:drawing>
      </w:r>
    </w:p>
    <w:p w:rsidR="00E802B4" w:rsidRPr="00126996" w:rsidRDefault="00E802B4" w:rsidP="00E802B4">
      <w:pPr>
        <w:tabs>
          <w:tab w:val="left" w:pos="2326"/>
        </w:tabs>
        <w:jc w:val="both"/>
        <w:rPr>
          <w:b/>
          <w:i/>
          <w:color w:val="000000" w:themeColor="text1"/>
          <w:sz w:val="22"/>
          <w:szCs w:val="22"/>
          <w:lang w:val="en-US"/>
        </w:rPr>
      </w:pPr>
      <w:r w:rsidRPr="00126996">
        <w:rPr>
          <w:b/>
          <w:i/>
          <w:noProof/>
          <w:color w:val="000000" w:themeColor="text1"/>
          <w:sz w:val="22"/>
          <w:szCs w:val="22"/>
          <w:lang w:eastAsia="de-DE"/>
        </w:rPr>
        <w:drawing>
          <wp:inline distT="0" distB="0" distL="0" distR="0" wp14:anchorId="31812806" wp14:editId="42E93224">
            <wp:extent cx="5718747" cy="2391958"/>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ZG.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0235" cy="2396763"/>
                    </a:xfrm>
                    <a:prstGeom prst="rect">
                      <a:avLst/>
                    </a:prstGeom>
                  </pic:spPr>
                </pic:pic>
              </a:graphicData>
            </a:graphic>
          </wp:inline>
        </w:drawing>
      </w:r>
    </w:p>
    <w:p w:rsidR="00E802B4" w:rsidRPr="00126996" w:rsidRDefault="001004F1" w:rsidP="00E802B4">
      <w:pPr>
        <w:tabs>
          <w:tab w:val="left" w:pos="2326"/>
        </w:tabs>
        <w:spacing w:before="100" w:beforeAutospacing="1"/>
        <w:jc w:val="both"/>
        <w:rPr>
          <w:color w:val="000000" w:themeColor="text1"/>
          <w:sz w:val="22"/>
          <w:szCs w:val="22"/>
          <w:lang w:val="en-US"/>
        </w:rPr>
      </w:pPr>
      <w:r w:rsidRPr="00126996">
        <w:rPr>
          <w:b/>
          <w:i/>
          <w:color w:val="000000" w:themeColor="text1"/>
          <w:sz w:val="22"/>
          <w:szCs w:val="22"/>
          <w:lang w:val="en-US"/>
        </w:rPr>
        <w:t>Supplemental Figure 4:</w:t>
      </w:r>
      <w:r w:rsidRPr="00126996">
        <w:rPr>
          <w:b/>
          <w:color w:val="000000" w:themeColor="text1"/>
          <w:sz w:val="22"/>
          <w:szCs w:val="22"/>
          <w:lang w:val="en-US"/>
        </w:rPr>
        <w:t xml:space="preserve"> </w:t>
      </w:r>
      <w:r w:rsidR="00E802B4" w:rsidRPr="00126996">
        <w:rPr>
          <w:b/>
          <w:color w:val="000000" w:themeColor="text1"/>
          <w:sz w:val="22"/>
          <w:szCs w:val="22"/>
          <w:lang w:val="en-US"/>
        </w:rPr>
        <w:t xml:space="preserve">Average cardiomyocyte size 4 weeks post-MI. A </w:t>
      </w:r>
      <w:r w:rsidR="00E802B4" w:rsidRPr="00126996">
        <w:rPr>
          <w:color w:val="000000" w:themeColor="text1"/>
          <w:sz w:val="22"/>
          <w:szCs w:val="22"/>
          <w:lang w:val="en-US"/>
        </w:rPr>
        <w:t>Cell membrane labeled by FITC-conjugated WGA (green) and cell nuclei by DAPI (blue)</w:t>
      </w:r>
      <w:r w:rsidR="00E802B4" w:rsidRPr="00126996">
        <w:rPr>
          <w:color w:val="000000" w:themeColor="text1"/>
          <w:sz w:val="22"/>
          <w:lang w:val="en-US"/>
        </w:rPr>
        <w:t xml:space="preserve">. </w:t>
      </w:r>
      <w:r w:rsidR="00E802B4" w:rsidRPr="00126996">
        <w:rPr>
          <w:b/>
          <w:color w:val="000000" w:themeColor="text1"/>
          <w:sz w:val="22"/>
          <w:lang w:val="en-US"/>
        </w:rPr>
        <w:t>B</w:t>
      </w:r>
      <w:r w:rsidR="00E802B4" w:rsidRPr="00126996">
        <w:rPr>
          <w:color w:val="000000" w:themeColor="text1"/>
          <w:sz w:val="22"/>
          <w:lang w:val="en-US"/>
        </w:rPr>
        <w:t xml:space="preserve"> comparison of average cardiomyocytes size in the septal</w:t>
      </w:r>
      <w:r w:rsidR="00E802B4" w:rsidRPr="00126996">
        <w:rPr>
          <w:color w:val="000000" w:themeColor="text1"/>
          <w:sz w:val="22"/>
          <w:szCs w:val="22"/>
          <w:lang w:val="en-US"/>
        </w:rPr>
        <w:t>,</w:t>
      </w:r>
      <w:r w:rsidR="00E802B4" w:rsidRPr="00126996">
        <w:rPr>
          <w:color w:val="000000" w:themeColor="text1"/>
          <w:sz w:val="22"/>
          <w:lang w:val="en-US"/>
        </w:rPr>
        <w:t xml:space="preserve"> lateral </w:t>
      </w:r>
      <w:r w:rsidR="00E802B4" w:rsidRPr="00126996">
        <w:rPr>
          <w:color w:val="000000" w:themeColor="text1"/>
          <w:sz w:val="22"/>
          <w:szCs w:val="22"/>
          <w:lang w:val="en-US"/>
        </w:rPr>
        <w:t xml:space="preserve">and total LV </w:t>
      </w:r>
      <w:r w:rsidR="00E802B4" w:rsidRPr="00126996">
        <w:rPr>
          <w:color w:val="000000" w:themeColor="text1"/>
          <w:sz w:val="22"/>
          <w:lang w:val="en-US"/>
        </w:rPr>
        <w:t xml:space="preserve">area. </w:t>
      </w:r>
      <w:r w:rsidR="00E802B4" w:rsidRPr="00126996">
        <w:rPr>
          <w:color w:val="000000" w:themeColor="text1"/>
          <w:sz w:val="22"/>
          <w:szCs w:val="22"/>
          <w:lang w:val="en-US"/>
        </w:rPr>
        <w:t xml:space="preserve">Boxplots show medians (center lines), 25th and 75th percentiles (box limits), and whiskers (1.5 IQR). Outliers are squares; individual data points are dots. </w:t>
      </w:r>
      <w:r w:rsidR="00E802B4" w:rsidRPr="00126996">
        <w:rPr>
          <w:rFonts w:cstheme="minorHAnsi"/>
          <w:color w:val="000000" w:themeColor="text1"/>
          <w:sz w:val="22"/>
          <w:szCs w:val="22"/>
          <w:shd w:val="clear" w:color="auto" w:fill="FFFFFF"/>
          <w:lang w:val="en-US"/>
        </w:rPr>
        <w:t>One-way ANOVA followed by Tukey’s post hoc was used to compare experimental groups.</w:t>
      </w:r>
      <w:r w:rsidR="00E802B4" w:rsidRPr="00126996">
        <w:rPr>
          <w:color w:val="000000" w:themeColor="text1"/>
          <w:sz w:val="22"/>
          <w:lang w:val="en-US"/>
        </w:rPr>
        <w:t xml:space="preserve"> </w:t>
      </w:r>
      <w:r w:rsidR="00E802B4" w:rsidRPr="00126996">
        <w:rPr>
          <w:color w:val="000000" w:themeColor="text1"/>
          <w:sz w:val="22"/>
          <w:szCs w:val="22"/>
          <w:lang w:val="en-US"/>
        </w:rPr>
        <w:t>* p &lt; 0.05 compared to SHAM group. # p &lt; 0.05 compared to PL group.</w:t>
      </w:r>
      <w:r w:rsidR="00E802B4" w:rsidRPr="00126996">
        <w:rPr>
          <w:color w:val="000000" w:themeColor="text1"/>
          <w:sz w:val="22"/>
          <w:lang w:val="en-US"/>
        </w:rPr>
        <w:t xml:space="preserve"> </w:t>
      </w:r>
      <w:r w:rsidR="00E802B4" w:rsidRPr="00126996">
        <w:rPr>
          <w:rFonts w:cstheme="minorHAnsi"/>
          <w:color w:val="000000" w:themeColor="text1"/>
          <w:sz w:val="22"/>
          <w:szCs w:val="22"/>
          <w:shd w:val="clear" w:color="auto" w:fill="FFFFFF"/>
          <w:lang w:val="en-US"/>
        </w:rPr>
        <w:t xml:space="preserve">SHAM: n = 4; PL: n = 4; I/R: n = 4. </w:t>
      </w:r>
      <w:r w:rsidR="00E802B4" w:rsidRPr="00126996">
        <w:rPr>
          <w:color w:val="000000" w:themeColor="text1"/>
          <w:sz w:val="22"/>
          <w:szCs w:val="22"/>
          <w:lang w:val="en-US"/>
        </w:rPr>
        <w:t>Scale bar: 100 µm.</w:t>
      </w:r>
    </w:p>
    <w:p w:rsidR="00E802B4" w:rsidRPr="00126996" w:rsidRDefault="00E802B4">
      <w:pPr>
        <w:rPr>
          <w:color w:val="000000" w:themeColor="text1"/>
          <w:lang w:val="en-US"/>
        </w:rPr>
      </w:pPr>
    </w:p>
    <w:sectPr w:rsidR="00E802B4" w:rsidRPr="00126996" w:rsidSect="00804661">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inionPro">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2B4"/>
    <w:rsid w:val="00001AF7"/>
    <w:rsid w:val="000867AC"/>
    <w:rsid w:val="000C399A"/>
    <w:rsid w:val="000E1FD8"/>
    <w:rsid w:val="001004F1"/>
    <w:rsid w:val="00126996"/>
    <w:rsid w:val="00155224"/>
    <w:rsid w:val="001A31F1"/>
    <w:rsid w:val="001B05FC"/>
    <w:rsid w:val="001C16F9"/>
    <w:rsid w:val="001D206C"/>
    <w:rsid w:val="001E1DBB"/>
    <w:rsid w:val="00202B03"/>
    <w:rsid w:val="002B40FF"/>
    <w:rsid w:val="002F0B09"/>
    <w:rsid w:val="00335623"/>
    <w:rsid w:val="00344134"/>
    <w:rsid w:val="00380688"/>
    <w:rsid w:val="00384573"/>
    <w:rsid w:val="00391C42"/>
    <w:rsid w:val="003E71F5"/>
    <w:rsid w:val="00433102"/>
    <w:rsid w:val="004734B6"/>
    <w:rsid w:val="004F1671"/>
    <w:rsid w:val="00505318"/>
    <w:rsid w:val="00524E93"/>
    <w:rsid w:val="00551988"/>
    <w:rsid w:val="00560962"/>
    <w:rsid w:val="00584664"/>
    <w:rsid w:val="00590773"/>
    <w:rsid w:val="005E76EA"/>
    <w:rsid w:val="005E7C83"/>
    <w:rsid w:val="00603331"/>
    <w:rsid w:val="00627B95"/>
    <w:rsid w:val="00693C01"/>
    <w:rsid w:val="006A2D2C"/>
    <w:rsid w:val="006C6B8B"/>
    <w:rsid w:val="006E0E4F"/>
    <w:rsid w:val="007068E6"/>
    <w:rsid w:val="00760680"/>
    <w:rsid w:val="00775F00"/>
    <w:rsid w:val="00784D88"/>
    <w:rsid w:val="0079152A"/>
    <w:rsid w:val="007A55D8"/>
    <w:rsid w:val="007C529A"/>
    <w:rsid w:val="007E6321"/>
    <w:rsid w:val="007E7DA4"/>
    <w:rsid w:val="00804661"/>
    <w:rsid w:val="00867052"/>
    <w:rsid w:val="00875F8C"/>
    <w:rsid w:val="008E2061"/>
    <w:rsid w:val="009222F7"/>
    <w:rsid w:val="009360EC"/>
    <w:rsid w:val="009459E8"/>
    <w:rsid w:val="00956053"/>
    <w:rsid w:val="0097731E"/>
    <w:rsid w:val="0098215F"/>
    <w:rsid w:val="009A0580"/>
    <w:rsid w:val="009B1533"/>
    <w:rsid w:val="009C0127"/>
    <w:rsid w:val="009C562C"/>
    <w:rsid w:val="009E74AD"/>
    <w:rsid w:val="00A2530A"/>
    <w:rsid w:val="00A5200C"/>
    <w:rsid w:val="00AB495F"/>
    <w:rsid w:val="00AB786A"/>
    <w:rsid w:val="00AE4CF7"/>
    <w:rsid w:val="00AF3A14"/>
    <w:rsid w:val="00B51670"/>
    <w:rsid w:val="00BB7BDA"/>
    <w:rsid w:val="00BB7C2C"/>
    <w:rsid w:val="00BD39E0"/>
    <w:rsid w:val="00C03689"/>
    <w:rsid w:val="00C60EFD"/>
    <w:rsid w:val="00DB7350"/>
    <w:rsid w:val="00DF4C08"/>
    <w:rsid w:val="00E21671"/>
    <w:rsid w:val="00E6723F"/>
    <w:rsid w:val="00E71514"/>
    <w:rsid w:val="00E802B4"/>
    <w:rsid w:val="00EB7B4C"/>
    <w:rsid w:val="00F05626"/>
    <w:rsid w:val="00F107FD"/>
    <w:rsid w:val="00F41EF8"/>
    <w:rsid w:val="00F50E9D"/>
    <w:rsid w:val="00F61972"/>
    <w:rsid w:val="00F65325"/>
    <w:rsid w:val="00FB3CF2"/>
    <w:rsid w:val="00FE1BD8"/>
    <w:rsid w:val="00FE2C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8B2AF04-8176-CB41-94A5-029E0DA52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802B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emf"/><Relationship Id="rId9" Type="http://schemas.openxmlformats.org/officeDocument/2006/relationships/image" Target="media/image6.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621</Words>
  <Characters>3915</Characters>
  <Application>Microsoft Office Word</Application>
  <DocSecurity>0</DocSecurity>
  <Lines>32</Lines>
  <Paragraphs>9</Paragraphs>
  <ScaleCrop>false</ScaleCrop>
  <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Cajetan Lang</dc:creator>
  <cp:keywords/>
  <dc:description/>
  <cp:lastModifiedBy>Cajetan Lang</cp:lastModifiedBy>
  <cp:revision>9</cp:revision>
  <dcterms:created xsi:type="dcterms:W3CDTF">2025-05-19T05:31:00Z</dcterms:created>
  <dcterms:modified xsi:type="dcterms:W3CDTF">2025-05-29T09:10:00Z</dcterms:modified>
</cp:coreProperties>
</file>