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033C" w:rsidRDefault="0099033C" w:rsidP="0099033C">
      <w:pPr>
        <w:pStyle w:val="normal0"/>
        <w:pBdr>
          <w:top w:val="single" w:sz="4" w:space="0" w:color="E3E3E3"/>
          <w:left w:val="single" w:sz="4" w:space="0" w:color="E3E3E3"/>
          <w:bottom w:val="single" w:sz="4" w:space="0" w:color="E3E3E3"/>
          <w:right w:val="single" w:sz="4" w:space="0" w:color="E3E3E3"/>
        </w:pBdr>
        <w:shd w:val="clear" w:color="auto" w:fill="FFFFFF"/>
        <w:spacing w:before="280" w:after="280" w:line="240" w:lineRule="auto"/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  <w:t>PICO Framework ( Eligibility Criteria )</w:t>
      </w:r>
    </w:p>
    <w:p w:rsidR="0095547F" w:rsidRPr="0099033C" w:rsidRDefault="0095547F" w:rsidP="0095547F">
      <w:pPr>
        <w:pStyle w:val="normal0"/>
        <w:pBdr>
          <w:top w:val="single" w:sz="4" w:space="0" w:color="E3E3E3"/>
          <w:left w:val="single" w:sz="4" w:space="0" w:color="E3E3E3"/>
          <w:bottom w:val="single" w:sz="4" w:space="0" w:color="E3E3E3"/>
          <w:right w:val="single" w:sz="4" w:space="0" w:color="E3E3E3"/>
        </w:pBdr>
        <w:shd w:val="clear" w:color="auto" w:fill="FFFFFF"/>
        <w:spacing w:after="280" w:line="240" w:lineRule="auto"/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  <w:t xml:space="preserve">Title </w:t>
      </w:r>
    </w:p>
    <w:p w:rsidR="0095547F" w:rsidRPr="0099033C" w:rsidRDefault="0095547F" w:rsidP="0095547F">
      <w:pPr>
        <w:pStyle w:val="normal0"/>
        <w:pBdr>
          <w:top w:val="single" w:sz="4" w:space="0" w:color="E3E3E3"/>
          <w:left w:val="single" w:sz="4" w:space="0" w:color="E3E3E3"/>
          <w:bottom w:val="single" w:sz="4" w:space="0" w:color="E3E3E3"/>
          <w:right w:val="single" w:sz="4" w:space="0" w:color="E3E3E3"/>
        </w:pBdr>
        <w:shd w:val="clear" w:color="auto" w:fill="FFFFFF"/>
        <w:spacing w:before="280" w:after="280" w:line="240" w:lineRule="auto"/>
        <w:rPr>
          <w:rFonts w:asciiTheme="majorBidi" w:eastAsia="Georgia" w:hAnsiTheme="majorBidi" w:cstheme="majorBidi"/>
          <w:b/>
          <w:bCs/>
          <w:color w:val="0D0D0D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bCs/>
          <w:color w:val="0D0D0D"/>
          <w:sz w:val="24"/>
          <w:szCs w:val="24"/>
          <w:lang w:val="en-US"/>
        </w:rPr>
        <w:t>Therapeutic Outcomes of [225Ac]Ac-/[177Lu]Lu-PSMA Combination Therapy in Advanced Metastatic Castration-Resistant Prostate Cancer: A Systematic Review and Meta-Analysis</w:t>
      </w:r>
    </w:p>
    <w:p w:rsidR="0095547F" w:rsidRPr="0099033C" w:rsidRDefault="0095547F" w:rsidP="0095547F">
      <w:pPr>
        <w:pStyle w:val="normal0"/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line="240" w:lineRule="auto"/>
        <w:rPr>
          <w:rFonts w:asciiTheme="majorBidi" w:eastAsia="Quattrocento Sans" w:hAnsiTheme="majorBidi" w:cstheme="majorBidi"/>
          <w:color w:val="0D0D0D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  <w:t>P (Population)</w:t>
      </w:r>
      <w:r w:rsidRPr="0099033C">
        <w:rPr>
          <w:rFonts w:asciiTheme="majorBidi" w:eastAsia="Georgia" w:hAnsiTheme="majorBidi" w:cstheme="majorBidi"/>
          <w:color w:val="0D0D0D"/>
          <w:sz w:val="24"/>
          <w:szCs w:val="24"/>
          <w:lang w:val="en-US"/>
        </w:rPr>
        <w:t>: Adult Men with a diagnosis of metastatic castration-resistant prostate cancer</w:t>
      </w:r>
    </w:p>
    <w:p w:rsidR="0095547F" w:rsidRPr="0099033C" w:rsidRDefault="0095547F" w:rsidP="0095547F">
      <w:pPr>
        <w:pStyle w:val="normal0"/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line="240" w:lineRule="auto"/>
        <w:rPr>
          <w:rFonts w:asciiTheme="majorBidi" w:eastAsia="Quattrocento Sans" w:hAnsiTheme="majorBidi" w:cstheme="majorBidi"/>
          <w:color w:val="0D0D0D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  <w:t>I (Intervention)</w:t>
      </w:r>
      <w:r w:rsidRPr="0099033C">
        <w:rPr>
          <w:rFonts w:asciiTheme="majorBidi" w:eastAsia="Georgia" w:hAnsiTheme="majorBidi" w:cstheme="majorBidi"/>
          <w:color w:val="0D0D0D"/>
          <w:sz w:val="24"/>
          <w:szCs w:val="24"/>
          <w:lang w:val="en-US"/>
        </w:rPr>
        <w:t xml:space="preserve">: [225Ac]Ac-/[177Lu]Lu- PSMA combination therapy   </w:t>
      </w:r>
    </w:p>
    <w:p w:rsidR="0095547F" w:rsidRPr="0099033C" w:rsidRDefault="0095547F" w:rsidP="0095547F">
      <w:pPr>
        <w:pStyle w:val="normal0"/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line="240" w:lineRule="auto"/>
        <w:rPr>
          <w:rFonts w:asciiTheme="majorBidi" w:eastAsia="Quattrocento Sans" w:hAnsiTheme="majorBidi" w:cstheme="majorBidi"/>
          <w:color w:val="0D0D0D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  <w:t>C (Comparator):</w:t>
      </w:r>
      <w:r w:rsidRPr="0099033C">
        <w:rPr>
          <w:rFonts w:asciiTheme="majorBidi" w:eastAsia="Quattrocento Sans" w:hAnsiTheme="majorBidi" w:cstheme="majorBidi"/>
          <w:color w:val="0D0D0D"/>
          <w:sz w:val="24"/>
          <w:szCs w:val="24"/>
          <w:lang w:val="en-US"/>
        </w:rPr>
        <w:t xml:space="preserve"> </w:t>
      </w:r>
      <w:r w:rsidRPr="0099033C">
        <w:rPr>
          <w:rFonts w:asciiTheme="majorBidi" w:eastAsia="Georgia" w:hAnsiTheme="majorBidi" w:cstheme="majorBidi"/>
          <w:color w:val="0D0D0D"/>
          <w:sz w:val="24"/>
          <w:szCs w:val="24"/>
          <w:lang w:val="en-US"/>
        </w:rPr>
        <w:t>[225Ac]Ac-PSMA monotherapy OR /[177Lu]Lu- PSMA monotherapy OR no comparator (single arm studies)</w:t>
      </w:r>
    </w:p>
    <w:p w:rsidR="0095547F" w:rsidRPr="0099033C" w:rsidRDefault="0095547F" w:rsidP="0095547F">
      <w:pPr>
        <w:pStyle w:val="normal0"/>
        <w:numPr>
          <w:ilvl w:val="0"/>
          <w:numId w:val="1"/>
        </w:numPr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line="240" w:lineRule="auto"/>
        <w:rPr>
          <w:rFonts w:asciiTheme="majorBidi" w:eastAsia="Quattrocento Sans" w:hAnsiTheme="majorBidi" w:cstheme="majorBidi"/>
          <w:color w:val="0D0D0D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  <w:t>O (Outcome)</w:t>
      </w:r>
      <w:r w:rsidRPr="0099033C">
        <w:rPr>
          <w:rFonts w:asciiTheme="majorBidi" w:eastAsia="Georgia" w:hAnsiTheme="majorBidi" w:cstheme="majorBidi"/>
          <w:color w:val="0D0D0D"/>
          <w:sz w:val="24"/>
          <w:szCs w:val="24"/>
          <w:lang w:val="en-US"/>
        </w:rPr>
        <w:t>: primary : PSA responses.</w:t>
      </w:r>
    </w:p>
    <w:p w:rsidR="0095547F" w:rsidRPr="0099033C" w:rsidRDefault="0095547F" w:rsidP="0095547F">
      <w:pPr>
        <w:pStyle w:val="normal0"/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line="240" w:lineRule="auto"/>
        <w:ind w:left="360"/>
        <w:rPr>
          <w:rFonts w:asciiTheme="majorBidi" w:eastAsia="Georgia" w:hAnsiTheme="majorBidi" w:cstheme="majorBidi"/>
          <w:b/>
          <w:color w:val="0D0D0D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pBdr>
          <w:top w:val="single" w:sz="4" w:space="0" w:color="E3E3E3"/>
          <w:left w:val="single" w:sz="4" w:space="5" w:color="E3E3E3"/>
          <w:bottom w:val="single" w:sz="4" w:space="0" w:color="E3E3E3"/>
          <w:right w:val="single" w:sz="4" w:space="0" w:color="E3E3E3"/>
        </w:pBdr>
        <w:shd w:val="clear" w:color="auto" w:fill="FFFFFF"/>
        <w:spacing w:line="240" w:lineRule="auto"/>
        <w:ind w:left="360"/>
        <w:rPr>
          <w:rFonts w:asciiTheme="majorBidi" w:eastAsia="Quattrocento Sans" w:hAnsiTheme="majorBidi" w:cstheme="majorBidi"/>
          <w:color w:val="0D0D0D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color w:val="0D0D0D"/>
          <w:sz w:val="24"/>
          <w:szCs w:val="24"/>
          <w:lang w:val="en-US"/>
        </w:rPr>
        <w:t>Secondary : treatment-related adverse events (AE), Overall survival(OS), progression-free survival(PFS)</w:t>
      </w: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color w:val="0D0D0D"/>
          <w:sz w:val="24"/>
          <w:szCs w:val="24"/>
          <w:highlight w:val="white"/>
          <w:lang w:val="en-US"/>
        </w:rPr>
        <w:t>Inclusion Criteria</w:t>
      </w:r>
      <w:r w:rsidRPr="0099033C">
        <w:rPr>
          <w:rFonts w:asciiTheme="majorBidi" w:eastAsia="Georgia" w:hAnsiTheme="majorBidi" w:cstheme="majorBidi"/>
          <w:sz w:val="24"/>
          <w:szCs w:val="24"/>
          <w:lang w:val="en-US"/>
        </w:rPr>
        <w:t xml:space="preserve"> : </w:t>
      </w: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color w:val="0D0D0D"/>
          <w:sz w:val="24"/>
          <w:szCs w:val="24"/>
          <w:highlight w:val="white"/>
          <w:lang w:val="en-US"/>
        </w:rPr>
      </w:pPr>
      <w:r w:rsidRPr="0099033C">
        <w:rPr>
          <w:rFonts w:asciiTheme="majorBidi" w:eastAsia="Georgia" w:hAnsiTheme="majorBidi" w:cstheme="majorBidi"/>
          <w:color w:val="0D0D0D"/>
          <w:sz w:val="24"/>
          <w:szCs w:val="24"/>
          <w:highlight w:val="white"/>
          <w:lang w:val="en-US"/>
        </w:rPr>
        <w:t>Adult men (aged &gt;18 years) with a diagnosis of Metastatic Castration-Resistant Prostate Cancer.</w:t>
      </w: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color w:val="0D0D0D"/>
          <w:sz w:val="24"/>
          <w:szCs w:val="24"/>
          <w:highlight w:val="white"/>
          <w:lang w:val="en-US"/>
        </w:rPr>
      </w:pPr>
      <w:r w:rsidRPr="0099033C">
        <w:rPr>
          <w:rFonts w:asciiTheme="majorBidi" w:eastAsia="Georgia" w:hAnsiTheme="majorBidi" w:cstheme="majorBidi"/>
          <w:color w:val="0D0D0D"/>
          <w:sz w:val="24"/>
          <w:szCs w:val="24"/>
          <w:lang w:val="en-US"/>
        </w:rPr>
        <w:t>Randomized clinical trials, prospective studies, and retrospective studies that established the efficacy and safety of [225Ac]Ac-/[177Lu]Lu- PSMA combination therapy.</w:t>
      </w: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sz w:val="24"/>
          <w:szCs w:val="24"/>
          <w:lang w:val="en-US"/>
        </w:rPr>
        <w:t xml:space="preserve">                                 </w:t>
      </w: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b/>
          <w:color w:val="0D0D0D"/>
          <w:sz w:val="24"/>
          <w:szCs w:val="24"/>
          <w:highlight w:val="white"/>
          <w:lang w:val="en-US"/>
        </w:rPr>
        <w:t>Exclusion Criteria</w:t>
      </w:r>
      <w:r w:rsidRPr="0099033C">
        <w:rPr>
          <w:rFonts w:asciiTheme="majorBidi" w:eastAsia="Georgia" w:hAnsiTheme="majorBidi" w:cstheme="majorBidi"/>
          <w:color w:val="0D0D0D"/>
          <w:sz w:val="24"/>
          <w:szCs w:val="24"/>
          <w:highlight w:val="white"/>
          <w:lang w:val="en-US"/>
        </w:rPr>
        <w:t>:</w:t>
      </w:r>
      <w:r w:rsidRPr="0099033C">
        <w:rPr>
          <w:rFonts w:asciiTheme="majorBidi" w:eastAsia="Georgia" w:hAnsiTheme="majorBidi" w:cstheme="majorBidi"/>
          <w:sz w:val="24"/>
          <w:szCs w:val="24"/>
          <w:lang w:val="en-US"/>
        </w:rPr>
        <w:t xml:space="preserve"> </w:t>
      </w: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sz w:val="24"/>
          <w:szCs w:val="24"/>
          <w:lang w:val="en-US"/>
        </w:rPr>
      </w:pPr>
      <w:r w:rsidRPr="0099033C">
        <w:rPr>
          <w:rFonts w:asciiTheme="majorBidi" w:eastAsia="Georgia" w:hAnsiTheme="majorBidi" w:cstheme="majorBidi"/>
          <w:sz w:val="24"/>
          <w:szCs w:val="24"/>
          <w:lang w:val="en-US"/>
        </w:rPr>
        <w:t>Basic science articles, non-human subjects, guidelines, case reports, editorials, replies, commentary, reviews, non- English language articles, non-prostate cancer articles, and metastatic castrate sensitive prostate cancer articles to be excluded.</w:t>
      </w:r>
    </w:p>
    <w:p w:rsidR="0095547F" w:rsidRPr="0099033C" w:rsidRDefault="0095547F" w:rsidP="0095547F">
      <w:pPr>
        <w:pStyle w:val="normal0"/>
        <w:spacing w:after="160" w:line="256" w:lineRule="auto"/>
        <w:rPr>
          <w:rFonts w:asciiTheme="majorBidi" w:eastAsia="Georgia" w:hAnsiTheme="majorBidi" w:cstheme="majorBidi"/>
          <w:sz w:val="24"/>
          <w:szCs w:val="24"/>
          <w:lang w:val="en-US"/>
        </w:rPr>
      </w:pPr>
    </w:p>
    <w:p w:rsidR="0095547F" w:rsidRDefault="0095547F" w:rsidP="0095547F">
      <w:pPr>
        <w:pStyle w:val="normal0"/>
        <w:tabs>
          <w:tab w:val="left" w:pos="1932"/>
        </w:tabs>
        <w:spacing w:after="160" w:line="256" w:lineRule="auto"/>
        <w:rPr>
          <w:rFonts w:asciiTheme="majorBidi" w:eastAsia="Calibri" w:hAnsiTheme="majorBidi" w:cstheme="majorBidi"/>
          <w:sz w:val="24"/>
          <w:szCs w:val="24"/>
          <w:lang w:val="en-US"/>
        </w:rPr>
      </w:pPr>
    </w:p>
    <w:p w:rsidR="0099033C" w:rsidRDefault="0099033C" w:rsidP="0095547F">
      <w:pPr>
        <w:pStyle w:val="normal0"/>
        <w:tabs>
          <w:tab w:val="left" w:pos="1932"/>
        </w:tabs>
        <w:spacing w:after="160" w:line="256" w:lineRule="auto"/>
        <w:rPr>
          <w:rFonts w:asciiTheme="majorBidi" w:eastAsia="Calibri" w:hAnsiTheme="majorBidi" w:cstheme="majorBidi"/>
          <w:sz w:val="24"/>
          <w:szCs w:val="24"/>
          <w:lang w:val="en-US"/>
        </w:rPr>
      </w:pPr>
    </w:p>
    <w:p w:rsidR="0099033C" w:rsidRDefault="0099033C" w:rsidP="0095547F">
      <w:pPr>
        <w:pStyle w:val="normal0"/>
        <w:tabs>
          <w:tab w:val="left" w:pos="1932"/>
        </w:tabs>
        <w:spacing w:after="160" w:line="256" w:lineRule="auto"/>
        <w:rPr>
          <w:rFonts w:asciiTheme="majorBidi" w:eastAsia="Calibri" w:hAnsiTheme="majorBidi" w:cstheme="majorBidi"/>
          <w:sz w:val="24"/>
          <w:szCs w:val="24"/>
          <w:lang w:val="en-US"/>
        </w:rPr>
      </w:pPr>
    </w:p>
    <w:p w:rsidR="0099033C" w:rsidRPr="0099033C" w:rsidRDefault="0099033C" w:rsidP="0095547F">
      <w:pPr>
        <w:pStyle w:val="normal0"/>
        <w:tabs>
          <w:tab w:val="left" w:pos="1932"/>
        </w:tabs>
        <w:spacing w:after="160" w:line="256" w:lineRule="auto"/>
        <w:rPr>
          <w:rFonts w:asciiTheme="majorBidi" w:eastAsia="Calibri" w:hAnsiTheme="majorBidi" w:cstheme="majorBidi"/>
          <w:sz w:val="24"/>
          <w:szCs w:val="24"/>
          <w:lang w:val="en-US"/>
        </w:rPr>
        <w:sectPr w:rsidR="0099033C" w:rsidRPr="0099033C" w:rsidSect="0095547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43588D" w:rsidRPr="0099033C" w:rsidRDefault="0043588D" w:rsidP="0043588D">
      <w:pPr>
        <w:pStyle w:val="normal0"/>
        <w:tabs>
          <w:tab w:val="left" w:pos="1932"/>
        </w:tabs>
        <w:spacing w:after="160" w:line="256" w:lineRule="auto"/>
        <w:rPr>
          <w:rFonts w:asciiTheme="majorBidi" w:eastAsia="Calibri" w:hAnsiTheme="majorBidi" w:cstheme="majorBidi"/>
          <w:sz w:val="24"/>
          <w:szCs w:val="24"/>
          <w:lang w:val="en-US"/>
        </w:rPr>
      </w:pPr>
      <w:r w:rsidRPr="0099033C">
        <w:rPr>
          <w:rFonts w:asciiTheme="majorBidi" w:eastAsia="Calibri" w:hAnsiTheme="majorBidi" w:cstheme="majorBidi"/>
          <w:b/>
          <w:bCs/>
          <w:sz w:val="24"/>
          <w:szCs w:val="24"/>
          <w:lang w:val="en-US"/>
        </w:rPr>
        <w:lastRenderedPageBreak/>
        <w:t>Funnel Plots for Assessment of Publication Bias in Prostate-Specific Antigen (PSA) Response</w:t>
      </w:r>
    </w:p>
    <w:p w:rsidR="0043588D" w:rsidRPr="0099033C" w:rsidRDefault="0043588D" w:rsidP="0095547F">
      <w:pPr>
        <w:pStyle w:val="normal0"/>
        <w:tabs>
          <w:tab w:val="left" w:pos="1932"/>
        </w:tabs>
        <w:spacing w:after="160" w:line="256" w:lineRule="auto"/>
        <w:rPr>
          <w:rFonts w:asciiTheme="majorBidi" w:eastAsia="Calibri" w:hAnsiTheme="majorBidi" w:cstheme="majorBidi"/>
          <w:sz w:val="24"/>
          <w:szCs w:val="24"/>
          <w:lang w:val="en-US"/>
        </w:rPr>
      </w:pPr>
    </w:p>
    <w:p w:rsidR="0095547F" w:rsidRPr="0099033C" w:rsidRDefault="00AF14B7" w:rsidP="0095547F">
      <w:pPr>
        <w:pStyle w:val="normal0"/>
        <w:tabs>
          <w:tab w:val="left" w:pos="1932"/>
        </w:tabs>
        <w:spacing w:after="160" w:line="256" w:lineRule="auto"/>
        <w:rPr>
          <w:rFonts w:asciiTheme="majorBidi" w:eastAsia="Calibri" w:hAnsiTheme="majorBidi" w:cstheme="majorBidi"/>
          <w:sz w:val="24"/>
          <w:szCs w:val="24"/>
          <w:lang w:val="en-US"/>
        </w:rPr>
      </w:pPr>
      <w:r>
        <w:rPr>
          <w:rFonts w:asciiTheme="majorBidi" w:eastAsia="Calibri" w:hAnsiTheme="majorBidi" w:cstheme="majorBidi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4.8pt;margin-top:-14.6pt;width:665.85pt;height:480.75pt;z-index:251658240;mso-width-relative:margin;mso-height-relative:margin">
            <v:textbox>
              <w:txbxContent>
                <w:p w:rsidR="0095547F" w:rsidRDefault="00313525" w:rsidP="0095547F"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051094" cy="2352675"/>
                        <wp:effectExtent l="19050" t="0" r="6556" b="0"/>
                        <wp:docPr id="1" name="Image 0" descr="funnel50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unnel50.png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51660" cy="235300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4095750" cy="2378609"/>
                        <wp:effectExtent l="19050" t="0" r="0" b="0"/>
                        <wp:docPr id="3" name="Image 2" descr="funnel PSA S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unnel PSA SD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96323" cy="237894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547F" w:rsidRDefault="00313525" w:rsidP="00313525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lang w:eastAsia="fr-FR"/>
                    </w:rPr>
                    <w:drawing>
                      <wp:inline distT="0" distB="0" distL="0" distR="0">
                        <wp:extent cx="4076700" cy="2367546"/>
                        <wp:effectExtent l="19050" t="0" r="0" b="0"/>
                        <wp:docPr id="4" name="Image 3" descr="funnel PSA P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unnel PSA PD.png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77270" cy="236787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Theme="majorBidi" w:hAnsiTheme="majorBidi" w:cstheme="majorBidi"/>
                      <w:b/>
                      <w:bCs/>
                      <w:noProof/>
                      <w:lang w:eastAsia="fr-FR"/>
                    </w:rPr>
                    <w:drawing>
                      <wp:inline distT="0" distB="0" distL="0" distR="0">
                        <wp:extent cx="4051300" cy="2352794"/>
                        <wp:effectExtent l="19050" t="0" r="6350" b="0"/>
                        <wp:docPr id="7" name="Image 6" descr="funnel anyps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funnel anypsa.png"/>
                                <pic:cNvPicPr/>
                              </pic:nvPicPr>
                              <pic:blipFill>
                                <a:blip r:embed="rId1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051866" cy="235312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95547F" w:rsidRDefault="0095547F" w:rsidP="0095547F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</w:p>
                <w:p w:rsidR="0043588D" w:rsidRPr="00313525" w:rsidRDefault="00313525" w:rsidP="00313525">
                  <w:pPr>
                    <w:spacing w:after="0"/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</w:pPr>
                  <w:r w:rsidRPr="00313525">
                    <w:rPr>
                      <w:rFonts w:asciiTheme="majorBidi" w:hAnsiTheme="majorBidi" w:cstheme="majorBidi"/>
                      <w:b/>
                      <w:bCs/>
                      <w:lang w:val="en-US"/>
                    </w:rPr>
                    <w:t xml:space="preserve">Figure S1. </w:t>
                  </w:r>
                  <w:r>
                    <w:rPr>
                      <w:rFonts w:asciiTheme="majorBidi" w:hAnsiTheme="majorBidi" w:cstheme="majorBidi"/>
                      <w:lang w:val="en-US"/>
                    </w:rPr>
                    <w:t xml:space="preserve">Funnel plots </w:t>
                  </w:r>
                  <w:r w:rsidRPr="00313525">
                    <w:rPr>
                      <w:rFonts w:asciiTheme="majorBidi" w:hAnsiTheme="majorBidi" w:cstheme="majorBidi"/>
                      <w:lang w:val="en-US"/>
                    </w:rPr>
                    <w:t>for Assessment of Publication Bias. (A) PSA50 response, (B) stable disease (SD), (C) progressive disease (PD), and (D) any PSA decline.</w:t>
                  </w:r>
                  <w:r w:rsidR="00345A52">
                    <w:rPr>
                      <w:rFonts w:asciiTheme="majorBidi" w:hAnsiTheme="majorBidi" w:cstheme="majorBidi"/>
                      <w:lang w:val="en-US"/>
                    </w:rPr>
                    <w:t xml:space="preserve"> </w:t>
                  </w:r>
                </w:p>
                <w:p w:rsidR="0043588D" w:rsidRPr="001D7B57" w:rsidRDefault="0043588D" w:rsidP="0095547F">
                  <w:pPr>
                    <w:spacing w:after="0"/>
                    <w:rPr>
                      <w:rFonts w:asciiTheme="majorBidi" w:hAnsiTheme="majorBidi" w:cstheme="majorBidi"/>
                      <w:lang w:val="en-US"/>
                    </w:rPr>
                  </w:pPr>
                </w:p>
              </w:txbxContent>
            </v:textbox>
          </v:shape>
        </w:pict>
      </w: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 w:rsidP="0095547F">
      <w:pPr>
        <w:pStyle w:val="normal0"/>
        <w:rPr>
          <w:rFonts w:asciiTheme="majorBidi" w:hAnsiTheme="majorBidi" w:cstheme="majorBidi"/>
          <w:sz w:val="24"/>
          <w:szCs w:val="24"/>
          <w:lang w:val="en-US"/>
        </w:rPr>
      </w:pPr>
    </w:p>
    <w:p w:rsidR="00282153" w:rsidRPr="0099033C" w:rsidRDefault="00282153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95547F" w:rsidRPr="0099033C" w:rsidRDefault="0095547F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3588D" w:rsidRPr="0099033C" w:rsidRDefault="0043588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3588D" w:rsidRPr="0099033C" w:rsidRDefault="0043588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3588D" w:rsidRPr="0099033C" w:rsidRDefault="0043588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3588D" w:rsidRPr="0099033C" w:rsidRDefault="0043588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3588D" w:rsidRPr="0099033C" w:rsidRDefault="0043588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3588D" w:rsidRPr="0099033C" w:rsidRDefault="0043588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43588D" w:rsidRDefault="0043588D">
      <w:pPr>
        <w:rPr>
          <w:rFonts w:asciiTheme="majorBidi" w:hAnsiTheme="majorBidi" w:cstheme="majorBidi"/>
          <w:sz w:val="24"/>
          <w:szCs w:val="24"/>
          <w:lang w:val="en-US"/>
        </w:rPr>
      </w:pPr>
    </w:p>
    <w:p w:rsidR="00345A52" w:rsidRPr="00345A52" w:rsidRDefault="00345A52" w:rsidP="00345A52">
      <w:pPr>
        <w:rPr>
          <w:rFonts w:asciiTheme="majorBidi" w:hAnsiTheme="majorBidi" w:cstheme="majorBidi"/>
          <w:sz w:val="24"/>
          <w:szCs w:val="24"/>
          <w:lang w:val="en-US"/>
        </w:rPr>
      </w:pPr>
      <w:r w:rsidRPr="00345A52">
        <w:rPr>
          <w:rFonts w:asciiTheme="majorBidi" w:hAnsiTheme="majorBidi" w:cstheme="majorBidi"/>
          <w:b/>
          <w:bCs/>
          <w:sz w:val="24"/>
          <w:szCs w:val="24"/>
          <w:lang w:val="en-US"/>
        </w:rPr>
        <w:lastRenderedPageBreak/>
        <w:t>Assessment of publication bias</w:t>
      </w:r>
      <w:r w:rsidRPr="00345A52">
        <w:rPr>
          <w:rFonts w:asciiTheme="majorBidi" w:hAnsiTheme="majorBidi" w:cstheme="majorBidi"/>
          <w:sz w:val="24"/>
          <w:szCs w:val="24"/>
          <w:lang w:val="en-US"/>
        </w:rPr>
        <w:br/>
        <w:t>Funnel plots and Egger’s linear regression tests were used to explore potential small-study effects. For PSA50, the funnel plot did not indicate clear asymmetry, and Egger’s test was non-significant (t = –0.81, df = 6, p = 0.45). For SD, the funnel plot suggested asymmetry, which was confirmed by Egger’s test (t = 3.12, df = 6, p = 0.02). For PD, visual inspection showed no clear asymmetry, and Egger’s test was not significant (t = 1.94, df = 6, p = 0.10). For any PSA decline, both visual inspection and Egger’s test were negative (t = –0.24, df = 5, p = 0.82). Overall, these findings suggest potential publication bias in SD, but not in the other outcomes.</w:t>
      </w:r>
    </w:p>
    <w:sectPr w:rsidR="00345A52" w:rsidRPr="00345A52" w:rsidSect="009554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5E94" w:rsidRDefault="00575E94" w:rsidP="0043588D">
      <w:pPr>
        <w:spacing w:after="0" w:line="240" w:lineRule="auto"/>
      </w:pPr>
      <w:r>
        <w:separator/>
      </w:r>
    </w:p>
  </w:endnote>
  <w:endnote w:type="continuationSeparator" w:id="1">
    <w:p w:rsidR="00575E94" w:rsidRDefault="00575E94" w:rsidP="00435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Quattrocento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5E94" w:rsidRDefault="00575E94" w:rsidP="0043588D">
      <w:pPr>
        <w:spacing w:after="0" w:line="240" w:lineRule="auto"/>
      </w:pPr>
      <w:r>
        <w:separator/>
      </w:r>
    </w:p>
  </w:footnote>
  <w:footnote w:type="continuationSeparator" w:id="1">
    <w:p w:rsidR="00575E94" w:rsidRDefault="00575E94" w:rsidP="00435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B5871"/>
    <w:multiLevelType w:val="multilevel"/>
    <w:tmpl w:val="860262EC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➢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◆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➢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◆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5547F"/>
    <w:rsid w:val="00282153"/>
    <w:rsid w:val="00313525"/>
    <w:rsid w:val="00345A52"/>
    <w:rsid w:val="0043588D"/>
    <w:rsid w:val="00575E94"/>
    <w:rsid w:val="0095547F"/>
    <w:rsid w:val="0099033C"/>
    <w:rsid w:val="009A0EDC"/>
    <w:rsid w:val="00AF14B7"/>
    <w:rsid w:val="00B65F30"/>
    <w:rsid w:val="00E10FBD"/>
    <w:rsid w:val="00ED0C90"/>
    <w:rsid w:val="00F356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153"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ormal0">
    <w:name w:val="normal"/>
    <w:rsid w:val="0095547F"/>
    <w:pPr>
      <w:spacing w:after="0"/>
    </w:pPr>
    <w:rPr>
      <w:rFonts w:ascii="Arial" w:eastAsia="Arial" w:hAnsi="Arial" w:cs="Arial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55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5547F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435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3588D"/>
  </w:style>
  <w:style w:type="paragraph" w:styleId="Pieddepage">
    <w:name w:val="footer"/>
    <w:basedOn w:val="Normal"/>
    <w:link w:val="PieddepageCar"/>
    <w:uiPriority w:val="99"/>
    <w:semiHidden/>
    <w:unhideWhenUsed/>
    <w:rsid w:val="00435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3588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6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313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Zineddine, Belabaci</dc:creator>
  <cp:lastModifiedBy>Zineddine, Belabaci</cp:lastModifiedBy>
  <cp:revision>7</cp:revision>
  <dcterms:created xsi:type="dcterms:W3CDTF">2025-08-20T03:45:00Z</dcterms:created>
  <dcterms:modified xsi:type="dcterms:W3CDTF">2025-09-24T03:02:00Z</dcterms:modified>
</cp:coreProperties>
</file>