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5E29" w14:textId="77777777" w:rsidR="00CB4C79" w:rsidRPr="0099482E" w:rsidRDefault="00CB4C79" w:rsidP="00CB4C79">
      <w:pPr>
        <w:spacing w:after="0" w:line="240" w:lineRule="auto"/>
        <w:jc w:val="both"/>
        <w:rPr>
          <w:rFonts w:eastAsia="Times New Roman"/>
          <w:color w:val="FF0000"/>
          <w:lang w:val="en-GB" w:eastAsia="en-GB"/>
        </w:rPr>
      </w:pPr>
      <w:r w:rsidRPr="00B75E84">
        <w:rPr>
          <w:b/>
          <w:bCs/>
          <w:noProof/>
          <w:color w:val="auto"/>
          <w:lang w:val="en-US"/>
        </w:rPr>
        <w:t xml:space="preserve">Supplemental Table </w:t>
      </w:r>
      <w:r>
        <w:rPr>
          <w:b/>
          <w:bCs/>
          <w:noProof/>
          <w:color w:val="auto"/>
          <w:lang w:val="en-US"/>
        </w:rPr>
        <w:t>3</w:t>
      </w:r>
      <w:r w:rsidRPr="0099482E">
        <w:rPr>
          <w:b/>
          <w:bCs/>
          <w:noProof/>
          <w:color w:val="FF0000"/>
          <w:lang w:val="en-US"/>
        </w:rPr>
        <w:t>a</w:t>
      </w:r>
      <w:r>
        <w:rPr>
          <w:noProof/>
          <w:color w:val="auto"/>
          <w:lang w:val="en-US"/>
        </w:rPr>
        <w:t>.</w:t>
      </w:r>
      <w:r w:rsidRPr="00B75E84">
        <w:rPr>
          <w:noProof/>
          <w:color w:val="auto"/>
          <w:lang w:val="en-US"/>
        </w:rPr>
        <w:t xml:space="preserve"> </w:t>
      </w:r>
      <w:r w:rsidRPr="00900681">
        <w:rPr>
          <w:noProof/>
          <w:color w:val="auto"/>
          <w:lang w:val="en-US"/>
        </w:rPr>
        <w:t xml:space="preserve">Machine-learning models and corresponding hyperparameter grids used for </w:t>
      </w:r>
      <w:r w:rsidRPr="0099482E">
        <w:rPr>
          <w:noProof/>
          <w:color w:val="FF0000"/>
          <w:lang w:val="en-US"/>
        </w:rPr>
        <w:t>5-fold cross-validated grid search within the 80% training sets.</w:t>
      </w:r>
    </w:p>
    <w:p w14:paraId="0EE72C14" w14:textId="77777777" w:rsidR="00CB4C79" w:rsidRPr="00B75E84" w:rsidRDefault="00CB4C79" w:rsidP="00CB4C79">
      <w:pPr>
        <w:spacing w:after="0" w:line="240" w:lineRule="auto"/>
        <w:jc w:val="both"/>
        <w:rPr>
          <w:rFonts w:eastAsia="Times New Roman"/>
          <w:color w:val="auto"/>
          <w:lang w:val="en-GB" w:eastAsia="en-GB"/>
        </w:rPr>
      </w:pPr>
    </w:p>
    <w:p w14:paraId="5592C54B" w14:textId="77777777" w:rsidR="00CB4C79" w:rsidRPr="00B75E84" w:rsidRDefault="00CB4C79" w:rsidP="00CB4C79">
      <w:pPr>
        <w:spacing w:after="0" w:line="240" w:lineRule="auto"/>
        <w:jc w:val="both"/>
        <w:rPr>
          <w:rFonts w:eastAsia="Times New Roman"/>
          <w:lang w:val="en-US" w:eastAsia="en-GB"/>
        </w:rPr>
      </w:pPr>
      <w:r w:rsidRPr="00B75E84">
        <w:rPr>
          <w:noProof/>
        </w:rPr>
        <w:drawing>
          <wp:inline distT="0" distB="0" distL="0" distR="0" wp14:anchorId="12CC8643" wp14:editId="4B477A21">
            <wp:extent cx="4752975" cy="900729"/>
            <wp:effectExtent l="0" t="0" r="0" b="0"/>
            <wp:docPr id="2077038628" name="Picture 2077038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55609" cy="901228"/>
                    </a:xfrm>
                    <a:prstGeom prst="rect">
                      <a:avLst/>
                    </a:prstGeom>
                    <a:noFill/>
                    <a:ln>
                      <a:noFill/>
                    </a:ln>
                  </pic:spPr>
                </pic:pic>
              </a:graphicData>
            </a:graphic>
          </wp:inline>
        </w:drawing>
      </w:r>
    </w:p>
    <w:p w14:paraId="7AA7B9C4" w14:textId="77777777" w:rsidR="00CB4C79" w:rsidRPr="0099482E" w:rsidRDefault="00CB4C79" w:rsidP="00CB4C79">
      <w:pPr>
        <w:spacing w:after="0"/>
        <w:jc w:val="both"/>
        <w:rPr>
          <w:noProof/>
          <w:color w:val="FF0000"/>
          <w:lang w:val="en-US"/>
        </w:rPr>
      </w:pPr>
    </w:p>
    <w:p w14:paraId="0F8E8725" w14:textId="77777777" w:rsidR="00CB4C79" w:rsidRPr="0099482E" w:rsidRDefault="00CB4C79" w:rsidP="00CB4C79">
      <w:pPr>
        <w:spacing w:after="0"/>
        <w:jc w:val="both"/>
        <w:rPr>
          <w:noProof/>
          <w:color w:val="FF0000"/>
          <w:lang w:val="en-US"/>
        </w:rPr>
      </w:pPr>
      <w:r w:rsidRPr="0099482E">
        <w:rPr>
          <w:noProof/>
          <w:color w:val="FF0000"/>
          <w:lang w:val="en-US"/>
        </w:rPr>
        <w:t>For each machine-learning (ML) algorithm, an extensive grid search was performed over the hyperparameter ranges listed in this table. In every experiment, 80% of the lesions were used for model development and 20% for testing. Within each 80% training set, 5-fold cross-validation was used to identify the optimal hyperparameter combination. This procedure was repeated for 50 independent random 80%/20% train–test splits. In each split, the model with the best cross-validated performance was retrained on the full 80% training set and then evaluated on the corresponding 20% test set. Mean accuracies and standard deviations across these 50 test sets are reported in Supplementary Table 3b.</w:t>
      </w:r>
    </w:p>
    <w:p w14:paraId="69E3627E" w14:textId="77777777" w:rsidR="00CB4C79" w:rsidRDefault="00CB4C79" w:rsidP="00CB4C79">
      <w:pPr>
        <w:spacing w:after="0"/>
        <w:jc w:val="both"/>
        <w:rPr>
          <w:noProof/>
          <w:lang w:val="en-US"/>
        </w:rPr>
      </w:pPr>
    </w:p>
    <w:p w14:paraId="534663A0" w14:textId="77777777" w:rsidR="00CB4C79" w:rsidRDefault="00CB4C79" w:rsidP="00CB4C79">
      <w:pPr>
        <w:spacing w:after="0"/>
        <w:jc w:val="both"/>
        <w:rPr>
          <w:noProof/>
          <w:lang w:val="en-US"/>
        </w:rPr>
      </w:pPr>
    </w:p>
    <w:p w14:paraId="4E68C186" w14:textId="77777777" w:rsidR="00CB4C79" w:rsidRDefault="00CB4C79" w:rsidP="00CB4C79">
      <w:pPr>
        <w:spacing w:after="0"/>
        <w:jc w:val="both"/>
        <w:rPr>
          <w:noProof/>
          <w:color w:val="FF0000"/>
          <w:lang w:val="en-US"/>
        </w:rPr>
      </w:pPr>
      <w:r w:rsidRPr="000B3EA7">
        <w:rPr>
          <w:b/>
          <w:bCs/>
          <w:noProof/>
          <w:color w:val="FF0000"/>
          <w:lang w:val="en-US"/>
        </w:rPr>
        <w:t>Supplemental Table 3b</w:t>
      </w:r>
      <w:r w:rsidRPr="000B3EA7">
        <w:rPr>
          <w:noProof/>
          <w:color w:val="FF0000"/>
          <w:lang w:val="en-US"/>
        </w:rPr>
        <w:t xml:space="preserve">. Method-selection strategies and performance of machine-learning classifiers. </w:t>
      </w:r>
    </w:p>
    <w:p w14:paraId="23D507B3" w14:textId="77777777" w:rsidR="00CB4C79" w:rsidRDefault="00CB4C79" w:rsidP="00CB4C79">
      <w:pPr>
        <w:spacing w:after="0"/>
        <w:jc w:val="both"/>
        <w:rPr>
          <w:noProof/>
          <w:color w:val="FF0000"/>
          <w:lang w:val="en-US"/>
        </w:rPr>
      </w:pPr>
      <w:r w:rsidRPr="000B3EA7">
        <w:rPr>
          <w:noProof/>
          <w:color w:val="FF0000"/>
        </w:rPr>
        <w:drawing>
          <wp:inline distT="0" distB="0" distL="0" distR="0" wp14:anchorId="102520E7" wp14:editId="7B6BFA62">
            <wp:extent cx="5749925" cy="4568825"/>
            <wp:effectExtent l="0" t="0" r="3175" b="3175"/>
            <wp:docPr id="4922518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925" cy="4568825"/>
                    </a:xfrm>
                    <a:prstGeom prst="rect">
                      <a:avLst/>
                    </a:prstGeom>
                    <a:noFill/>
                    <a:ln>
                      <a:noFill/>
                    </a:ln>
                  </pic:spPr>
                </pic:pic>
              </a:graphicData>
            </a:graphic>
          </wp:inline>
        </w:drawing>
      </w:r>
    </w:p>
    <w:p w14:paraId="3E952596" w14:textId="77777777" w:rsidR="00CB4C79" w:rsidRDefault="00CB4C79" w:rsidP="00CB4C79">
      <w:pPr>
        <w:spacing w:after="0"/>
        <w:jc w:val="both"/>
        <w:rPr>
          <w:noProof/>
          <w:color w:val="FF0000"/>
          <w:lang w:val="en-US"/>
        </w:rPr>
      </w:pPr>
    </w:p>
    <w:p w14:paraId="7ACFB0DF" w14:textId="77777777" w:rsidR="00CB4C79" w:rsidRPr="00E820F1" w:rsidRDefault="00CB4C79" w:rsidP="00CB4C79">
      <w:pPr>
        <w:spacing w:after="0"/>
        <w:jc w:val="both"/>
        <w:rPr>
          <w:noProof/>
          <w:color w:val="FF0000"/>
          <w:lang w:val="en-US"/>
        </w:rPr>
      </w:pPr>
      <w:r w:rsidRPr="00E820F1">
        <w:rPr>
          <w:noProof/>
          <w:color w:val="FF0000"/>
          <w:lang w:val="en-US"/>
        </w:rPr>
        <w:lastRenderedPageBreak/>
        <w:t>Each trained classifier outputs, for every lesion and segmentation method, a predicted probability of achieving a rating-3 segmentation. Several families of method-selection strategies were evaluated using these probabilities:</w:t>
      </w:r>
    </w:p>
    <w:p w14:paraId="0CC162DC" w14:textId="77777777" w:rsidR="00CB4C79" w:rsidRPr="00E820F1" w:rsidRDefault="00CB4C79" w:rsidP="00CB4C79">
      <w:pPr>
        <w:spacing w:after="0"/>
        <w:jc w:val="both"/>
        <w:rPr>
          <w:noProof/>
          <w:color w:val="FF0000"/>
          <w:lang w:val="en-US"/>
        </w:rPr>
      </w:pPr>
      <w:r>
        <w:rPr>
          <w:noProof/>
          <w:color w:val="FF0000"/>
          <w:lang w:val="en-US"/>
        </w:rPr>
        <w:t xml:space="preserve">- </w:t>
      </w:r>
      <w:r w:rsidRPr="00E820F1">
        <w:rPr>
          <w:noProof/>
          <w:color w:val="FF0000"/>
          <w:lang w:val="en-US"/>
        </w:rPr>
        <w:t>Highest-probability selection (primary strategy): for each lesion, the segmentation method with the highest predicted probability of rating 3 was selected, treating all candidate methods symmetrically and imposing no a priori preference ordering.</w:t>
      </w:r>
    </w:p>
    <w:p w14:paraId="71FA5189" w14:textId="77777777" w:rsidR="00CB4C79" w:rsidRPr="00E820F1" w:rsidRDefault="00CB4C79" w:rsidP="00CB4C79">
      <w:pPr>
        <w:spacing w:after="0"/>
        <w:jc w:val="both"/>
        <w:rPr>
          <w:noProof/>
          <w:color w:val="FF0000"/>
          <w:lang w:val="en-US"/>
        </w:rPr>
      </w:pPr>
      <w:r>
        <w:rPr>
          <w:noProof/>
          <w:color w:val="FF0000"/>
          <w:lang w:val="en-US"/>
        </w:rPr>
        <w:t xml:space="preserve">- </w:t>
      </w:r>
      <w:r w:rsidRPr="00E820F1">
        <w:rPr>
          <w:noProof/>
          <w:color w:val="FF0000"/>
          <w:lang w:val="en-US"/>
        </w:rPr>
        <w:t>Hierarchical selection strategies: schemes in which one or more pre-specified methods (e.g.</w:t>
      </w:r>
      <w:r>
        <w:rPr>
          <w:noProof/>
          <w:color w:val="FF0000"/>
          <w:lang w:val="en-US"/>
        </w:rPr>
        <w:t>,</w:t>
      </w:r>
      <w:r w:rsidRPr="00E820F1">
        <w:rPr>
          <w:noProof/>
          <w:color w:val="FF0000"/>
          <w:lang w:val="en-US"/>
        </w:rPr>
        <w:t xml:space="preserve"> SUV4.0, SUV2.5, A50P, MV2, MV3) were given priority if their predicted probability exceeded a predefined threshold (e.g.</w:t>
      </w:r>
      <w:r>
        <w:rPr>
          <w:noProof/>
          <w:color w:val="FF0000"/>
          <w:lang w:val="en-US"/>
        </w:rPr>
        <w:t>,</w:t>
      </w:r>
      <w:r w:rsidRPr="00E820F1">
        <w:rPr>
          <w:noProof/>
          <w:color w:val="FF0000"/>
          <w:lang w:val="en-US"/>
        </w:rPr>
        <w:t xml:space="preserve"> 0.5, 0.6 or 0.8); otherwise, selection defaulted to another method (e.g.</w:t>
      </w:r>
      <w:r>
        <w:rPr>
          <w:noProof/>
          <w:color w:val="FF0000"/>
          <w:lang w:val="en-US"/>
        </w:rPr>
        <w:t>,</w:t>
      </w:r>
      <w:r w:rsidRPr="00E820F1">
        <w:rPr>
          <w:noProof/>
          <w:color w:val="FF0000"/>
          <w:lang w:val="en-US"/>
        </w:rPr>
        <w:t xml:space="preserve"> the overall highest-probability method or a predefined alternative).</w:t>
      </w:r>
    </w:p>
    <w:p w14:paraId="2B16D6C7" w14:textId="77777777" w:rsidR="00CB4C79" w:rsidRPr="00E820F1" w:rsidRDefault="00CB4C79" w:rsidP="00CB4C79">
      <w:pPr>
        <w:spacing w:after="0"/>
        <w:jc w:val="both"/>
        <w:rPr>
          <w:noProof/>
          <w:color w:val="FF0000"/>
          <w:lang w:val="en-US"/>
        </w:rPr>
      </w:pPr>
      <w:r>
        <w:rPr>
          <w:noProof/>
          <w:color w:val="FF0000"/>
          <w:lang w:val="en-US"/>
        </w:rPr>
        <w:t xml:space="preserve">- </w:t>
      </w:r>
      <w:r w:rsidRPr="00E820F1">
        <w:rPr>
          <w:noProof/>
          <w:color w:val="FF0000"/>
          <w:lang w:val="en-US"/>
        </w:rPr>
        <w:t>Restricted method sets: strategies restricted to subsets of three to five methods, most notably {SUV4.0, MV2, MV3}, using either the highest-probability or the hierarchical rules within this reduced output set.</w:t>
      </w:r>
    </w:p>
    <w:p w14:paraId="263A5A40" w14:textId="77777777" w:rsidR="00CB4C79" w:rsidRPr="00E820F1" w:rsidRDefault="00CB4C79" w:rsidP="00CB4C79">
      <w:pPr>
        <w:spacing w:after="0"/>
        <w:jc w:val="both"/>
        <w:rPr>
          <w:noProof/>
          <w:color w:val="FF0000"/>
          <w:lang w:val="en-US"/>
        </w:rPr>
      </w:pPr>
      <w:r>
        <w:rPr>
          <w:noProof/>
          <w:color w:val="FF0000"/>
          <w:lang w:val="en-US"/>
        </w:rPr>
        <w:t xml:space="preserve">- </w:t>
      </w:r>
      <w:r w:rsidRPr="00E820F1">
        <w:rPr>
          <w:noProof/>
          <w:color w:val="FF0000"/>
          <w:lang w:val="en-US"/>
        </w:rPr>
        <w:t>Stacked ensemble approaches: stacked ensembles in which a second-level meta-classifier (Logistic Regression, Decision Tree or Random Forest) was trained on the vectors of base-model probabilities (one probability per segmentation method) for each lesion, with or without inclusion of the original SUVpeak, TBRpeak and SUVbg features.</w:t>
      </w:r>
    </w:p>
    <w:p w14:paraId="27A50771" w14:textId="77777777" w:rsidR="00CB4C79" w:rsidRPr="00E820F1" w:rsidRDefault="00CB4C79" w:rsidP="00CB4C79">
      <w:pPr>
        <w:spacing w:after="0"/>
        <w:jc w:val="both"/>
        <w:rPr>
          <w:noProof/>
          <w:color w:val="FF0000"/>
          <w:lang w:val="en-US"/>
        </w:rPr>
      </w:pPr>
    </w:p>
    <w:p w14:paraId="011B4AC1" w14:textId="77777777" w:rsidR="00CB4C79" w:rsidRDefault="00CB4C79" w:rsidP="00CB4C79">
      <w:pPr>
        <w:spacing w:after="0"/>
        <w:jc w:val="both"/>
        <w:rPr>
          <w:noProof/>
          <w:color w:val="FF0000"/>
          <w:lang w:val="en-US"/>
        </w:rPr>
      </w:pPr>
      <w:r w:rsidRPr="00E820F1">
        <w:rPr>
          <w:noProof/>
          <w:color w:val="FF0000"/>
          <w:lang w:val="en-US"/>
        </w:rPr>
        <w:t>The table lists the 40 best classifier</w:t>
      </w:r>
      <w:r>
        <w:rPr>
          <w:noProof/>
          <w:color w:val="FF0000"/>
          <w:lang w:val="en-US"/>
        </w:rPr>
        <w:t>-</w:t>
      </w:r>
      <w:r w:rsidRPr="00E820F1">
        <w:rPr>
          <w:noProof/>
          <w:color w:val="FF0000"/>
          <w:lang w:val="en-US"/>
        </w:rPr>
        <w:t>strategy combinations ranked by mean accuracy across the 50 independent 80%/20% train</w:t>
      </w:r>
      <w:r>
        <w:rPr>
          <w:noProof/>
          <w:color w:val="FF0000"/>
          <w:lang w:val="en-US"/>
        </w:rPr>
        <w:t>-</w:t>
      </w:r>
      <w:r w:rsidRPr="00E820F1">
        <w:rPr>
          <w:noProof/>
          <w:color w:val="FF0000"/>
          <w:lang w:val="en-US"/>
        </w:rPr>
        <w:t xml:space="preserve">test splits. Mean accuracies varied only modestly (0.77–0.83). The highest value was obtained </w:t>
      </w:r>
      <w:r>
        <w:rPr>
          <w:noProof/>
          <w:color w:val="FF0000"/>
          <w:lang w:val="en-US"/>
        </w:rPr>
        <w:t>with a Support Vector Machine using the simple highest-probability rule across</w:t>
      </w:r>
      <w:r w:rsidRPr="00E820F1">
        <w:rPr>
          <w:noProof/>
          <w:color w:val="FF0000"/>
          <w:lang w:val="en-US"/>
        </w:rPr>
        <w:t xml:space="preserve"> five methods (A50P, 41%max, SUV2.5, SUV4.0, MV2), with a mean accuracy of 0.83 (SD 0.03). Several other highest-probability configurations using Random Forest, Logistic Regression, XGBoost or LightGBM, either on the full set of methods or on restricted sets, achieved accuracies around 0.81–0.82. Strategies restricted to SUV4.0, MV2 and MV3 with the highest-probability rule yielded accuracies of 0.816–0.819, indicating that limiting the output set to these three methods has little impact on performance. In contrast, hierarchical schemes and stacked ensembles generally achieved accuracies of 0.80 or lower and did not outperform the simpler highest-probability strategies.</w:t>
      </w:r>
    </w:p>
    <w:p w14:paraId="0F0F7348" w14:textId="77777777" w:rsidR="00CB4C79" w:rsidRDefault="00CB4C79" w:rsidP="00CB4C79">
      <w:pPr>
        <w:spacing w:after="0"/>
        <w:jc w:val="both"/>
        <w:rPr>
          <w:noProof/>
          <w:color w:val="FF0000"/>
          <w:lang w:val="en-US"/>
        </w:rPr>
      </w:pPr>
    </w:p>
    <w:p w14:paraId="5EC6483A" w14:textId="77777777" w:rsidR="00CB4C79" w:rsidRDefault="00CB4C79" w:rsidP="00CB4C79">
      <w:pPr>
        <w:spacing w:after="0"/>
        <w:jc w:val="both"/>
        <w:rPr>
          <w:noProof/>
          <w:color w:val="FF0000"/>
          <w:lang w:val="en-US"/>
        </w:rPr>
      </w:pPr>
    </w:p>
    <w:p w14:paraId="77CDD1D0" w14:textId="77777777" w:rsidR="00CB4C79" w:rsidRPr="00BC0BE0" w:rsidRDefault="00CB4C79" w:rsidP="00CB4C79">
      <w:pPr>
        <w:spacing w:after="0"/>
        <w:jc w:val="both"/>
        <w:rPr>
          <w:noProof/>
          <w:color w:val="FF0000"/>
          <w:lang w:val="en-US"/>
        </w:rPr>
      </w:pPr>
      <w:r w:rsidRPr="000B3EA7">
        <w:rPr>
          <w:b/>
          <w:bCs/>
          <w:noProof/>
          <w:color w:val="FF0000"/>
          <w:lang w:val="en-US"/>
        </w:rPr>
        <w:t>Supplemental Table 3c</w:t>
      </w:r>
      <w:r w:rsidRPr="000B3EA7">
        <w:rPr>
          <w:noProof/>
          <w:color w:val="FF0000"/>
          <w:lang w:val="en-US"/>
        </w:rPr>
        <w:t xml:space="preserve">. </w:t>
      </w:r>
      <w:r w:rsidRPr="00506561">
        <w:rPr>
          <w:noProof/>
          <w:color w:val="FF0000"/>
          <w:lang w:val="en-US"/>
        </w:rPr>
        <w:t>Correlation between ML-selected segmentations and reference MTV/TMTV</w:t>
      </w:r>
      <w:r>
        <w:rPr>
          <w:noProof/>
          <w:color w:val="FF0000"/>
          <w:lang w:val="en-US"/>
        </w:rPr>
        <w:t>.</w:t>
      </w:r>
    </w:p>
    <w:tbl>
      <w:tblPr>
        <w:tblW w:w="6500" w:type="dxa"/>
        <w:tblLook w:val="04A0" w:firstRow="1" w:lastRow="0" w:firstColumn="1" w:lastColumn="0" w:noHBand="0" w:noVBand="1"/>
      </w:tblPr>
      <w:tblGrid>
        <w:gridCol w:w="960"/>
        <w:gridCol w:w="2160"/>
        <w:gridCol w:w="1720"/>
        <w:gridCol w:w="1660"/>
      </w:tblGrid>
      <w:tr w:rsidR="00CB4C79" w:rsidRPr="00CB4C79" w14:paraId="3F07D5AD" w14:textId="77777777" w:rsidTr="009D61CA">
        <w:trPr>
          <w:trHeight w:val="900"/>
        </w:trPr>
        <w:tc>
          <w:tcPr>
            <w:tcW w:w="960" w:type="dxa"/>
            <w:tcBorders>
              <w:top w:val="nil"/>
              <w:left w:val="nil"/>
              <w:bottom w:val="nil"/>
              <w:right w:val="nil"/>
            </w:tcBorders>
            <w:vAlign w:val="center"/>
            <w:hideMark/>
          </w:tcPr>
          <w:p w14:paraId="2DF720EF" w14:textId="77777777" w:rsidR="00CB4C79" w:rsidRPr="00CB4C79" w:rsidRDefault="00CB4C79" w:rsidP="009D61CA">
            <w:pPr>
              <w:spacing w:after="0" w:line="240" w:lineRule="auto"/>
              <w:jc w:val="center"/>
              <w:rPr>
                <w:rFonts w:asciiTheme="majorHAnsi" w:eastAsia="Times New Roman" w:hAnsiTheme="majorHAnsi" w:cs="Arial"/>
                <w:b/>
                <w:bCs/>
                <w:sz w:val="18"/>
                <w:szCs w:val="18"/>
                <w:lang w:val="en-GB" w:eastAsia="en-GB"/>
              </w:rPr>
            </w:pPr>
            <w:r w:rsidRPr="00CB4C79">
              <w:rPr>
                <w:rFonts w:asciiTheme="majorHAnsi" w:eastAsia="Times New Roman" w:hAnsiTheme="majorHAnsi" w:cs="Arial"/>
                <w:b/>
                <w:bCs/>
                <w:sz w:val="18"/>
                <w:szCs w:val="18"/>
                <w:lang w:val="en-GB" w:eastAsia="en-GB"/>
              </w:rPr>
              <w:t>Timing</w:t>
            </w:r>
          </w:p>
        </w:tc>
        <w:tc>
          <w:tcPr>
            <w:tcW w:w="2160" w:type="dxa"/>
            <w:tcBorders>
              <w:top w:val="nil"/>
              <w:left w:val="nil"/>
              <w:bottom w:val="nil"/>
              <w:right w:val="nil"/>
            </w:tcBorders>
            <w:vAlign w:val="center"/>
            <w:hideMark/>
          </w:tcPr>
          <w:p w14:paraId="7CB73AC6" w14:textId="77777777" w:rsidR="00CB4C79" w:rsidRPr="00CB4C79" w:rsidRDefault="00CB4C79" w:rsidP="009D61CA">
            <w:pPr>
              <w:spacing w:after="0" w:line="240" w:lineRule="auto"/>
              <w:jc w:val="center"/>
              <w:rPr>
                <w:rFonts w:asciiTheme="majorHAnsi" w:eastAsia="Times New Roman" w:hAnsiTheme="majorHAnsi" w:cs="Arial"/>
                <w:b/>
                <w:bCs/>
                <w:sz w:val="18"/>
                <w:szCs w:val="18"/>
                <w:lang w:val="en-GB" w:eastAsia="en-GB"/>
              </w:rPr>
            </w:pPr>
            <w:r w:rsidRPr="00CB4C79">
              <w:rPr>
                <w:rFonts w:asciiTheme="majorHAnsi" w:eastAsia="Times New Roman" w:hAnsiTheme="majorHAnsi" w:cs="Arial"/>
                <w:b/>
                <w:bCs/>
                <w:sz w:val="18"/>
                <w:szCs w:val="18"/>
                <w:lang w:val="en-GB" w:eastAsia="en-GB"/>
              </w:rPr>
              <w:t>Method</w:t>
            </w:r>
          </w:p>
        </w:tc>
        <w:tc>
          <w:tcPr>
            <w:tcW w:w="1720" w:type="dxa"/>
            <w:tcBorders>
              <w:top w:val="nil"/>
              <w:left w:val="nil"/>
              <w:bottom w:val="nil"/>
              <w:right w:val="nil"/>
            </w:tcBorders>
            <w:vAlign w:val="center"/>
            <w:hideMark/>
          </w:tcPr>
          <w:p w14:paraId="1C56C8D9" w14:textId="77777777" w:rsidR="00CB4C79" w:rsidRPr="00CB4C79" w:rsidRDefault="00CB4C79" w:rsidP="009D61CA">
            <w:pPr>
              <w:spacing w:after="0" w:line="240" w:lineRule="auto"/>
              <w:jc w:val="center"/>
              <w:rPr>
                <w:rFonts w:asciiTheme="majorHAnsi" w:eastAsia="Times New Roman" w:hAnsiTheme="majorHAnsi" w:cs="Arial"/>
                <w:b/>
                <w:bCs/>
                <w:sz w:val="18"/>
                <w:szCs w:val="18"/>
                <w:lang w:val="en-GB" w:eastAsia="en-GB"/>
              </w:rPr>
            </w:pPr>
            <w:r w:rsidRPr="00CB4C79">
              <w:rPr>
                <w:rFonts w:asciiTheme="majorHAnsi" w:eastAsia="Times New Roman" w:hAnsiTheme="majorHAnsi" w:cs="Arial"/>
                <w:b/>
                <w:bCs/>
                <w:sz w:val="18"/>
                <w:szCs w:val="18"/>
                <w:lang w:val="en-GB" w:eastAsia="en-GB"/>
              </w:rPr>
              <w:t>Lesion-level ρ (per-lesion MTV vs reference)</w:t>
            </w:r>
          </w:p>
        </w:tc>
        <w:tc>
          <w:tcPr>
            <w:tcW w:w="1660" w:type="dxa"/>
            <w:tcBorders>
              <w:top w:val="nil"/>
              <w:left w:val="nil"/>
              <w:bottom w:val="nil"/>
              <w:right w:val="nil"/>
            </w:tcBorders>
            <w:vAlign w:val="center"/>
            <w:hideMark/>
          </w:tcPr>
          <w:p w14:paraId="4863FDAE" w14:textId="77777777" w:rsidR="00CB4C79" w:rsidRPr="00CB4C79" w:rsidRDefault="00CB4C79" w:rsidP="009D61CA">
            <w:pPr>
              <w:spacing w:after="0" w:line="240" w:lineRule="auto"/>
              <w:jc w:val="center"/>
              <w:rPr>
                <w:rFonts w:asciiTheme="majorHAnsi" w:eastAsia="Times New Roman" w:hAnsiTheme="majorHAnsi" w:cs="Arial"/>
                <w:b/>
                <w:bCs/>
                <w:sz w:val="18"/>
                <w:szCs w:val="18"/>
                <w:lang w:val="en-GB" w:eastAsia="en-GB"/>
              </w:rPr>
            </w:pPr>
            <w:r w:rsidRPr="00CB4C79">
              <w:rPr>
                <w:rFonts w:asciiTheme="majorHAnsi" w:eastAsia="Times New Roman" w:hAnsiTheme="majorHAnsi" w:cs="Arial"/>
                <w:b/>
                <w:bCs/>
                <w:sz w:val="18"/>
                <w:szCs w:val="18"/>
                <w:lang w:val="en-GB" w:eastAsia="en-GB"/>
              </w:rPr>
              <w:t>Patient-level ρ (TMTV vs reference)</w:t>
            </w:r>
          </w:p>
        </w:tc>
      </w:tr>
      <w:tr w:rsidR="00CB4C79" w:rsidRPr="00CB4C79" w14:paraId="58A55C82" w14:textId="77777777" w:rsidTr="009D61CA">
        <w:trPr>
          <w:trHeight w:val="300"/>
        </w:trPr>
        <w:tc>
          <w:tcPr>
            <w:tcW w:w="960" w:type="dxa"/>
            <w:tcBorders>
              <w:top w:val="nil"/>
              <w:left w:val="nil"/>
              <w:bottom w:val="nil"/>
              <w:right w:val="nil"/>
            </w:tcBorders>
            <w:vAlign w:val="center"/>
            <w:hideMark/>
          </w:tcPr>
          <w:p w14:paraId="2A9D230B"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Overall</w:t>
            </w:r>
          </w:p>
        </w:tc>
        <w:tc>
          <w:tcPr>
            <w:tcW w:w="2160" w:type="dxa"/>
            <w:tcBorders>
              <w:top w:val="nil"/>
              <w:left w:val="nil"/>
              <w:bottom w:val="nil"/>
              <w:right w:val="nil"/>
            </w:tcBorders>
            <w:vAlign w:val="center"/>
            <w:hideMark/>
          </w:tcPr>
          <w:p w14:paraId="695624A0"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Decision Tree</w:t>
            </w:r>
          </w:p>
        </w:tc>
        <w:tc>
          <w:tcPr>
            <w:tcW w:w="1720" w:type="dxa"/>
            <w:tcBorders>
              <w:top w:val="nil"/>
              <w:left w:val="nil"/>
              <w:bottom w:val="nil"/>
              <w:right w:val="nil"/>
            </w:tcBorders>
            <w:vAlign w:val="center"/>
            <w:hideMark/>
          </w:tcPr>
          <w:p w14:paraId="28C800D8"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0.77</w:t>
            </w:r>
          </w:p>
        </w:tc>
        <w:tc>
          <w:tcPr>
            <w:tcW w:w="1660" w:type="dxa"/>
            <w:tcBorders>
              <w:top w:val="nil"/>
              <w:left w:val="nil"/>
              <w:bottom w:val="nil"/>
              <w:right w:val="nil"/>
            </w:tcBorders>
            <w:vAlign w:val="center"/>
            <w:hideMark/>
          </w:tcPr>
          <w:p w14:paraId="1BD51578"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0.89</w:t>
            </w:r>
          </w:p>
        </w:tc>
      </w:tr>
      <w:tr w:rsidR="00CB4C79" w:rsidRPr="00CB4C79" w14:paraId="45BFB023" w14:textId="77777777" w:rsidTr="009D61CA">
        <w:trPr>
          <w:trHeight w:val="300"/>
        </w:trPr>
        <w:tc>
          <w:tcPr>
            <w:tcW w:w="960" w:type="dxa"/>
            <w:tcBorders>
              <w:top w:val="nil"/>
              <w:left w:val="nil"/>
              <w:bottom w:val="nil"/>
              <w:right w:val="nil"/>
            </w:tcBorders>
            <w:vAlign w:val="center"/>
            <w:hideMark/>
          </w:tcPr>
          <w:p w14:paraId="5ADABEBE"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Overall</w:t>
            </w:r>
          </w:p>
        </w:tc>
        <w:tc>
          <w:tcPr>
            <w:tcW w:w="2160" w:type="dxa"/>
            <w:tcBorders>
              <w:top w:val="nil"/>
              <w:left w:val="nil"/>
              <w:bottom w:val="nil"/>
              <w:right w:val="nil"/>
            </w:tcBorders>
            <w:vAlign w:val="center"/>
            <w:hideMark/>
          </w:tcPr>
          <w:p w14:paraId="14D45EDC"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Random Forest</w:t>
            </w:r>
          </w:p>
        </w:tc>
        <w:tc>
          <w:tcPr>
            <w:tcW w:w="1720" w:type="dxa"/>
            <w:tcBorders>
              <w:top w:val="nil"/>
              <w:left w:val="nil"/>
              <w:bottom w:val="nil"/>
              <w:right w:val="nil"/>
            </w:tcBorders>
            <w:vAlign w:val="center"/>
            <w:hideMark/>
          </w:tcPr>
          <w:p w14:paraId="3247DD9D"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0.82</w:t>
            </w:r>
          </w:p>
        </w:tc>
        <w:tc>
          <w:tcPr>
            <w:tcW w:w="1660" w:type="dxa"/>
            <w:tcBorders>
              <w:top w:val="nil"/>
              <w:left w:val="nil"/>
              <w:bottom w:val="nil"/>
              <w:right w:val="nil"/>
            </w:tcBorders>
            <w:vAlign w:val="center"/>
            <w:hideMark/>
          </w:tcPr>
          <w:p w14:paraId="0A0D92A6"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0.91</w:t>
            </w:r>
          </w:p>
        </w:tc>
      </w:tr>
      <w:tr w:rsidR="00CB4C79" w:rsidRPr="00CB4C79" w14:paraId="776DEF3C" w14:textId="77777777" w:rsidTr="009D61CA">
        <w:trPr>
          <w:trHeight w:val="300"/>
        </w:trPr>
        <w:tc>
          <w:tcPr>
            <w:tcW w:w="960" w:type="dxa"/>
            <w:tcBorders>
              <w:top w:val="nil"/>
              <w:left w:val="nil"/>
              <w:bottom w:val="nil"/>
              <w:right w:val="nil"/>
            </w:tcBorders>
            <w:vAlign w:val="center"/>
            <w:hideMark/>
          </w:tcPr>
          <w:p w14:paraId="65D513A4"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Overall</w:t>
            </w:r>
          </w:p>
        </w:tc>
        <w:tc>
          <w:tcPr>
            <w:tcW w:w="2160" w:type="dxa"/>
            <w:tcBorders>
              <w:top w:val="nil"/>
              <w:left w:val="nil"/>
              <w:bottom w:val="nil"/>
              <w:right w:val="nil"/>
            </w:tcBorders>
            <w:vAlign w:val="center"/>
            <w:hideMark/>
          </w:tcPr>
          <w:p w14:paraId="3A5F6E1E"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LightGBM</w:t>
            </w:r>
          </w:p>
        </w:tc>
        <w:tc>
          <w:tcPr>
            <w:tcW w:w="1720" w:type="dxa"/>
            <w:tcBorders>
              <w:top w:val="nil"/>
              <w:left w:val="nil"/>
              <w:bottom w:val="nil"/>
              <w:right w:val="nil"/>
            </w:tcBorders>
            <w:vAlign w:val="center"/>
            <w:hideMark/>
          </w:tcPr>
          <w:p w14:paraId="7A10522E"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0.81</w:t>
            </w:r>
          </w:p>
        </w:tc>
        <w:tc>
          <w:tcPr>
            <w:tcW w:w="1660" w:type="dxa"/>
            <w:tcBorders>
              <w:top w:val="nil"/>
              <w:left w:val="nil"/>
              <w:bottom w:val="nil"/>
              <w:right w:val="nil"/>
            </w:tcBorders>
            <w:vAlign w:val="center"/>
            <w:hideMark/>
          </w:tcPr>
          <w:p w14:paraId="5F2DB462"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0.88</w:t>
            </w:r>
          </w:p>
        </w:tc>
      </w:tr>
      <w:tr w:rsidR="00CB4C79" w:rsidRPr="00CB4C79" w14:paraId="0C826886" w14:textId="77777777" w:rsidTr="009D61CA">
        <w:trPr>
          <w:trHeight w:val="300"/>
        </w:trPr>
        <w:tc>
          <w:tcPr>
            <w:tcW w:w="960" w:type="dxa"/>
            <w:tcBorders>
              <w:top w:val="nil"/>
              <w:left w:val="nil"/>
              <w:bottom w:val="nil"/>
              <w:right w:val="nil"/>
            </w:tcBorders>
            <w:vAlign w:val="center"/>
            <w:hideMark/>
          </w:tcPr>
          <w:p w14:paraId="4F7FD69E"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Overall</w:t>
            </w:r>
          </w:p>
        </w:tc>
        <w:tc>
          <w:tcPr>
            <w:tcW w:w="2160" w:type="dxa"/>
            <w:tcBorders>
              <w:top w:val="nil"/>
              <w:left w:val="nil"/>
              <w:bottom w:val="nil"/>
              <w:right w:val="nil"/>
            </w:tcBorders>
            <w:vAlign w:val="center"/>
            <w:hideMark/>
          </w:tcPr>
          <w:p w14:paraId="7659551F"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XGBoost</w:t>
            </w:r>
          </w:p>
        </w:tc>
        <w:tc>
          <w:tcPr>
            <w:tcW w:w="1720" w:type="dxa"/>
            <w:tcBorders>
              <w:top w:val="nil"/>
              <w:left w:val="nil"/>
              <w:bottom w:val="nil"/>
              <w:right w:val="nil"/>
            </w:tcBorders>
            <w:vAlign w:val="center"/>
            <w:hideMark/>
          </w:tcPr>
          <w:p w14:paraId="5C236B6A"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0.82</w:t>
            </w:r>
          </w:p>
        </w:tc>
        <w:tc>
          <w:tcPr>
            <w:tcW w:w="1660" w:type="dxa"/>
            <w:tcBorders>
              <w:top w:val="nil"/>
              <w:left w:val="nil"/>
              <w:bottom w:val="nil"/>
              <w:right w:val="nil"/>
            </w:tcBorders>
            <w:vAlign w:val="center"/>
            <w:hideMark/>
          </w:tcPr>
          <w:p w14:paraId="55DCA3BD"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0.86</w:t>
            </w:r>
          </w:p>
        </w:tc>
      </w:tr>
      <w:tr w:rsidR="00CB4C79" w:rsidRPr="00CB4C79" w14:paraId="4A59B185" w14:textId="77777777" w:rsidTr="009D61CA">
        <w:trPr>
          <w:trHeight w:val="300"/>
        </w:trPr>
        <w:tc>
          <w:tcPr>
            <w:tcW w:w="960" w:type="dxa"/>
            <w:tcBorders>
              <w:top w:val="nil"/>
              <w:left w:val="nil"/>
              <w:bottom w:val="nil"/>
              <w:right w:val="nil"/>
            </w:tcBorders>
            <w:vAlign w:val="center"/>
            <w:hideMark/>
          </w:tcPr>
          <w:p w14:paraId="01F08E83"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Overall</w:t>
            </w:r>
          </w:p>
        </w:tc>
        <w:tc>
          <w:tcPr>
            <w:tcW w:w="2160" w:type="dxa"/>
            <w:tcBorders>
              <w:top w:val="nil"/>
              <w:left w:val="nil"/>
              <w:bottom w:val="nil"/>
              <w:right w:val="nil"/>
            </w:tcBorders>
            <w:vAlign w:val="center"/>
            <w:hideMark/>
          </w:tcPr>
          <w:p w14:paraId="0497E30D"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Logistic Regression</w:t>
            </w:r>
          </w:p>
        </w:tc>
        <w:tc>
          <w:tcPr>
            <w:tcW w:w="1720" w:type="dxa"/>
            <w:tcBorders>
              <w:top w:val="nil"/>
              <w:left w:val="nil"/>
              <w:bottom w:val="nil"/>
              <w:right w:val="nil"/>
            </w:tcBorders>
            <w:vAlign w:val="center"/>
            <w:hideMark/>
          </w:tcPr>
          <w:p w14:paraId="51EE2AB0"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0.81</w:t>
            </w:r>
          </w:p>
        </w:tc>
        <w:tc>
          <w:tcPr>
            <w:tcW w:w="1660" w:type="dxa"/>
            <w:tcBorders>
              <w:top w:val="nil"/>
              <w:left w:val="nil"/>
              <w:bottom w:val="nil"/>
              <w:right w:val="nil"/>
            </w:tcBorders>
            <w:vAlign w:val="center"/>
            <w:hideMark/>
          </w:tcPr>
          <w:p w14:paraId="38E87EEA"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0.94</w:t>
            </w:r>
          </w:p>
        </w:tc>
      </w:tr>
      <w:tr w:rsidR="00CB4C79" w:rsidRPr="00CB4C79" w14:paraId="44EA17B6" w14:textId="77777777" w:rsidTr="009D61CA">
        <w:trPr>
          <w:trHeight w:val="300"/>
        </w:trPr>
        <w:tc>
          <w:tcPr>
            <w:tcW w:w="960" w:type="dxa"/>
            <w:tcBorders>
              <w:top w:val="nil"/>
              <w:left w:val="nil"/>
              <w:bottom w:val="nil"/>
              <w:right w:val="nil"/>
            </w:tcBorders>
            <w:vAlign w:val="center"/>
            <w:hideMark/>
          </w:tcPr>
          <w:p w14:paraId="6DFC2556"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Overall</w:t>
            </w:r>
          </w:p>
        </w:tc>
        <w:tc>
          <w:tcPr>
            <w:tcW w:w="2160" w:type="dxa"/>
            <w:tcBorders>
              <w:top w:val="nil"/>
              <w:left w:val="nil"/>
              <w:bottom w:val="nil"/>
              <w:right w:val="nil"/>
            </w:tcBorders>
            <w:vAlign w:val="center"/>
            <w:hideMark/>
          </w:tcPr>
          <w:p w14:paraId="7D315544"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Support Vector Machine.</w:t>
            </w:r>
          </w:p>
        </w:tc>
        <w:tc>
          <w:tcPr>
            <w:tcW w:w="1720" w:type="dxa"/>
            <w:tcBorders>
              <w:top w:val="nil"/>
              <w:left w:val="nil"/>
              <w:bottom w:val="nil"/>
              <w:right w:val="nil"/>
            </w:tcBorders>
            <w:vAlign w:val="center"/>
            <w:hideMark/>
          </w:tcPr>
          <w:p w14:paraId="68A109D0"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0.81</w:t>
            </w:r>
          </w:p>
        </w:tc>
        <w:tc>
          <w:tcPr>
            <w:tcW w:w="1660" w:type="dxa"/>
            <w:tcBorders>
              <w:top w:val="nil"/>
              <w:left w:val="nil"/>
              <w:bottom w:val="nil"/>
              <w:right w:val="nil"/>
            </w:tcBorders>
            <w:vAlign w:val="center"/>
            <w:hideMark/>
          </w:tcPr>
          <w:p w14:paraId="05025100" w14:textId="77777777" w:rsidR="00CB4C79" w:rsidRPr="00CB4C79" w:rsidRDefault="00CB4C79" w:rsidP="009D61CA">
            <w:pPr>
              <w:spacing w:after="0" w:line="240" w:lineRule="auto"/>
              <w:rPr>
                <w:rFonts w:asciiTheme="majorHAnsi" w:eastAsia="Times New Roman" w:hAnsiTheme="majorHAnsi" w:cs="Arial"/>
                <w:sz w:val="18"/>
                <w:szCs w:val="18"/>
                <w:lang w:val="en-GB" w:eastAsia="en-GB"/>
              </w:rPr>
            </w:pPr>
            <w:r w:rsidRPr="00CB4C79">
              <w:rPr>
                <w:rFonts w:asciiTheme="majorHAnsi" w:eastAsia="Times New Roman" w:hAnsiTheme="majorHAnsi" w:cs="Arial"/>
                <w:sz w:val="18"/>
                <w:szCs w:val="18"/>
                <w:lang w:val="en-GB" w:eastAsia="en-GB"/>
              </w:rPr>
              <w:t>0.89</w:t>
            </w:r>
          </w:p>
        </w:tc>
      </w:tr>
    </w:tbl>
    <w:p w14:paraId="639C691F" w14:textId="77777777" w:rsidR="00CB4C79" w:rsidRPr="0099482E" w:rsidRDefault="00CB4C79" w:rsidP="00CB4C79">
      <w:pPr>
        <w:spacing w:after="0"/>
        <w:jc w:val="both"/>
        <w:rPr>
          <w:color w:val="FF0000"/>
          <w:lang w:val="en-GB"/>
        </w:rPr>
      </w:pPr>
    </w:p>
    <w:p w14:paraId="0279B976" w14:textId="77777777" w:rsidR="00CB4C79" w:rsidRPr="0099482E" w:rsidRDefault="00CB4C79" w:rsidP="00CB4C79">
      <w:pPr>
        <w:spacing w:after="0"/>
        <w:jc w:val="both"/>
        <w:rPr>
          <w:color w:val="FF0000"/>
          <w:lang w:val="en-GB"/>
        </w:rPr>
      </w:pPr>
      <w:r w:rsidRPr="0099482E">
        <w:rPr>
          <w:color w:val="FF0000"/>
          <w:lang w:val="en-GB"/>
        </w:rPr>
        <w:t>Spearman rank correlation coefficients (</w:t>
      </w:r>
      <w:r w:rsidRPr="0099482E">
        <w:rPr>
          <w:color w:val="FF0000"/>
        </w:rPr>
        <w:t>ρ</w:t>
      </w:r>
      <w:r w:rsidRPr="0099482E">
        <w:rPr>
          <w:color w:val="FF0000"/>
          <w:lang w:val="en-GB"/>
        </w:rPr>
        <w:t>) between metabolic tumour volumes (MTV) derived from ML-selected segmentation methods and the reference segmentations are shown at lesion level (per-lesion MTV) and patient level (total MTV, TMTV), aggregated over all treatment time points. All ML approaches yielded relatively high correlations at patient level (</w:t>
      </w:r>
      <w:r w:rsidRPr="0099482E">
        <w:rPr>
          <w:color w:val="FF0000"/>
        </w:rPr>
        <w:t>ρ</w:t>
      </w:r>
      <w:r w:rsidRPr="0099482E">
        <w:rPr>
          <w:color w:val="FF0000"/>
          <w:lang w:val="en-GB"/>
        </w:rPr>
        <w:t xml:space="preserve"> 0.86–0.94) and slightly lower correlations at lesion level (</w:t>
      </w:r>
      <w:r w:rsidRPr="0099482E">
        <w:rPr>
          <w:color w:val="FF0000"/>
        </w:rPr>
        <w:t>ρ</w:t>
      </w:r>
      <w:r w:rsidRPr="0099482E">
        <w:rPr>
          <w:color w:val="FF0000"/>
          <w:lang w:val="en-GB"/>
        </w:rPr>
        <w:t xml:space="preserve"> 0.77–0.82). Logistic Regression showed the highest patient-level correlation with the reference TMTV (</w:t>
      </w:r>
      <w:r w:rsidRPr="0099482E">
        <w:rPr>
          <w:color w:val="FF0000"/>
        </w:rPr>
        <w:t>ρ</w:t>
      </w:r>
      <w:r w:rsidRPr="0099482E">
        <w:rPr>
          <w:color w:val="FF0000"/>
          <w:lang w:val="en-GB"/>
        </w:rPr>
        <w:t xml:space="preserve"> = 0.94).</w:t>
      </w:r>
    </w:p>
    <w:p w14:paraId="18D49859" w14:textId="77777777" w:rsidR="00CB4C79" w:rsidRPr="00CB4C79" w:rsidRDefault="00CB4C79" w:rsidP="00CB4C79">
      <w:pPr>
        <w:rPr>
          <w:lang w:val="en-GB"/>
        </w:rPr>
      </w:pPr>
    </w:p>
    <w:sectPr w:rsidR="00CB4C79" w:rsidRPr="00CB4C79" w:rsidSect="00CB4C79">
      <w:footerReference w:type="even" r:id="rId6"/>
      <w:footerReference w:type="default" r:id="rId7"/>
      <w:pgSz w:w="11908" w:h="16836"/>
      <w:pgMar w:top="1440" w:right="1412" w:bottom="1469" w:left="1440" w:header="720" w:footer="720" w:gutter="0"/>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71D7" w14:textId="77777777" w:rsidR="00CB4C79" w:rsidRDefault="00CB4C79">
    <w:pPr>
      <w:spacing w:after="0"/>
      <w:ind w:right="25"/>
      <w:jc w:val="right"/>
    </w:pPr>
    <w:r>
      <w:fldChar w:fldCharType="begin"/>
    </w:r>
    <w:r>
      <w:instrText xml:space="preserve"> PAGE   \* MERGEFORMAT </w:instrText>
    </w:r>
    <w:r>
      <w:fldChar w:fldCharType="separate"/>
    </w:r>
    <w:r>
      <w:t>2</w:t>
    </w:r>
    <w:r>
      <w:fldChar w:fldCharType="end"/>
    </w:r>
    <w:r>
      <w:t xml:space="preserve"> </w:t>
    </w:r>
  </w:p>
  <w:p w14:paraId="33294935" w14:textId="77777777" w:rsidR="00CB4C79" w:rsidRDefault="00CB4C79">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AD17" w14:textId="77777777" w:rsidR="00CB4C79" w:rsidRDefault="00CB4C79">
    <w:pPr>
      <w:spacing w:after="0"/>
      <w:ind w:right="25"/>
      <w:jc w:val="right"/>
    </w:pPr>
    <w:r>
      <w:t xml:space="preserve"> </w:t>
    </w:r>
  </w:p>
  <w:p w14:paraId="02050295" w14:textId="77777777" w:rsidR="00CB4C79" w:rsidRDefault="00CB4C79">
    <w:pPr>
      <w:spacing w:after="0"/>
    </w:pPr>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79"/>
    <w:rsid w:val="0030200D"/>
    <w:rsid w:val="00CB4C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7BDE"/>
  <w15:chartTrackingRefBased/>
  <w15:docId w15:val="{3B3E68B5-D0BB-44F2-B272-2FAD7B91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C79"/>
    <w:pPr>
      <w:spacing w:line="259" w:lineRule="auto"/>
    </w:pPr>
    <w:rPr>
      <w:rFonts w:ascii="Calibri" w:eastAsia="Calibri" w:hAnsi="Calibri" w:cs="Calibri"/>
      <w:color w:val="000000"/>
      <w:kern w:val="0"/>
      <w:sz w:val="22"/>
      <w:szCs w:val="22"/>
      <w:lang w:eastAsia="nl-NL"/>
      <w14:ligatures w14:val="none"/>
    </w:rPr>
  </w:style>
  <w:style w:type="paragraph" w:styleId="Heading1">
    <w:name w:val="heading 1"/>
    <w:basedOn w:val="Normal"/>
    <w:next w:val="Normal"/>
    <w:link w:val="Heading1Char"/>
    <w:uiPriority w:val="9"/>
    <w:qFormat/>
    <w:rsid w:val="00CB4C7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B4C7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B4C7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B4C7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CB4C7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CB4C7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CB4C7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CB4C7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CB4C7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C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C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C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C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C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C79"/>
    <w:rPr>
      <w:rFonts w:eastAsiaTheme="majorEastAsia" w:cstheme="majorBidi"/>
      <w:color w:val="272727" w:themeColor="text1" w:themeTint="D8"/>
    </w:rPr>
  </w:style>
  <w:style w:type="paragraph" w:styleId="Title">
    <w:name w:val="Title"/>
    <w:basedOn w:val="Normal"/>
    <w:next w:val="Normal"/>
    <w:link w:val="TitleChar"/>
    <w:uiPriority w:val="10"/>
    <w:qFormat/>
    <w:rsid w:val="00CB4C79"/>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B4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C79"/>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B4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C79"/>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CB4C79"/>
    <w:rPr>
      <w:i/>
      <w:iCs/>
      <w:color w:val="404040" w:themeColor="text1" w:themeTint="BF"/>
    </w:rPr>
  </w:style>
  <w:style w:type="paragraph" w:styleId="ListParagraph">
    <w:name w:val="List Paragraph"/>
    <w:basedOn w:val="Normal"/>
    <w:uiPriority w:val="34"/>
    <w:qFormat/>
    <w:rsid w:val="00CB4C79"/>
    <w:pPr>
      <w:spacing w:line="278" w:lineRule="auto"/>
      <w:ind w:left="720"/>
      <w:contextualSpacing/>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CB4C79"/>
    <w:rPr>
      <w:i/>
      <w:iCs/>
      <w:color w:val="0F4761" w:themeColor="accent1" w:themeShade="BF"/>
    </w:rPr>
  </w:style>
  <w:style w:type="paragraph" w:styleId="IntenseQuote">
    <w:name w:val="Intense Quote"/>
    <w:basedOn w:val="Normal"/>
    <w:next w:val="Normal"/>
    <w:link w:val="IntenseQuoteChar"/>
    <w:uiPriority w:val="30"/>
    <w:qFormat/>
    <w:rsid w:val="00CB4C7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CB4C79"/>
    <w:rPr>
      <w:i/>
      <w:iCs/>
      <w:color w:val="0F4761" w:themeColor="accent1" w:themeShade="BF"/>
    </w:rPr>
  </w:style>
  <w:style w:type="character" w:styleId="IntenseReference">
    <w:name w:val="Intense Reference"/>
    <w:basedOn w:val="DefaultParagraphFont"/>
    <w:uiPriority w:val="32"/>
    <w:qFormat/>
    <w:rsid w:val="00CB4C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3651</Characters>
  <Application>Microsoft Office Word</Application>
  <DocSecurity>0</DocSecurity>
  <Lines>88</Lines>
  <Paragraphs>39</Paragraphs>
  <ScaleCrop>false</ScaleCrop>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Z</dc:creator>
  <cp:keywords/>
  <dc:description/>
  <cp:lastModifiedBy>G Z</cp:lastModifiedBy>
  <cp:revision>1</cp:revision>
  <dcterms:created xsi:type="dcterms:W3CDTF">2025-12-05T05:02:00Z</dcterms:created>
  <dcterms:modified xsi:type="dcterms:W3CDTF">2025-12-05T05:03:00Z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c2900810-2aa6-4664-8f3d-6ed11186343f</vt:lpwstr>
  </property>
</Properties>
</file>