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B102C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Article Title:</w:t>
      </w:r>
    </w:p>
    <w:p w14:paraId="11C18055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Diagnostic Accuracy of PSMA-Targeted Radioguided Surgery in Prostate Cancer at Multiple Anatomical Levels: A Systematic Review and Meta-analysis</w:t>
      </w:r>
    </w:p>
    <w:p w14:paraId="431A5A07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Journal:</w:t>
      </w:r>
    </w:p>
    <w:p w14:paraId="757114B2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European Journal of Nuclear Medicine and Molecular Imaging (EJNMMI)</w:t>
      </w:r>
    </w:p>
    <w:p w14:paraId="5C8FA0C3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Authors:</w:t>
      </w:r>
    </w:p>
    <w:p w14:paraId="399C50E1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Fang Wen, Laura Schäfer, Xinlin Zheng, Hao Huang, Walter Noordzij, Matthias Saar, Felix M. Mottaghy, Susanne Lütje</w:t>
      </w:r>
    </w:p>
    <w:p w14:paraId="66482129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Corresponding Author:</w:t>
      </w:r>
    </w:p>
    <w:p w14:paraId="77A35D92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Univ.-Prof. Dr. Dr. med. Susanne Lütje</w:t>
      </w:r>
    </w:p>
    <w:p w14:paraId="2E7E6D98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Department of Nuclear Medicine</w:t>
      </w:r>
    </w:p>
    <w:p w14:paraId="1F4BDDFF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University Hospital RWTH Aachen</w:t>
      </w:r>
    </w:p>
    <w:p w14:paraId="33108D1F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Pauwelsstraße 30</w:t>
      </w:r>
    </w:p>
    <w:p w14:paraId="0E9E2B9B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52074 Aachen</w:t>
      </w:r>
    </w:p>
    <w:p w14:paraId="4A0C7D48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Germany</w:t>
      </w:r>
    </w:p>
    <w:p w14:paraId="03A8F2D3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Email: sluetje@ukaachen.de</w:t>
      </w:r>
    </w:p>
    <w:p w14:paraId="11F6B8DC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File Type:</w:t>
      </w:r>
    </w:p>
    <w:p w14:paraId="4061009D">
      <w:pPr>
        <w:jc w:val="left"/>
        <w:rPr>
          <w:rFonts w:hint="eastAsia" w:ascii="Times New Roman" w:hAnsi="Times New Roman" w:cs="Times New Roman" w:eastAsiaTheme="minorEastAsia"/>
          <w:color w:val="auto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 xml:space="preserve">Supplementary Material – Supplementary 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Table</w:t>
      </w:r>
      <w:r>
        <w:rPr>
          <w:rFonts w:hint="eastAsia" w:ascii="Times New Roman" w:hAnsi="Times New Roman" w:cs="Times New Roman"/>
          <w:color w:val="auto"/>
          <w:sz w:val="20"/>
          <w:szCs w:val="20"/>
        </w:rPr>
        <w:t xml:space="preserve"> S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7</w:t>
      </w:r>
    </w:p>
    <w:p w14:paraId="4DE43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360" w:lineRule="auto"/>
        <w:jc w:val="left"/>
        <w:textAlignment w:val="auto"/>
        <w:outlineLvl w:val="9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1F2B4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240" w:lineRule="auto"/>
        <w:jc w:val="left"/>
        <w:textAlignment w:val="auto"/>
        <w:outlineLvl w:val="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S7. </w:t>
      </w:r>
      <w:r>
        <w:rPr>
          <w:rFonts w:ascii="Times New Roman" w:hAnsi="Times New Roman" w:cs="Times New Roman"/>
          <w:sz w:val="20"/>
          <w:szCs w:val="20"/>
        </w:rPr>
        <w:t xml:space="preserve">Subgroup and Moderator Analysis of Diagnostic Odds Ratios </w:t>
      </w:r>
    </w:p>
    <w:tbl>
      <w:tblPr>
        <w:tblStyle w:val="3"/>
        <w:tblW w:w="9640" w:type="dxa"/>
        <w:tblInd w:w="-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985"/>
        <w:gridCol w:w="1134"/>
        <w:gridCol w:w="1701"/>
        <w:gridCol w:w="1559"/>
        <w:gridCol w:w="1559"/>
      </w:tblGrid>
      <w:tr w14:paraId="7A8FA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left w:val="nil"/>
              <w:bottom w:val="single" w:color="auto" w:sz="4" w:space="0"/>
              <w:right w:val="nil"/>
            </w:tcBorders>
          </w:tcPr>
          <w:p w14:paraId="079178A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Covariate</w:t>
            </w:r>
          </w:p>
        </w:tc>
        <w:tc>
          <w:tcPr>
            <w:tcW w:w="1985" w:type="dxa"/>
            <w:tcBorders>
              <w:left w:val="nil"/>
              <w:bottom w:val="single" w:color="auto" w:sz="4" w:space="0"/>
              <w:right w:val="nil"/>
            </w:tcBorders>
          </w:tcPr>
          <w:p w14:paraId="085188B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Subgroup</w:t>
            </w:r>
          </w:p>
        </w:tc>
        <w:tc>
          <w:tcPr>
            <w:tcW w:w="1134" w:type="dxa"/>
            <w:tcBorders>
              <w:left w:val="nil"/>
              <w:bottom w:val="single" w:color="auto" w:sz="4" w:space="0"/>
              <w:right w:val="nil"/>
            </w:tcBorders>
          </w:tcPr>
          <w:p w14:paraId="07121F9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Studies, n</w:t>
            </w:r>
          </w:p>
        </w:tc>
        <w:tc>
          <w:tcPr>
            <w:tcW w:w="1701" w:type="dxa"/>
            <w:tcBorders>
              <w:left w:val="nil"/>
              <w:bottom w:val="single" w:color="auto" w:sz="4" w:space="0"/>
              <w:right w:val="nil"/>
            </w:tcBorders>
          </w:tcPr>
          <w:p w14:paraId="6F9BAEF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Pooled Log DOR*</w:t>
            </w:r>
          </w:p>
          <w:p w14:paraId="2D3D72B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(95% CI)</w:t>
            </w:r>
          </w:p>
        </w:tc>
        <w:tc>
          <w:tcPr>
            <w:tcW w:w="1559" w:type="dxa"/>
            <w:tcBorders>
              <w:left w:val="nil"/>
              <w:bottom w:val="single" w:color="auto" w:sz="4" w:space="0"/>
              <w:right w:val="nil"/>
            </w:tcBorders>
          </w:tcPr>
          <w:p w14:paraId="4E34B6B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-value </w:t>
            </w:r>
          </w:p>
          <w:p w14:paraId="474568C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(vs. Reference)</w:t>
            </w:r>
          </w:p>
        </w:tc>
        <w:tc>
          <w:tcPr>
            <w:tcW w:w="1559" w:type="dxa"/>
            <w:tcBorders>
              <w:left w:val="nil"/>
              <w:bottom w:val="single" w:color="auto" w:sz="4" w:space="0"/>
              <w:right w:val="nil"/>
            </w:tcBorders>
          </w:tcPr>
          <w:p w14:paraId="1D97D873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  <w:t>P-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value </w:t>
            </w:r>
          </w:p>
          <w:p w14:paraId="684B547A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(Moderator Test)</w:t>
            </w:r>
          </w:p>
        </w:tc>
      </w:tr>
      <w:tr w14:paraId="3BA5E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43C45B1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Modality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C6DDC19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62358C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A653CF6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340BE1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3440E8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&lt; 0.0001*</w:t>
            </w:r>
          </w:p>
        </w:tc>
      </w:tr>
      <w:tr w14:paraId="79821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36484B1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9E3D6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pre-operative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C026D1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05F51A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2.99 (2.08, 3.90)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6AE486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CF9780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AE3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197175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936206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RGS_ex vivo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70BE9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5AD8E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84F13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0.0019**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5EA92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1604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9EA093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6874B2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RGS_in vivo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5392C3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CE4C45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5.77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3E1C66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&lt; 0.0001***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AFAC0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8630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537F905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Analysis_level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1DC8E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43EDC9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B4526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AD0C31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1A47D5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0.0001*</w:t>
            </w:r>
          </w:p>
        </w:tc>
      </w:tr>
      <w:tr w14:paraId="01FCD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1E9355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213A12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lesion-based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6C3FB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74CB96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4.42 (3.46, 5.37)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42430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F11DC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A511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35E3AE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F29697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lymph node-based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5C2B89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2860E0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EBF839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0.0011**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9678C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0E54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39D0393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D3E899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patient-based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1CC3D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CA39D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F9132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0.1468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00695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2284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CCABB7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ACD80A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region-based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E4138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DCFF33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27F9E1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0.5252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4E1BB0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272A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03471C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Study_design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18FE96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639A91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F436F6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D8D5A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EA1E78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0.1095</w:t>
            </w:r>
          </w:p>
        </w:tc>
      </w:tr>
      <w:tr w14:paraId="6BDEC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5D8F4D6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37EF37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prospective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7BF74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AFF3C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4.94 (4.16, 5.71)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9E4401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124D43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8366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FD6597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C44A1F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9BD02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57DA45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3C45F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0.1095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35CDA1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FFE7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0F389D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PSMA_Agent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B2EC36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51FE6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AD28B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E92C56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EAA2D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0.1654</w:t>
            </w:r>
          </w:p>
        </w:tc>
      </w:tr>
      <w:tr w14:paraId="37C9A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8305556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01F0BD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99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mTc]PSMA-I&amp;S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EE85B3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7B497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4.80 (3.99, 5.62)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43248A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C9C20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E541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5DDD48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6CA3E0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111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In]PSMA-617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C6F49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0CFCA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6.99 (4.80, 9.80)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49B92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0.1436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14C390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9D90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204B47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E6385FA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111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In]PSMA-I&amp;T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D4A34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7B37C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4.02 (0.63, 7.41)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F4F60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0.6494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E6309A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F510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C872F6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A37D36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111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In]PSMA-I&amp;T / [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99m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Tc]PSMA-I&amp;S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C48FC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45B9F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2.79 (-2.13, 7.62)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297F13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0.4233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A71FB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DCCC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4CDB5D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1E601A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F]PSMA-1007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3DC59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0AFE9A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4.86 (0.25, 9.48)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ADFD0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0.9787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6ABAB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0.1531</w:t>
            </w:r>
          </w:p>
        </w:tc>
      </w:tr>
      <w:tr w14:paraId="1AF64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2F3E3C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FCC4A5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67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Ga]PSMA-I&amp;T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7962B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32315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2.56 (0.31, 4.80)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9A413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0.1335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C34E7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9F5E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B7CE521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E0426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68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Ga]PSMA-11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FAD8D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D0DAB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3.46 (2.03, 4.90)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B2C4B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0.1043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78912A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581E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B83184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BF3EC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68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Ga]PSMA-11 / [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F]PSMA-1007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6BA62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58032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3.53 (-3.40, 10.47)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7156E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0.6576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9C798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41A7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684296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108AAB9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99m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Tc]MIP-1404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380621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A149C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3.94 (2.51, 5.37)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167FB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0.5471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A1FC0F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CF91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BC78A2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FFD6949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OTL78 (NIR-PSMA)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B1453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963B91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7.77 (4.68, 10.85)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61FE2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0.0599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041D55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C859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363FC63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Fluorescence used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ADF95D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F1D6C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401DC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FEFC111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15540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0.0302</w:t>
            </w:r>
          </w:p>
        </w:tc>
      </w:tr>
      <w:tr w14:paraId="06170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1F99CC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A0CBD91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B4DFF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AF523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4.42 (3.81, 5.04)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E7C3636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BBE11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A4A9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3D87621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B52AA1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3CF64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7C3E9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7.76 (6.15, 9.36)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08D0D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0.0302 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018A335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112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F543FA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Study center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7DA357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5DE3A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7C7B7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5FC4F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EC0339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0.7973</w:t>
            </w:r>
          </w:p>
        </w:tc>
      </w:tr>
      <w:tr w14:paraId="366A0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7A5E47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B84AFC6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Multicenter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A2D209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25306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4.75 (3.01, 6.49)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51521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10951A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62CC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82BB479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6F1D6B5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Single-center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45D520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64E92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4.51 (2.64, 6.12)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482F2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0.7973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C7590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C273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996963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Preoperative SPECT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1BFB9E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51A2C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D12A9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F0BD3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19A50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0.6926</w:t>
            </w:r>
          </w:p>
        </w:tc>
      </w:tr>
      <w:tr w14:paraId="54F2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09B6AC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84E440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70BFC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40EB2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4.72 (3.63, 5.82)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8EDBD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BA6E12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8567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FD2359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E6BB8D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BC52A3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BD849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4.45 (3.12, 5.78)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1AA7E5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0.6926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971B3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3088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21B61F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Intraoperative probe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802C9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C75E2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BBE0A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B7C911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A819E9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0.0129*</w:t>
            </w:r>
          </w:p>
        </w:tc>
      </w:tr>
      <w:tr w14:paraId="20FFB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B3F66B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20EF1C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γ-probe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182843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9E6EB6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4.42 (3.72, 5.12)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B15AA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0F6269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FE9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0CF631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D4831B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CLI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81AF2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8B892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3.00 (0.84, 6.14)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7256C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0.1983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17511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CC30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E50EEE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FFD873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specimen PET/CT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3EC51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230ACA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3.91 (0.27, 7.85)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68F84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0.7341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C4CA28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4831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A27F53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16C229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VisionSense NIR fluorescence system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6A0A93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EF6DF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7.74 (4.56, 10.94)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E683B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0.0231*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A80BD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2947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23105B1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0ABC0E9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β-probe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EA5916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0BC52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3.97 (1.30, 6.94)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3C7A6A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0.6516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41981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B894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4AF5DC5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B4051D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γ-probe (incl. germanium detector)*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4A60A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D19A2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7.34 (4.03, 10.29)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DFB95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0.0111*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087C9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23C0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B0B6BF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Surgery Type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8E4F03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F6928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840E53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685C79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3E84AF0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0.6782</w:t>
            </w:r>
          </w:p>
        </w:tc>
      </w:tr>
      <w:tr w14:paraId="34432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AB66D9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E1EE41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RA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273BA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E34B4B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4.62 (3.88, 5.36)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68936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AF8E5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2AA3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A4B516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FFF259F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Open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0220977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9B8DC1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4.33 (3.17, 5.50)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EE76BA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0.6782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352B783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</w:tbl>
    <w:p w14:paraId="37FCE3DC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宋体" w:cs="Times New Roman"/>
          <w:kern w:val="0"/>
          <w:sz w:val="18"/>
          <w:szCs w:val="18"/>
        </w:rPr>
        <w:t>*</w:t>
      </w:r>
      <w:r>
        <w:rPr>
          <w:rFonts w:ascii="Times New Roman" w:hAnsi="Times New Roman" w:cs="Times New Roman"/>
          <w:sz w:val="18"/>
          <w:szCs w:val="18"/>
        </w:rPr>
        <w:t>Pooled log DOR values for non-reference subgroups are presented as point estimates. 95% confidence intervals are available from model output.</w:t>
      </w:r>
    </w:p>
    <w:p w14:paraId="747F0821">
      <w:pPr>
        <w:jc w:val="left"/>
        <w:rPr>
          <w:rFonts w:ascii="Times New Roman" w:hAnsi="Times New Roman" w:eastAsia="宋体" w:cs="Times New Roman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kern w:val="0"/>
          <w:sz w:val="18"/>
          <w:szCs w:val="18"/>
        </w:rPr>
        <w:t>*</w:t>
      </w:r>
      <w:r>
        <w:rPr>
          <w:rFonts w:ascii="Times New Roman" w:hAnsi="Times New Roman" w:cs="Times New Roman"/>
          <w:sz w:val="18"/>
          <w:szCs w:val="18"/>
        </w:rPr>
        <w:t>This subgroup includes studies that reported use of γ-probes in combination with germanium detectors, though not all applied intraoperatively.</w:t>
      </w:r>
    </w:p>
    <w:p w14:paraId="45BE9C67">
      <w:pPr>
        <w:jc w:val="left"/>
        <w:rPr>
          <w:rFonts w:ascii="Arial" w:hAnsi="Arial" w:cs="Arial"/>
          <w:sz w:val="18"/>
          <w:szCs w:val="18"/>
        </w:rPr>
      </w:pPr>
    </w:p>
    <w:p w14:paraId="3731B6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907EE"/>
    <w:rsid w:val="0855393F"/>
    <w:rsid w:val="1F074A91"/>
    <w:rsid w:val="235F406A"/>
    <w:rsid w:val="3B225C51"/>
    <w:rsid w:val="3E063608"/>
    <w:rsid w:val="524E5126"/>
    <w:rsid w:val="67B13D35"/>
    <w:rsid w:val="766E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2270</Characters>
  <Lines>0</Lines>
  <Paragraphs>0</Paragraphs>
  <TotalTime>0</TotalTime>
  <ScaleCrop>false</ScaleCrop>
  <LinksUpToDate>false</LinksUpToDate>
  <CharactersWithSpaces>2467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2025-10-16T10:51:00Z</dcterms:created>
  <dc:creator>ww346</dc:creator>
  <cp:lastModifiedBy>Zheng X</cp:lastModifiedBy>
  <dcterms:modified xsi:type="dcterms:W3CDTF">2025-11-24T13:26:03Z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eyJoZGlkIjoiNmNjZTM1MDFjMzExNDU2NzczODQ3N2YzYWY2MmYxMWEiLCJ1c2VySWQiOiIzNDcxNDEyNDIifQ==</vt:lpwstr>
  </property>
  <property fmtid="{D5CDD505-2E9C-101B-9397-08002B2CF9AE}" pid="4" name="ICV">
    <vt:lpwstr>D764AFC64E0547C69E38E1A6A8486F2D_12</vt:lpwstr>
  </property>
</Properties>
</file>