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AF0" w:rsidRPr="000834BB" w:rsidRDefault="00DE2AF0" w:rsidP="00DE2AF0">
      <w:pPr>
        <w:pStyle w:val="Heading2"/>
        <w:keepNext w:val="0"/>
        <w:keepLines w:val="0"/>
        <w:widowControl w:val="0"/>
        <w:spacing w:after="240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bookmarkStart w:id="0" w:name="OLE_LINK120"/>
      <w:proofErr w:type="gramStart"/>
      <w:r w:rsidRPr="000834BB">
        <w:rPr>
          <w:rFonts w:ascii="Times New Roman" w:hAnsi="Times New Roman" w:cs="Times New Roman"/>
          <w:bCs/>
          <w:iCs/>
          <w:color w:val="000000" w:themeColor="text1"/>
          <w:sz w:val="20"/>
        </w:rPr>
        <w:t>Supplemental Table 1.</w:t>
      </w:r>
      <w:proofErr w:type="gramEnd"/>
      <w:r w:rsidRPr="000834BB">
        <w:rPr>
          <w:rFonts w:ascii="Times New Roman" w:hAnsi="Times New Roman" w:cs="Times New Roman"/>
          <w:bCs/>
          <w:iCs/>
          <w:color w:val="000000" w:themeColor="text1"/>
          <w:sz w:val="20"/>
        </w:rPr>
        <w:t xml:space="preserve"> </w:t>
      </w:r>
    </w:p>
    <w:tbl>
      <w:tblPr>
        <w:tblStyle w:val="PlainTable3"/>
        <w:tblW w:w="5000" w:type="pct"/>
        <w:jc w:val="center"/>
        <w:tblLook w:val="0420" w:firstRow="1" w:lastRow="0" w:firstColumn="0" w:lastColumn="0" w:noHBand="0" w:noVBand="1"/>
      </w:tblPr>
      <w:tblGrid>
        <w:gridCol w:w="1188"/>
        <w:gridCol w:w="852"/>
        <w:gridCol w:w="1207"/>
        <w:gridCol w:w="1209"/>
        <w:gridCol w:w="1209"/>
        <w:gridCol w:w="1207"/>
        <w:gridCol w:w="1209"/>
        <w:gridCol w:w="1207"/>
      </w:tblGrid>
      <w:tr w:rsidR="00DE2AF0" w:rsidRPr="000834BB" w:rsidTr="00DE72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tcW w:w="1097" w:type="pct"/>
            <w:gridSpan w:val="2"/>
            <w:tcBorders>
              <w:top w:val="single" w:sz="4" w:space="0" w:color="auto"/>
            </w:tcBorders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bookmarkStart w:id="1" w:name="OLE_LINK162"/>
            <w:bookmarkEnd w:id="0"/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  <w:lang w:val="en-GB"/>
              </w:rPr>
              <w:t>TEAE</w:t>
            </w:r>
            <w:r w:rsidRPr="000834BB">
              <w:rPr>
                <w:rFonts w:ascii="Times New Roman" w:eastAsiaTheme="minorEastAsia" w:hAnsi="Times New Roman" w:cs="Times New Roman"/>
                <w:i/>
                <w:iCs/>
                <w:caps w:val="0"/>
                <w:color w:val="000000" w:themeColor="text1"/>
                <w:sz w:val="16"/>
                <w:szCs w:val="16"/>
                <w:lang w:val="en-GB"/>
              </w:rPr>
              <w:t>s</w:t>
            </w: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0834BB">
              <w:rPr>
                <w:rFonts w:ascii="Times New Roman" w:eastAsiaTheme="minorEastAsia" w:hAnsi="Times New Roman" w:cs="Times New Roman"/>
                <w:i/>
                <w:iCs/>
                <w:caps w:val="0"/>
                <w:color w:val="000000" w:themeColor="text1"/>
                <w:sz w:val="16"/>
                <w:szCs w:val="16"/>
                <w:lang w:val="en-GB"/>
              </w:rPr>
              <w:t>Grading</w:t>
            </w: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</w:rPr>
              <w:t>1</w:t>
            </w: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</w:rPr>
              <w:t xml:space="preserve"> Cycle</w:t>
            </w: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</w:rPr>
              <w:t>2</w:t>
            </w: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</w:rPr>
              <w:t xml:space="preserve"> Cycle</w:t>
            </w: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</w:rPr>
              <w:t>3</w:t>
            </w: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  <w:vertAlign w:val="superscript"/>
              </w:rPr>
              <w:t>rd</w:t>
            </w: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</w:rPr>
              <w:t xml:space="preserve"> Cycle</w:t>
            </w:r>
          </w:p>
        </w:tc>
        <w:tc>
          <w:tcPr>
            <w:tcW w:w="650" w:type="pct"/>
            <w:tcBorders>
              <w:top w:val="single" w:sz="4" w:space="0" w:color="auto"/>
            </w:tcBorders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</w:rPr>
              <w:t>4</w:t>
            </w: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</w:rPr>
              <w:t xml:space="preserve"> Cycle</w:t>
            </w: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</w:rPr>
              <w:t>5</w:t>
            </w: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</w:rPr>
              <w:t xml:space="preserve"> Cycle</w:t>
            </w:r>
          </w:p>
        </w:tc>
        <w:tc>
          <w:tcPr>
            <w:tcW w:w="651" w:type="pct"/>
            <w:tcBorders>
              <w:top w:val="single" w:sz="4" w:space="0" w:color="auto"/>
            </w:tcBorders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</w:rPr>
              <w:t>6</w:t>
            </w: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0834BB">
              <w:rPr>
                <w:rFonts w:ascii="Times New Roman" w:hAnsi="Times New Roman" w:cs="Times New Roman"/>
                <w:caps w:val="0"/>
                <w:color w:val="000000" w:themeColor="text1"/>
                <w:sz w:val="16"/>
                <w:szCs w:val="16"/>
              </w:rPr>
              <w:t xml:space="preserve"> Cycle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  <w:jc w:val="center"/>
        </w:trPr>
        <w:tc>
          <w:tcPr>
            <w:tcW w:w="639" w:type="pct"/>
            <w:vMerge w:val="restar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  <w:lang w:val="en-GB"/>
              </w:rPr>
              <w:t>Anaemia</w:t>
            </w:r>
          </w:p>
        </w:tc>
        <w:tc>
          <w:tcPr>
            <w:tcW w:w="457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14.58% (7/48)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10.53% (4/38)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10.71% (3/28)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7.41% (2/27)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5.56% (1/18)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10.00% (1/10)</w:t>
            </w:r>
          </w:p>
        </w:tc>
      </w:tr>
      <w:tr w:rsidR="00DE2AF0" w:rsidRPr="000834BB" w:rsidTr="00DE72C0">
        <w:trPr>
          <w:trHeight w:val="20"/>
          <w:jc w:val="center"/>
        </w:trPr>
        <w:tc>
          <w:tcPr>
            <w:tcW w:w="639" w:type="pct"/>
            <w:vMerge/>
            <w:hideMark/>
          </w:tcPr>
          <w:p w:rsidR="00DE2AF0" w:rsidRPr="000834BB" w:rsidRDefault="00DE2AF0" w:rsidP="00DE72C0">
            <w:pPr>
              <w:widowControl w:val="0"/>
              <w:jc w:val="both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  <w:t>Grade 1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37.50% (18/48)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50.00% (19/38)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60.71% (17/28)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62.96% (17/27)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66.67% (12/18)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40.00% (4/10)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tcW w:w="639" w:type="pct"/>
            <w:vMerge/>
            <w:hideMark/>
          </w:tcPr>
          <w:p w:rsidR="00DE2AF0" w:rsidRPr="000834BB" w:rsidRDefault="00DE2AF0" w:rsidP="00DE72C0">
            <w:pPr>
              <w:widowControl w:val="0"/>
              <w:jc w:val="both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  <w:t>Grade 2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41.67% (20/48)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36.84% (14/38)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28.57% (8/28)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29.63% (8/27)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27.78% (5/18)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50.00% (5/10)</w:t>
            </w:r>
          </w:p>
        </w:tc>
      </w:tr>
      <w:tr w:rsidR="00DE2AF0" w:rsidRPr="000834BB" w:rsidTr="00DE72C0">
        <w:trPr>
          <w:trHeight w:val="20"/>
          <w:jc w:val="center"/>
        </w:trPr>
        <w:tc>
          <w:tcPr>
            <w:tcW w:w="639" w:type="pct"/>
            <w:vMerge/>
            <w:hideMark/>
          </w:tcPr>
          <w:p w:rsidR="00DE2AF0" w:rsidRPr="000834BB" w:rsidRDefault="00DE2AF0" w:rsidP="00DE72C0">
            <w:pPr>
              <w:widowControl w:val="0"/>
              <w:jc w:val="both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  <w:t>Grade 3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6.25% (3/48)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2.63% (1/38)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(0/28)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(0/27)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(0/18)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(0/10)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tcW w:w="639" w:type="pct"/>
            <w:vMerge w:val="restar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  <w:lang w:val="en-GB"/>
              </w:rPr>
              <w:t>Leucopenia</w:t>
            </w:r>
            <w:proofErr w:type="spellEnd"/>
          </w:p>
        </w:tc>
        <w:tc>
          <w:tcPr>
            <w:tcW w:w="457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100.00% (48/48)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97.37% (37/38)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92.86% (26/28)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88.89% (24/27)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100.00% (18/18)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100.00% (10/10)</w:t>
            </w:r>
          </w:p>
        </w:tc>
      </w:tr>
      <w:tr w:rsidR="00DE2AF0" w:rsidRPr="000834BB" w:rsidTr="00DE72C0">
        <w:trPr>
          <w:trHeight w:val="20"/>
          <w:jc w:val="center"/>
        </w:trPr>
        <w:tc>
          <w:tcPr>
            <w:tcW w:w="639" w:type="pct"/>
            <w:vMerge/>
            <w:hideMark/>
          </w:tcPr>
          <w:p w:rsidR="00DE2AF0" w:rsidRPr="000834BB" w:rsidRDefault="00DE2AF0" w:rsidP="00DE72C0">
            <w:pPr>
              <w:widowControl w:val="0"/>
              <w:jc w:val="both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  <w:t>Grade 1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(0/48)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(0/38)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7.14% (2/28)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11.11% (3/27)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(0/18)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(0/10)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tcW w:w="639" w:type="pct"/>
            <w:vMerge/>
            <w:hideMark/>
          </w:tcPr>
          <w:p w:rsidR="00DE2AF0" w:rsidRPr="000834BB" w:rsidRDefault="00DE2AF0" w:rsidP="00DE72C0">
            <w:pPr>
              <w:widowControl w:val="0"/>
              <w:jc w:val="both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  <w:t>Grade 2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(0/48)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(0/38)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(0/28)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(0/27)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(0/18)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(0/10)</w:t>
            </w:r>
          </w:p>
        </w:tc>
      </w:tr>
      <w:tr w:rsidR="00DE2AF0" w:rsidRPr="000834BB" w:rsidTr="00DE72C0">
        <w:trPr>
          <w:trHeight w:val="20"/>
          <w:jc w:val="center"/>
        </w:trPr>
        <w:tc>
          <w:tcPr>
            <w:tcW w:w="639" w:type="pct"/>
            <w:vMerge/>
            <w:hideMark/>
          </w:tcPr>
          <w:p w:rsidR="00DE2AF0" w:rsidRPr="000834BB" w:rsidRDefault="00DE2AF0" w:rsidP="00DE72C0">
            <w:pPr>
              <w:widowControl w:val="0"/>
              <w:jc w:val="both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  <w:t>Grade 3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(0/48)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2.63% (1/38)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(0/28)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(0/27)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(0/18)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(0/10)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tcW w:w="639" w:type="pct"/>
            <w:vMerge w:val="restar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  <w:lang w:val="en-GB"/>
              </w:rPr>
              <w:t>Thrombopenia</w:t>
            </w:r>
            <w:proofErr w:type="spellEnd"/>
          </w:p>
        </w:tc>
        <w:tc>
          <w:tcPr>
            <w:tcW w:w="457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  <w:t>None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81.25% (39/48)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68.42% (26/38)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71.43% (20/28)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66.67% (18/27)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83.33% (15/18)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80.00% (8/10)</w:t>
            </w:r>
          </w:p>
        </w:tc>
      </w:tr>
      <w:tr w:rsidR="00DE2AF0" w:rsidRPr="000834BB" w:rsidTr="00DE72C0">
        <w:trPr>
          <w:trHeight w:val="20"/>
          <w:jc w:val="center"/>
        </w:trPr>
        <w:tc>
          <w:tcPr>
            <w:tcW w:w="639" w:type="pct"/>
            <w:vMerge/>
            <w:hideMark/>
          </w:tcPr>
          <w:p w:rsidR="00DE2AF0" w:rsidRPr="000834BB" w:rsidRDefault="00DE2AF0" w:rsidP="00DE72C0">
            <w:pPr>
              <w:widowControl w:val="0"/>
              <w:jc w:val="both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  <w:t>Grade 1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10.42% (5/48)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23.68% (9/38)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21.43% (6/28)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29.63% (8/27)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5.56% (1/18)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20.00% (2/10)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tcW w:w="639" w:type="pct"/>
            <w:vMerge/>
            <w:hideMark/>
          </w:tcPr>
          <w:p w:rsidR="00DE2AF0" w:rsidRPr="000834BB" w:rsidRDefault="00DE2AF0" w:rsidP="00DE72C0">
            <w:pPr>
              <w:widowControl w:val="0"/>
              <w:jc w:val="both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  <w:t>Grade 2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8.33% (4/48)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7.89% (3/38)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7.14% (2/28)</w:t>
            </w:r>
          </w:p>
        </w:tc>
        <w:tc>
          <w:tcPr>
            <w:tcW w:w="650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(0/27)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(0/18)</w:t>
            </w:r>
          </w:p>
        </w:tc>
        <w:tc>
          <w:tcPr>
            <w:tcW w:w="651" w:type="pct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(0/10)</w:t>
            </w:r>
          </w:p>
        </w:tc>
      </w:tr>
      <w:tr w:rsidR="00DE2AF0" w:rsidRPr="000834BB" w:rsidTr="00DE72C0">
        <w:trPr>
          <w:trHeight w:val="20"/>
          <w:jc w:val="center"/>
        </w:trPr>
        <w:tc>
          <w:tcPr>
            <w:tcW w:w="639" w:type="pct"/>
            <w:vMerge/>
            <w:tcBorders>
              <w:bottom w:val="single" w:sz="4" w:space="0" w:color="auto"/>
            </w:tcBorders>
            <w:hideMark/>
          </w:tcPr>
          <w:p w:rsidR="00DE2AF0" w:rsidRPr="000834BB" w:rsidRDefault="00DE2AF0" w:rsidP="00DE72C0">
            <w:pPr>
              <w:widowControl w:val="0"/>
              <w:jc w:val="both"/>
              <w:rPr>
                <w:rFonts w:eastAsiaTheme="minorEastAsia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6"/>
                <w:szCs w:val="16"/>
              </w:rPr>
              <w:t>Grade 3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(0/48)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(0/38)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(0/28)</w:t>
            </w:r>
          </w:p>
        </w:tc>
        <w:tc>
          <w:tcPr>
            <w:tcW w:w="650" w:type="pct"/>
            <w:tcBorders>
              <w:bottom w:val="single" w:sz="4" w:space="0" w:color="auto"/>
            </w:tcBorders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3.70% (1/27)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11.11% (2/18)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sz w:val="15"/>
                <w:szCs w:val="15"/>
              </w:rPr>
            </w:pPr>
            <w:r w:rsidRPr="000834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(0/10)</w:t>
            </w:r>
          </w:p>
        </w:tc>
      </w:tr>
    </w:tbl>
    <w:p w:rsidR="00DE2AF0" w:rsidRPr="000834BB" w:rsidRDefault="00DE2AF0" w:rsidP="00DE2AF0">
      <w:pPr>
        <w:pStyle w:val="Heading3"/>
        <w:keepNext w:val="0"/>
        <w:keepLines w:val="0"/>
        <w:widowControl w:val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</w:pPr>
      <w:bookmarkStart w:id="2" w:name="OLE_LINK213"/>
      <w:bookmarkEnd w:id="1"/>
      <w:proofErr w:type="gramStart"/>
      <w:r w:rsidRPr="000834BB">
        <w:rPr>
          <w:rFonts w:ascii="Times New Roman" w:eastAsia="Cambria" w:hAnsi="Times New Roman" w:cs="Times New Roman"/>
          <w:b/>
          <w:bCs/>
          <w:i/>
          <w:iCs/>
          <w:color w:val="000000" w:themeColor="text1"/>
          <w:sz w:val="20"/>
          <w:lang w:eastAsia="en-US"/>
        </w:rPr>
        <w:t>Supplemental Table 1.</w:t>
      </w:r>
      <w:proofErr w:type="gramEnd"/>
      <w:r w:rsidRPr="000834BB">
        <w:rPr>
          <w:rFonts w:ascii="Times New Roman" w:eastAsia="Cambria" w:hAnsi="Times New Roman" w:cs="Times New Roman"/>
          <w:b/>
          <w:bCs/>
          <w:i/>
          <w:iCs/>
          <w:color w:val="000000" w:themeColor="text1"/>
          <w:sz w:val="20"/>
          <w:lang w:eastAsia="en-US"/>
        </w:rPr>
        <w:t xml:space="preserve"> </w:t>
      </w:r>
      <w:r w:rsidRPr="000834BB">
        <w:rPr>
          <w:rFonts w:ascii="Times New Roman" w:eastAsia="Cambria" w:hAnsi="Times New Roman" w:cs="Times New Roman"/>
          <w:i/>
          <w:iCs/>
          <w:color w:val="000000" w:themeColor="text1"/>
          <w:sz w:val="20"/>
          <w:lang w:eastAsia="en-US"/>
        </w:rPr>
        <w:t>Individual TEAEs counts for trans</w:t>
      </w:r>
      <w:r w:rsidRPr="000834BB">
        <w:rPr>
          <w:rFonts w:ascii="Times New Roman" w:eastAsia="Cambria" w:hAnsi="Times New Roman" w:cs="Times New Roman"/>
          <w:i/>
          <w:iCs/>
          <w:color w:val="000000" w:themeColor="text1"/>
          <w:sz w:val="20"/>
        </w:rPr>
        <w:t>ient</w:t>
      </w:r>
      <w:r w:rsidRPr="000834BB">
        <w:rPr>
          <w:rFonts w:ascii="Times New Roman" w:eastAsia="Cambria" w:hAnsi="Times New Roman" w:cs="Times New Roman"/>
          <w:i/>
          <w:iCs/>
          <w:color w:val="000000" w:themeColor="text1"/>
          <w:sz w:val="20"/>
          <w:lang w:eastAsia="en-US"/>
        </w:rPr>
        <w:t xml:space="preserve"> </w:t>
      </w:r>
      <w:proofErr w:type="spellStart"/>
      <w:r w:rsidRPr="000834BB">
        <w:rPr>
          <w:rFonts w:ascii="Times New Roman" w:eastAsia="Cambria" w:hAnsi="Times New Roman" w:cs="Times New Roman"/>
          <w:i/>
          <w:iCs/>
          <w:color w:val="000000" w:themeColor="text1"/>
          <w:sz w:val="20"/>
          <w:lang w:eastAsia="en-US"/>
        </w:rPr>
        <w:t>haematotoxicities</w:t>
      </w:r>
      <w:proofErr w:type="spellEnd"/>
      <w:r w:rsidRPr="000834BB">
        <w:rPr>
          <w:rFonts w:ascii="Times New Roman" w:eastAsia="Cambria" w:hAnsi="Times New Roman" w:cs="Times New Roman"/>
          <w:i/>
          <w:iCs/>
          <w:color w:val="000000" w:themeColor="text1"/>
          <w:sz w:val="20"/>
          <w:lang w:eastAsia="en-US"/>
        </w:rPr>
        <w:t xml:space="preserve"> (</w:t>
      </w:r>
      <w:r w:rsidRPr="000834BB">
        <w:rPr>
          <w:rFonts w:ascii="Times New Roman" w:eastAsia="Cambria" w:hAnsi="Times New Roman" w:cs="Times New Roman"/>
          <w:i/>
          <w:iCs/>
          <w:color w:val="000000" w:themeColor="text1"/>
          <w:sz w:val="20"/>
        </w:rPr>
        <w:t xml:space="preserve">None, and </w:t>
      </w:r>
      <w:r w:rsidRPr="000834BB">
        <w:rPr>
          <w:rFonts w:ascii="Times New Roman" w:eastAsia="Cambria" w:hAnsi="Times New Roman" w:cs="Times New Roman"/>
          <w:i/>
          <w:iCs/>
          <w:color w:val="000000" w:themeColor="text1"/>
          <w:sz w:val="20"/>
          <w:lang w:eastAsia="en-US"/>
        </w:rPr>
        <w:t>Grade 1 to Grade 3)</w:t>
      </w:r>
      <w:r w:rsidRPr="000834B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across cycles </w:t>
      </w:r>
      <w:r w:rsidRPr="000834BB">
        <w:rPr>
          <w:rFonts w:ascii="Times New Roman" w:eastAsia="Cambria" w:hAnsi="Times New Roman" w:cs="Times New Roman"/>
          <w:i/>
          <w:iCs/>
          <w:color w:val="000000" w:themeColor="text1"/>
          <w:sz w:val="20"/>
          <w:lang w:eastAsia="en-US"/>
        </w:rPr>
        <w:t>are summarized for the entire cohort</w:t>
      </w:r>
      <w:r w:rsidRPr="000834BB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.</w:t>
      </w:r>
    </w:p>
    <w:bookmarkEnd w:id="2"/>
    <w:p w:rsidR="00DE2AF0" w:rsidRPr="000834BB" w:rsidRDefault="00DE2AF0" w:rsidP="00DE2AF0">
      <w:pPr>
        <w:widowControl w:val="0"/>
        <w:jc w:val="both"/>
        <w:rPr>
          <w:lang w:val="en-US"/>
        </w:rPr>
      </w:pPr>
      <w:r w:rsidRPr="000834BB">
        <w:rPr>
          <w:lang w:val="en-US"/>
        </w:rPr>
        <w:br w:type="page"/>
      </w:r>
    </w:p>
    <w:p w:rsidR="00DE2AF0" w:rsidRPr="000834BB" w:rsidRDefault="00DE2AF0" w:rsidP="00DE2AF0">
      <w:pPr>
        <w:pStyle w:val="Heading2"/>
        <w:keepNext w:val="0"/>
        <w:keepLines w:val="0"/>
        <w:widowControl w:val="0"/>
        <w:spacing w:after="240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bookmarkStart w:id="3" w:name="OLE_LINK164"/>
      <w:proofErr w:type="gramStart"/>
      <w:r w:rsidRPr="000834BB">
        <w:rPr>
          <w:rFonts w:ascii="Times New Roman" w:hAnsi="Times New Roman" w:cs="Times New Roman"/>
          <w:bCs/>
          <w:iCs/>
          <w:color w:val="000000" w:themeColor="text1"/>
          <w:sz w:val="20"/>
        </w:rPr>
        <w:lastRenderedPageBreak/>
        <w:t>Supplemental Table 2.</w:t>
      </w:r>
      <w:proofErr w:type="gramEnd"/>
      <w:r w:rsidRPr="000834BB">
        <w:rPr>
          <w:rFonts w:ascii="Times New Roman" w:hAnsi="Times New Roman" w:cs="Times New Roman"/>
          <w:bCs/>
          <w:iCs/>
          <w:color w:val="000000" w:themeColor="text1"/>
          <w:sz w:val="20"/>
        </w:rPr>
        <w:t xml:space="preserve"> </w:t>
      </w:r>
    </w:p>
    <w:tbl>
      <w:tblPr>
        <w:tblStyle w:val="PlainTable4"/>
        <w:tblpPr w:leftFromText="180" w:rightFromText="180" w:vertAnchor="text" w:horzAnchor="margin" w:tblpY="189"/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9"/>
        <w:gridCol w:w="1525"/>
        <w:gridCol w:w="1102"/>
        <w:gridCol w:w="1103"/>
        <w:gridCol w:w="1102"/>
        <w:gridCol w:w="1103"/>
        <w:gridCol w:w="1102"/>
        <w:gridCol w:w="1102"/>
      </w:tblGrid>
      <w:tr w:rsidR="00DE2AF0" w:rsidRPr="000834BB" w:rsidTr="00DE72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4" w:name="_Hlk219413808"/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Organ</w:t>
            </w: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Doses</w:t>
            </w:r>
          </w:p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Per Unit Activity (</w:t>
            </w:r>
            <w:proofErr w:type="spellStart"/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Gy</w:t>
            </w:r>
            <w:proofErr w:type="spellEnd"/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GBq</w:t>
            </w:r>
            <w:proofErr w:type="spellEnd"/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Cycle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Cycle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rd</w:t>
            </w: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Cycle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Cycle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Cycle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Cycle</w:t>
            </w:r>
          </w:p>
        </w:tc>
      </w:tr>
      <w:bookmarkEnd w:id="4"/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Bone Marrow</w:t>
            </w:r>
          </w:p>
        </w:tc>
        <w:tc>
          <w:tcPr>
            <w:tcW w:w="82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 ± 0.02 (n=46)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 ± 0.03 (n=34)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 ± 0.03 (n=26)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 ± 0.02 (n=22)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 ± 0.01 (n=16)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0.01 ± 0.01 (n=10)</w:t>
            </w:r>
          </w:p>
        </w:tc>
      </w:tr>
      <w:tr w:rsidR="00DE2AF0" w:rsidRPr="000834BB" w:rsidTr="00DE7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 ± 0.15 (n=42)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0.04 ± 0.06 (n=34)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 ± 0.05 (n=26)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 ± 0.04 (n=25)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 ± 0.02 (n=17)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 ± 0.01 (n=10)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 ± 0.10 (n=12)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 ± 0.12 (n=12)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 ± 0.10 (n=9)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 ± 0.01 (n=8)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 ± 0.04 (n=8)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0.02 ± 0.01 (n=2)</w:t>
            </w:r>
          </w:p>
        </w:tc>
      </w:tr>
      <w:tr w:rsidR="00DE2AF0" w:rsidRPr="000834BB" w:rsidTr="00DE7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 ± 0.05 (n=16)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 ± 0.11 (n=15)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 ± 0.09 (n=13)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0.04 ± 0.05 (n=15)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 ± 0.04 (n=9)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0.03 ± 0.02 (n=6)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Left Kidney</w:t>
            </w:r>
          </w:p>
        </w:tc>
        <w:tc>
          <w:tcPr>
            <w:tcW w:w="821" w:type="pct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 ± 0.10 (n=46)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0.25 ± 0.13 (n=34)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0.26 ± 0.13 (n=26)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0.26 ± 0.10 (n=22)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 ± 0.12 (n=16)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0.27 ± 0.18 (n=10)</w:t>
            </w:r>
          </w:p>
        </w:tc>
      </w:tr>
      <w:tr w:rsidR="00DE2AF0" w:rsidRPr="000834BB" w:rsidTr="00DE7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shd w:val="clear" w:color="auto" w:fill="FFFFFF" w:themeFill="background1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 ± 4.47 (n=42)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 ± 0.22 (n=34)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 ± 0.17 (n=26)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 ± 0.16 (n=25)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0.29 ± 0.15 (n=17)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 ± 0.27 (n=10)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shd w:val="clear" w:color="auto" w:fill="FFFFFF" w:themeFill="background1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0.30 ± 0.17 (n=12)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 ± 0.27 (n=12)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 ± 0.23 (n=9)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 ± 0.28 (n=8)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0.33 ± 0.16 (n=8)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0.31 ± 0.20 (n=2)</w:t>
            </w:r>
          </w:p>
        </w:tc>
      </w:tr>
      <w:tr w:rsidR="00DE2AF0" w:rsidRPr="000834BB" w:rsidTr="00DE7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shd w:val="clear" w:color="auto" w:fill="FFFFFF" w:themeFill="background1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0.31 ± 0.13 (n=16)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0.50 ± 0.31 (n=15)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0.43 ± 0.26 (n=13)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0.42 ± 0.17 (n=15)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 ± 0.10 (n=9)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0.37 ± 0.20 (n=6)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 w:val="restar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Right Kidney</w:t>
            </w:r>
          </w:p>
        </w:tc>
        <w:tc>
          <w:tcPr>
            <w:tcW w:w="821" w:type="pc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0.24 ± 0.09 (n=45)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 ± 0.12 (n=34)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 ± 0.13 (n=26)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 ± 0.11 (n=22)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 ± 0.12 (n=16)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0.32 ± 0.20 (n=10)</w:t>
            </w:r>
          </w:p>
        </w:tc>
      </w:tr>
      <w:tr w:rsidR="00DE2AF0" w:rsidRPr="000834BB" w:rsidTr="00DE7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 ± 4.55 (n=41)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 ± 0.20 (n=34)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 ± 0.16 (n=26)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 ± 0.16 (n=25)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 ± 0.17 (n=17)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 ± 0.29 (n=10)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0.29 ± 0.14 (n=12)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 ± 0.25 (n=12)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0.47 ± 0.24 (n=9)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 ± 0.22 (n=8)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0.37 ± 0.19 (n=8)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0.35 ± 0.22 (n=2)</w:t>
            </w:r>
          </w:p>
        </w:tc>
      </w:tr>
      <w:tr w:rsidR="00DE2AF0" w:rsidRPr="000834BB" w:rsidTr="00DE7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0.31 ± 0.13 (n=16)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 ± 0.23 (n=15)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0.43 ± 0.21 (n=13)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 ± 0.15 (n=15)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0.39 ± 0.13 (n=9)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0.45 ± 0.19 (n=6)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 w:val="restart"/>
            <w:shd w:val="clear" w:color="auto" w:fill="FFFFFF" w:themeFill="background1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shd w:val="clear" w:color="auto" w:fill="FFFFFF" w:themeFill="background1"/>
              </w:rPr>
              <w:t>iver</w:t>
            </w:r>
          </w:p>
        </w:tc>
        <w:tc>
          <w:tcPr>
            <w:tcW w:w="821" w:type="pc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 ± 0.04 (n=46)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 ± 0.03 (n=34)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 ± 0.03 (n=26)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 ± 0.05 (n=22)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 ± 0.03 (n=16)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 ± 0.04 (n=10)</w:t>
            </w:r>
          </w:p>
        </w:tc>
      </w:tr>
      <w:tr w:rsidR="00DE2AF0" w:rsidRPr="000834BB" w:rsidTr="00DE7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shd w:val="clear" w:color="auto" w:fill="FFFFFF" w:themeFill="background1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 ± 0.75 (n=42)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 ± 0.04 (n=34)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 ± 0.05 (n=26)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 ± 0.07 (n=25)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 ± 0.04 (n=17)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 ± 0.06 (n=10)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shd w:val="clear" w:color="auto" w:fill="FFFFFF" w:themeFill="background1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 ± 0.09 (n=12)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 ± 0.04 (n=12)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 ± 0.04 (n=9)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 ± 0.11 (n=8)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 ± 0.04 (n=8)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 ± 0.01 (n=2)</w:t>
            </w:r>
          </w:p>
        </w:tc>
      </w:tr>
      <w:tr w:rsidR="00DE2AF0" w:rsidRPr="000834BB" w:rsidTr="00DE7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shd w:val="clear" w:color="auto" w:fill="FFFFFF" w:themeFill="background1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 ± 0.08 (n=16)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0.13 ± 0.05 (n=15)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 ± 0.04 (n=13)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0.15 ± 0.10 (n=15)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 ± 0.03 (n=9)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 ± 0.04 (n=6)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 w:val="restar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Spleen</w:t>
            </w:r>
          </w:p>
        </w:tc>
        <w:tc>
          <w:tcPr>
            <w:tcW w:w="821" w:type="pc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0.04 ± 0.02 (n=46)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0.05 ± 0.03 (n=34)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 ± 0.03 (n=26)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 ± 0.04 (n=22)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 ± 0.04 (n=16)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 ± 0.04 (n=10)</w:t>
            </w:r>
          </w:p>
        </w:tc>
      </w:tr>
      <w:tr w:rsidR="00DE2AF0" w:rsidRPr="000834BB" w:rsidTr="00DE7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 ± 0.37 (n=42)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 ± 0.04 (n=34)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 ± 0.04 (n=26)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 ± 0.05 (n=25)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 ± 0.06 (n=17)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 ± 0.05 (n=10)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 ± 0.07 (n=12)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0.07 ± 0.04 (n=12)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 ± 0.04 (n=9)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 ± 0.06 (n=8)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 ± 0.07 (n=8)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0.06 ± 0.02 (n=2)</w:t>
            </w:r>
          </w:p>
        </w:tc>
      </w:tr>
      <w:tr w:rsidR="00DE2AF0" w:rsidRPr="000834BB" w:rsidTr="00DE7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 ± 0.07 (n=16)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 ± 0.03 (n=15)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0.09 ± 0.04 (n=13)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0.12 ± 0.06 (n=15)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0.10 ± 0.07 (n=9)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0.08 ± 0.02 (n=6)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 w:val="restart"/>
            <w:shd w:val="clear" w:color="auto" w:fill="FFFFFF" w:themeFill="background1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Tumor</w:t>
            </w:r>
          </w:p>
        </w:tc>
        <w:tc>
          <w:tcPr>
            <w:tcW w:w="821" w:type="pct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 ± 0.43 (n=46)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0.42 ± 0.41 (n=34)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 ± 0.22 (n=26)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 ± 0.14 (n=22)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0.16 ± 0.15 (n=16)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0.11 ± 0.10 (n=10)</w:t>
            </w:r>
          </w:p>
        </w:tc>
      </w:tr>
      <w:tr w:rsidR="00DE2AF0" w:rsidRPr="000834BB" w:rsidTr="00DE7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shd w:val="clear" w:color="auto" w:fill="FFFFFF" w:themeFill="background1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1.89 ± 6.11 (n=42)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0.70 ± 0.79 (n=34)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0.41 ± 0.42 (n=26)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0.27 ± 0.33 (n=25)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 ± 0.28 (n=17)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 ± 0.20 (n=10)</w:t>
            </w:r>
          </w:p>
        </w:tc>
      </w:tr>
      <w:tr w:rsidR="00DE2AF0" w:rsidRPr="000834BB" w:rsidTr="00DE7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shd w:val="clear" w:color="auto" w:fill="FFFFFF" w:themeFill="background1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3d-STPD*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1.51 ± 0.67 (n=12)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1.07 ± 0.92 (n=12)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0.50 ± 0.77 (n=9)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0.23 ± 0.11 (n=8)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 ± 0.40 (n=8)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0.17 ± 0.16 (n=2)</w:t>
            </w:r>
          </w:p>
        </w:tc>
      </w:tr>
      <w:tr w:rsidR="00DE2AF0" w:rsidRPr="000834BB" w:rsidTr="00DE72C0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1" w:type="pct"/>
            <w:tcBorders>
              <w:bottom w:val="single" w:sz="4" w:space="0" w:color="auto"/>
            </w:tcBorders>
            <w:noWrap/>
            <w:vAlign w:val="center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MTPD*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1.06 ± 0.69 (n=16)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0.77 ± 1.03 (n=15)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 ± 0.67 (n=13)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0.28 ± 0.28 (n=15)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0.20 ± 0.28 (n=9)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E2AF0" w:rsidRPr="000834BB" w:rsidRDefault="00DE2AF0" w:rsidP="00DE72C0">
            <w:pPr>
              <w:pStyle w:val="Heading3"/>
              <w:keepNext w:val="0"/>
              <w:keepLines w:val="0"/>
              <w:widowControl w:val="0"/>
              <w:jc w:val="both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834B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0.22 ± 0.16 (n=6)</w:t>
            </w:r>
          </w:p>
        </w:tc>
      </w:tr>
    </w:tbl>
    <w:p w:rsidR="00DE2AF0" w:rsidRPr="000834BB" w:rsidRDefault="00DE2AF0" w:rsidP="00DE2AF0">
      <w:pPr>
        <w:pStyle w:val="Heading3"/>
        <w:keepNext w:val="0"/>
        <w:keepLines w:val="0"/>
        <w:widowControl w:val="0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proofErr w:type="gramStart"/>
      <w:r w:rsidRPr="000834BB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Supplemental Table 2.</w:t>
      </w:r>
      <w:proofErr w:type="gramEnd"/>
      <w:r w:rsidRPr="000834BB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Doses (MTPD* &amp; STPD*) per unit activity: </w:t>
      </w:r>
      <w:r w:rsidRPr="000834B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Organ-specific MTPD*, and STPD* by cycles. </w:t>
      </w:r>
      <w:r w:rsidRPr="000834BB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 xml:space="preserve">Mean </w:t>
      </w:r>
      <w:r w:rsidRPr="000834BB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± SD values are given.</w:t>
      </w:r>
    </w:p>
    <w:p w:rsidR="00DE2AF0" w:rsidRPr="00694F99" w:rsidRDefault="00DE2AF0" w:rsidP="00DE2AF0">
      <w:pPr>
        <w:widowControl w:val="0"/>
        <w:jc w:val="both"/>
        <w:rPr>
          <w:i/>
          <w:iCs/>
          <w:color w:val="000000" w:themeColor="text1"/>
          <w:sz w:val="20"/>
          <w:szCs w:val="20"/>
          <w:lang w:val="en-US"/>
        </w:rPr>
      </w:pPr>
      <w:r w:rsidRPr="000834BB">
        <w:rPr>
          <w:rFonts w:eastAsiaTheme="majorEastAsia"/>
          <w:i/>
          <w:iCs/>
          <w:color w:val="000000" w:themeColor="text1"/>
          <w:sz w:val="20"/>
          <w:szCs w:val="20"/>
          <w:lang w:val="en-US"/>
        </w:rPr>
        <w:t xml:space="preserve">* MTPD and STPD refer to the mean absorbed </w:t>
      </w:r>
      <w:r w:rsidRPr="000834BB">
        <w:rPr>
          <w:i/>
          <w:iCs/>
          <w:color w:val="000000" w:themeColor="text1"/>
          <w:sz w:val="20"/>
          <w:szCs w:val="20"/>
          <w:lang w:val="en-US"/>
        </w:rPr>
        <w:t xml:space="preserve">per unit activity </w:t>
      </w:r>
      <w:r w:rsidRPr="000834BB">
        <w:rPr>
          <w:rFonts w:eastAsiaTheme="majorEastAsia"/>
          <w:i/>
          <w:iCs/>
          <w:color w:val="000000" w:themeColor="text1"/>
          <w:sz w:val="20"/>
          <w:szCs w:val="20"/>
          <w:lang w:val="en-US"/>
        </w:rPr>
        <w:t>extracted from MTPD- and STPD-maps.</w:t>
      </w:r>
    </w:p>
    <w:bookmarkEnd w:id="3"/>
    <w:p w:rsidR="00DE2AF0" w:rsidRPr="008566AD" w:rsidRDefault="00DE2AF0" w:rsidP="00DE2AF0">
      <w:pPr>
        <w:pStyle w:val="Heading3"/>
        <w:keepNext w:val="0"/>
        <w:keepLines w:val="0"/>
        <w:widowControl w:val="0"/>
        <w:jc w:val="both"/>
      </w:pPr>
    </w:p>
    <w:p w:rsidR="00EC35F1" w:rsidRDefault="00EC35F1">
      <w:bookmarkStart w:id="5" w:name="_GoBack"/>
      <w:bookmarkEnd w:id="5"/>
    </w:p>
    <w:sectPr w:rsidR="00EC35F1" w:rsidSect="00EE5688">
      <w:footerReference w:type="first" r:id="rId5"/>
      <w:pgSz w:w="11906" w:h="16838"/>
      <w:pgMar w:top="1417" w:right="1417" w:bottom="1134" w:left="1417" w:header="708" w:footer="708" w:gutter="0"/>
      <w:pgNumType w:fmt="numberInDash"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5276333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97E6D" w:rsidRDefault="00DE2AF0" w:rsidP="00AB40D3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- 1 -</w:t>
        </w:r>
        <w:r>
          <w:rPr>
            <w:rStyle w:val="PageNumber"/>
          </w:rPr>
          <w:fldChar w:fldCharType="end"/>
        </w:r>
      </w:p>
    </w:sdtContent>
  </w:sdt>
  <w:p w:rsidR="00C97E6D" w:rsidRDefault="00DE2AF0" w:rsidP="00AB40D3">
    <w:pPr>
      <w:pStyle w:val="Footer"/>
      <w:framePr w:wrap="none" w:vAnchor="text" w:hAnchor="margin" w:xAlign="center" w:y="1"/>
      <w:jc w:val="center"/>
      <w:rPr>
        <w:rStyle w:val="PageNumber"/>
      </w:rPr>
    </w:pPr>
  </w:p>
  <w:p w:rsidR="00C97E6D" w:rsidRDefault="00DE2AF0" w:rsidP="00AB40D3">
    <w:pPr>
      <w:pStyle w:val="Footer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AF0"/>
    <w:rsid w:val="00A17C75"/>
    <w:rsid w:val="00DE2AF0"/>
    <w:rsid w:val="00EC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AF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2A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2A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DE2A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zh-CN"/>
    </w:rPr>
  </w:style>
  <w:style w:type="table" w:customStyle="1" w:styleId="PlainTable3">
    <w:name w:val="Plain Table 3"/>
    <w:basedOn w:val="TableNormal"/>
    <w:uiPriority w:val="43"/>
    <w:rsid w:val="00DE2AF0"/>
    <w:pPr>
      <w:spacing w:after="0" w:line="240" w:lineRule="auto"/>
    </w:pPr>
    <w:rPr>
      <w:rFonts w:eastAsia="SimSun"/>
      <w:color w:val="595959" w:themeColor="text1" w:themeTint="A6"/>
      <w:sz w:val="30"/>
      <w:szCs w:val="3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DE2AF0"/>
    <w:pPr>
      <w:tabs>
        <w:tab w:val="center" w:pos="4536"/>
        <w:tab w:val="right" w:pos="9072"/>
      </w:tabs>
      <w:spacing w:after="0" w:line="240" w:lineRule="auto"/>
    </w:pPr>
    <w:rPr>
      <w:rFonts w:ascii="Arial" w:eastAsiaTheme="minorEastAsia" w:hAnsi="Arial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E2AF0"/>
    <w:rPr>
      <w:rFonts w:ascii="Arial" w:eastAsiaTheme="minorEastAsia" w:hAnsi="Arial"/>
      <w:lang w:val="en-US" w:eastAsia="zh-CN"/>
    </w:rPr>
  </w:style>
  <w:style w:type="table" w:customStyle="1" w:styleId="PlainTable4">
    <w:name w:val="Plain Table 4"/>
    <w:basedOn w:val="TableNormal"/>
    <w:uiPriority w:val="44"/>
    <w:rsid w:val="00DE2AF0"/>
    <w:pPr>
      <w:spacing w:after="0" w:line="240" w:lineRule="auto"/>
    </w:pPr>
    <w:rPr>
      <w:rFonts w:eastAsiaTheme="minorEastAsia"/>
      <w:lang w:val="de-CH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DE2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AF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2A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2A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DE2A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zh-CN"/>
    </w:rPr>
  </w:style>
  <w:style w:type="table" w:customStyle="1" w:styleId="PlainTable3">
    <w:name w:val="Plain Table 3"/>
    <w:basedOn w:val="TableNormal"/>
    <w:uiPriority w:val="43"/>
    <w:rsid w:val="00DE2AF0"/>
    <w:pPr>
      <w:spacing w:after="0" w:line="240" w:lineRule="auto"/>
    </w:pPr>
    <w:rPr>
      <w:rFonts w:eastAsia="SimSun"/>
      <w:color w:val="595959" w:themeColor="text1" w:themeTint="A6"/>
      <w:sz w:val="30"/>
      <w:szCs w:val="3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DE2AF0"/>
    <w:pPr>
      <w:tabs>
        <w:tab w:val="center" w:pos="4536"/>
        <w:tab w:val="right" w:pos="9072"/>
      </w:tabs>
      <w:spacing w:after="0" w:line="240" w:lineRule="auto"/>
    </w:pPr>
    <w:rPr>
      <w:rFonts w:ascii="Arial" w:eastAsiaTheme="minorEastAsia" w:hAnsi="Arial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E2AF0"/>
    <w:rPr>
      <w:rFonts w:ascii="Arial" w:eastAsiaTheme="minorEastAsia" w:hAnsi="Arial"/>
      <w:lang w:val="en-US" w:eastAsia="zh-CN"/>
    </w:rPr>
  </w:style>
  <w:style w:type="table" w:customStyle="1" w:styleId="PlainTable4">
    <w:name w:val="Plain Table 4"/>
    <w:basedOn w:val="TableNormal"/>
    <w:uiPriority w:val="44"/>
    <w:rsid w:val="00DE2AF0"/>
    <w:pPr>
      <w:spacing w:after="0" w:line="240" w:lineRule="auto"/>
    </w:pPr>
    <w:rPr>
      <w:rFonts w:eastAsiaTheme="minorEastAsia"/>
      <w:lang w:val="de-CH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DE2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NiÃ±o Horel</dc:creator>
  <cp:lastModifiedBy>NiÃ±o Horel</cp:lastModifiedBy>
  <cp:revision>1</cp:revision>
  <dcterms:created xsi:type="dcterms:W3CDTF">2026-05-19T01:45:00Z</dcterms:created>
  <dcterms:modified xsi:type="dcterms:W3CDTF">2026-05-19T01:46:00Z</dcterms:modified>
</cp:coreProperties>
</file>