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E4CAB8" w14:textId="09BDC643" w:rsidR="00DF6972" w:rsidRPr="00766F21" w:rsidRDefault="00BD695D">
      <w:pPr>
        <w:rPr>
          <w:rFonts w:ascii="Arial" w:hAnsi="Arial" w:cs="Arial"/>
          <w:b/>
          <w:noProof/>
          <w:sz w:val="26"/>
          <w:szCs w:val="26"/>
        </w:rPr>
      </w:pPr>
      <w:r w:rsidRPr="00766F21">
        <w:rPr>
          <w:rFonts w:ascii="Arial" w:hAnsi="Arial" w:cs="Arial"/>
          <w:b/>
          <w:noProof/>
          <w:sz w:val="26"/>
          <w:szCs w:val="26"/>
        </w:rPr>
        <w:t>Supplementary Material</w:t>
      </w:r>
    </w:p>
    <w:p w14:paraId="6241A3D3" w14:textId="77777777" w:rsidR="00DF6972" w:rsidRPr="00766F21" w:rsidRDefault="00DF6972">
      <w:pPr>
        <w:rPr>
          <w:rFonts w:ascii="Arial" w:hAnsi="Arial" w:cs="Arial"/>
          <w:noProof/>
        </w:rPr>
      </w:pPr>
    </w:p>
    <w:p w14:paraId="0B36B6BA" w14:textId="77777777" w:rsidR="00DF6972" w:rsidRPr="00766F21" w:rsidRDefault="00DF6972">
      <w:pPr>
        <w:rPr>
          <w:rFonts w:ascii="Arial" w:hAnsi="Arial" w:cs="Arial"/>
          <w:noProof/>
        </w:rPr>
      </w:pPr>
    </w:p>
    <w:p w14:paraId="067369CC" w14:textId="14AE5D2D" w:rsidR="00E408F9" w:rsidRPr="00766F21" w:rsidRDefault="00E408F9">
      <w:pPr>
        <w:rPr>
          <w:rFonts w:ascii="Arial" w:hAnsi="Arial" w:cs="Arial"/>
          <w:b/>
          <w:noProof/>
          <w:sz w:val="26"/>
          <w:szCs w:val="26"/>
          <w:lang w:eastAsia="de-DE"/>
        </w:rPr>
      </w:pPr>
    </w:p>
    <w:p w14:paraId="00394551" w14:textId="3024F038" w:rsidR="00E408F9" w:rsidRPr="00766F21" w:rsidRDefault="00E408F9">
      <w:pPr>
        <w:rPr>
          <w:rFonts w:ascii="Arial" w:hAnsi="Arial" w:cs="Arial"/>
          <w:b/>
          <w:noProof/>
          <w:sz w:val="26"/>
          <w:szCs w:val="26"/>
          <w:lang w:eastAsia="de-DE"/>
        </w:rPr>
      </w:pPr>
    </w:p>
    <w:p w14:paraId="099A8994" w14:textId="6D6EEAF5" w:rsidR="00DF6972" w:rsidRPr="00766F21" w:rsidRDefault="00F420C9">
      <w:pPr>
        <w:rPr>
          <w:rFonts w:ascii="Arial" w:hAnsi="Arial" w:cs="Arial"/>
          <w:noProof/>
        </w:rPr>
      </w:pPr>
      <w:r w:rsidRPr="00F420C9">
        <w:rPr>
          <w:rFonts w:ascii="Arial" w:hAnsi="Arial" w:cs="Arial"/>
          <w:b/>
          <w:noProof/>
          <w:sz w:val="26"/>
          <w:szCs w:val="26"/>
          <w:lang w:eastAsia="de-DE"/>
          <w14:ligatures w14:val="none"/>
        </w:rPr>
        <w:pict w14:anchorId="00B25D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d 1" o:spid="_x0000_i1025" type="#_x0000_t75" style="width:452.55pt;height:204.5pt;visibility:visible;mso-wrap-style:square">
            <v:imagedata r:id="rId4" o:title=""/>
            <o:lock v:ext="edit" rotation="t" cropping="t" verticies="t"/>
          </v:shape>
        </w:pict>
      </w:r>
    </w:p>
    <w:p w14:paraId="089C9DDA" w14:textId="1697B605" w:rsidR="00DF6972" w:rsidRPr="00766F21" w:rsidRDefault="00DF6972" w:rsidP="00DF6972">
      <w:pPr>
        <w:spacing w:line="480" w:lineRule="auto"/>
        <w:jc w:val="both"/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</w:pPr>
      <w:r w:rsidRPr="00766F21">
        <w:rPr>
          <w:rFonts w:ascii="Arial" w:eastAsia="Times New Roman" w:hAnsi="Arial" w:cs="Arial"/>
          <w:b/>
          <w:color w:val="FF0000"/>
          <w:kern w:val="0"/>
          <w:lang w:val="en-US" w:eastAsia="de-DE"/>
          <w14:ligatures w14:val="none"/>
        </w:rPr>
        <w:t>Figure S1:</w:t>
      </w:r>
      <w:r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 xml:space="preserve"> Radiation dose deposited during treatment cycles 1 and 2 of [</w:t>
      </w:r>
      <w:r w:rsidR="003844AD" w:rsidRPr="00766F21">
        <w:rPr>
          <w:rFonts w:ascii="Arial" w:eastAsia="Times New Roman" w:hAnsi="Arial" w:cs="Arial"/>
          <w:color w:val="FF0000"/>
          <w:kern w:val="0"/>
          <w:vertAlign w:val="superscript"/>
          <w:lang w:val="en-US" w:eastAsia="de-DE"/>
          <w14:ligatures w14:val="none"/>
        </w:rPr>
        <w:t>161</w:t>
      </w:r>
      <w:r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 xml:space="preserve">Tb]Tb-PSMA-617 RLT calculated for the entire patient cohort. </w:t>
      </w:r>
      <w:r w:rsidRPr="00766F21">
        <w:rPr>
          <w:rFonts w:ascii="Arial" w:eastAsia="Times New Roman" w:hAnsi="Arial" w:cs="Arial"/>
          <w:b/>
          <w:color w:val="FF0000"/>
          <w:kern w:val="0"/>
          <w:lang w:val="en-US" w:eastAsia="de-DE"/>
          <w14:ligatures w14:val="none"/>
        </w:rPr>
        <w:t>A</w:t>
      </w:r>
      <w:r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 xml:space="preserve">: to normal organs, </w:t>
      </w:r>
      <w:r w:rsidRPr="00766F21">
        <w:rPr>
          <w:rFonts w:ascii="Arial" w:eastAsia="Times New Roman" w:hAnsi="Arial" w:cs="Arial"/>
          <w:b/>
          <w:color w:val="FF0000"/>
          <w:kern w:val="0"/>
          <w:lang w:val="en-US" w:eastAsia="de-DE"/>
          <w14:ligatures w14:val="none"/>
        </w:rPr>
        <w:t>B:</w:t>
      </w:r>
      <w:r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 xml:space="preserve"> to tumor lesions. Statistical analysis revealed only non-significant differences between the treatment cycles (kidneys: </w:t>
      </w:r>
      <w:r w:rsidRPr="00766F21">
        <w:rPr>
          <w:rFonts w:ascii="Arial" w:eastAsia="Times New Roman" w:hAnsi="Arial" w:cs="Arial"/>
          <w:i/>
          <w:iCs/>
          <w:color w:val="FF0000"/>
          <w:kern w:val="0"/>
          <w:lang w:val="en-US" w:eastAsia="de-DE"/>
          <w14:ligatures w14:val="none"/>
        </w:rPr>
        <w:t>p</w:t>
      </w:r>
      <w:r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 xml:space="preserve">&gt;0.999, liver </w:t>
      </w:r>
      <w:r w:rsidRPr="00766F21">
        <w:rPr>
          <w:rFonts w:ascii="Arial" w:eastAsia="Times New Roman" w:hAnsi="Arial" w:cs="Arial"/>
          <w:i/>
          <w:iCs/>
          <w:color w:val="FF0000"/>
          <w:kern w:val="0"/>
          <w:lang w:val="en-US" w:eastAsia="de-DE"/>
          <w14:ligatures w14:val="none"/>
        </w:rPr>
        <w:t>p</w:t>
      </w:r>
      <w:r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 xml:space="preserve">=0.183, </w:t>
      </w:r>
      <w:r w:rsidR="005D61D9"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 xml:space="preserve">parotid glands </w:t>
      </w:r>
      <w:r w:rsidRPr="00766F21">
        <w:rPr>
          <w:rFonts w:ascii="Arial" w:eastAsia="Times New Roman" w:hAnsi="Arial" w:cs="Arial"/>
          <w:i/>
          <w:iCs/>
          <w:color w:val="FF0000"/>
          <w:kern w:val="0"/>
          <w:lang w:val="en-US" w:eastAsia="de-DE"/>
          <w14:ligatures w14:val="none"/>
        </w:rPr>
        <w:t>p</w:t>
      </w:r>
      <w:r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 xml:space="preserve">=0.250 and </w:t>
      </w:r>
      <w:r w:rsidR="005D61D9"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>submandibular glands</w:t>
      </w:r>
      <w:r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 xml:space="preserve"> </w:t>
      </w:r>
      <w:r w:rsidRPr="00766F21">
        <w:rPr>
          <w:rFonts w:ascii="Arial" w:eastAsia="Times New Roman" w:hAnsi="Arial" w:cs="Arial"/>
          <w:i/>
          <w:iCs/>
          <w:color w:val="FF0000"/>
          <w:kern w:val="0"/>
          <w:lang w:val="en-US" w:eastAsia="de-DE"/>
          <w14:ligatures w14:val="none"/>
        </w:rPr>
        <w:t>p</w:t>
      </w:r>
      <w:r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>=0.43</w:t>
      </w:r>
      <w:r w:rsidR="003844AD"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>8</w:t>
      </w:r>
      <w:r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 xml:space="preserve">, tumor lesions: </w:t>
      </w:r>
      <w:r w:rsidRPr="00766F21">
        <w:rPr>
          <w:rFonts w:ascii="Arial" w:eastAsia="Times New Roman" w:hAnsi="Arial" w:cs="Arial"/>
          <w:i/>
          <w:iCs/>
          <w:color w:val="FF0000"/>
          <w:kern w:val="0"/>
          <w:lang w:val="en-US" w:eastAsia="de-DE"/>
          <w14:ligatures w14:val="none"/>
        </w:rPr>
        <w:t>p</w:t>
      </w:r>
      <w:r w:rsidRPr="00766F21">
        <w:rPr>
          <w:rFonts w:ascii="Arial" w:eastAsia="Times New Roman" w:hAnsi="Arial" w:cs="Arial"/>
          <w:color w:val="FF0000"/>
          <w:kern w:val="0"/>
          <w:lang w:val="en-US" w:eastAsia="de-DE"/>
          <w14:ligatures w14:val="none"/>
        </w:rPr>
        <w:t>=0.102).</w:t>
      </w:r>
    </w:p>
    <w:p w14:paraId="7F7F9FDB" w14:textId="47968DE8" w:rsidR="005D61D9" w:rsidRPr="00766F21" w:rsidRDefault="005D61D9">
      <w:pPr>
        <w:spacing w:after="160" w:line="259" w:lineRule="auto"/>
        <w:rPr>
          <w:rFonts w:ascii="Arial" w:eastAsia="Times New Roman" w:hAnsi="Arial" w:cs="Arial"/>
          <w:b/>
          <w:color w:val="FF0000"/>
          <w:kern w:val="0"/>
          <w:lang w:val="en-US" w:eastAsia="de-DE"/>
          <w14:ligatures w14:val="none"/>
        </w:rPr>
      </w:pPr>
      <w:r w:rsidRPr="00766F21">
        <w:rPr>
          <w:rFonts w:ascii="Arial" w:eastAsia="Times New Roman" w:hAnsi="Arial" w:cs="Arial"/>
          <w:b/>
          <w:color w:val="FF0000"/>
          <w:kern w:val="0"/>
          <w:lang w:val="en-US" w:eastAsia="de-DE"/>
          <w14:ligatures w14:val="none"/>
        </w:rPr>
        <w:br w:type="page"/>
      </w:r>
    </w:p>
    <w:p w14:paraId="6069C4DB" w14:textId="172E8809" w:rsidR="00970A23" w:rsidRPr="00766F21" w:rsidRDefault="003E0AC8" w:rsidP="0034678B">
      <w:pPr>
        <w:spacing w:line="480" w:lineRule="auto"/>
        <w:jc w:val="both"/>
        <w:rPr>
          <w:rFonts w:ascii="Arial" w:eastAsia="Arial" w:hAnsi="Arial" w:cs="Arial"/>
          <w:color w:val="FF0000"/>
          <w:lang w:val="en-US"/>
        </w:rPr>
      </w:pPr>
      <w:r w:rsidRPr="00766F21">
        <w:rPr>
          <w:rFonts w:ascii="Arial" w:eastAsia="Arial" w:hAnsi="Arial" w:cs="Arial"/>
          <w:b/>
          <w:color w:val="FF0000"/>
          <w:lang w:val="en-US"/>
        </w:rPr>
        <w:lastRenderedPageBreak/>
        <w:t>Table S1:</w:t>
      </w:r>
      <w:r w:rsidRPr="00766F21">
        <w:rPr>
          <w:rFonts w:ascii="Arial" w:eastAsia="Arial" w:hAnsi="Arial" w:cs="Arial"/>
          <w:color w:val="FF0000"/>
          <w:lang w:val="en-US"/>
        </w:rPr>
        <w:t xml:space="preserve"> Mean </w:t>
      </w:r>
      <w:r w:rsidR="005D61D9" w:rsidRPr="00766F21">
        <w:rPr>
          <w:rFonts w:ascii="Arial" w:eastAsia="Arial" w:hAnsi="Arial" w:cs="Arial"/>
          <w:color w:val="FF0000"/>
          <w:lang w:val="en-US"/>
        </w:rPr>
        <w:t>s</w:t>
      </w:r>
      <w:r w:rsidRPr="00766F21">
        <w:rPr>
          <w:rFonts w:ascii="Arial" w:eastAsia="Arial" w:hAnsi="Arial" w:cs="Arial"/>
          <w:color w:val="FF0000"/>
          <w:lang w:val="en-US"/>
        </w:rPr>
        <w:t>erum PSA determined before and after the initial cycle of [</w:t>
      </w:r>
      <w:r w:rsidRPr="00766F21">
        <w:rPr>
          <w:rFonts w:ascii="Arial" w:eastAsia="Arial" w:hAnsi="Arial" w:cs="Arial"/>
          <w:color w:val="FF0000"/>
          <w:vertAlign w:val="superscript"/>
          <w:lang w:val="en-US"/>
        </w:rPr>
        <w:t>161</w:t>
      </w:r>
      <w:r w:rsidRPr="00766F21">
        <w:rPr>
          <w:rFonts w:ascii="Arial" w:eastAsia="Arial" w:hAnsi="Arial" w:cs="Arial"/>
          <w:color w:val="FF0000"/>
          <w:lang w:val="en-US"/>
        </w:rPr>
        <w:t xml:space="preserve">Tb]Tb-PSMA-617 RLT for the three groups of patients classified according to </w:t>
      </w:r>
      <w:r w:rsidR="003844AD" w:rsidRPr="00766F21">
        <w:rPr>
          <w:rFonts w:ascii="Arial" w:eastAsia="Arial" w:hAnsi="Arial" w:cs="Arial"/>
          <w:color w:val="FF0000"/>
          <w:lang w:val="en-US"/>
        </w:rPr>
        <w:t>P</w:t>
      </w:r>
      <w:r w:rsidRPr="00766F21">
        <w:rPr>
          <w:rFonts w:ascii="Arial" w:eastAsia="Arial" w:hAnsi="Arial" w:cs="Arial"/>
          <w:color w:val="FF0000"/>
          <w:lang w:val="en-US"/>
        </w:rPr>
        <w:t>CW</w:t>
      </w:r>
      <w:r w:rsidR="000445FA" w:rsidRPr="00766F21">
        <w:rPr>
          <w:rFonts w:ascii="Arial" w:eastAsia="Arial" w:hAnsi="Arial" w:cs="Arial"/>
          <w:color w:val="FF0000"/>
          <w:lang w:val="en-US"/>
        </w:rPr>
        <w:t>G</w:t>
      </w:r>
      <w:r w:rsidRPr="00766F21">
        <w:rPr>
          <w:rFonts w:ascii="Arial" w:eastAsia="Arial" w:hAnsi="Arial" w:cs="Arial"/>
          <w:color w:val="FF0000"/>
          <w:lang w:val="en-US"/>
        </w:rPr>
        <w:t>3 criteria (</w:t>
      </w:r>
      <w:r w:rsidRPr="00766F21">
        <w:rPr>
          <w:rFonts w:ascii="Arial" w:hAnsi="Arial" w:cs="Arial"/>
          <w:color w:val="FF0000"/>
          <w:lang w:val="en-US"/>
        </w:rPr>
        <w:t xml:space="preserve">PSA </w:t>
      </w:r>
      <w:r w:rsidR="000445FA" w:rsidRPr="00766F21">
        <w:rPr>
          <w:rFonts w:ascii="Arial" w:hAnsi="Arial" w:cs="Arial"/>
          <w:color w:val="FF0000"/>
          <w:lang w:val="en-US"/>
        </w:rPr>
        <w:t>decrease</w:t>
      </w:r>
      <w:r w:rsidRPr="00766F21">
        <w:rPr>
          <w:rFonts w:ascii="Arial" w:hAnsi="Arial" w:cs="Arial"/>
          <w:color w:val="FF0000"/>
          <w:lang w:val="en-US"/>
        </w:rPr>
        <w:t xml:space="preserve"> of </w:t>
      </w:r>
      <w:r w:rsidR="000445FA" w:rsidRPr="00766F21">
        <w:rPr>
          <w:rStyle w:val="Fett"/>
          <w:rFonts w:ascii="Arial" w:hAnsi="Arial" w:cs="Arial"/>
          <w:b w:val="0"/>
          <w:bCs w:val="0"/>
          <w:color w:val="EE0000"/>
          <w:lang w:val="en-US"/>
        </w:rPr>
        <w:t>≥</w:t>
      </w:r>
      <w:r w:rsidRPr="00766F21">
        <w:rPr>
          <w:rFonts w:ascii="Arial" w:hAnsi="Arial" w:cs="Arial"/>
          <w:color w:val="FF0000"/>
          <w:lang w:val="en-US"/>
        </w:rPr>
        <w:t xml:space="preserve"> 50%</w:t>
      </w:r>
      <w:r w:rsidR="000445FA" w:rsidRPr="00766F21">
        <w:rPr>
          <w:rFonts w:ascii="Arial" w:hAnsi="Arial" w:cs="Arial"/>
          <w:color w:val="FF0000"/>
          <w:lang w:val="en-US"/>
        </w:rPr>
        <w:t xml:space="preserve">: </w:t>
      </w:r>
      <w:r w:rsidRPr="00766F21">
        <w:rPr>
          <w:rFonts w:ascii="Arial" w:hAnsi="Arial" w:cs="Arial"/>
          <w:color w:val="FF0000"/>
          <w:lang w:val="en-US"/>
        </w:rPr>
        <w:t>partial remission</w:t>
      </w:r>
      <w:r w:rsidR="000445FA" w:rsidRPr="00766F21">
        <w:rPr>
          <w:rFonts w:ascii="Arial" w:hAnsi="Arial" w:cs="Arial"/>
          <w:color w:val="FF0000"/>
          <w:lang w:val="en-US"/>
        </w:rPr>
        <w:t xml:space="preserve"> (PR)</w:t>
      </w:r>
      <w:r w:rsidR="000445FA" w:rsidRPr="00766F21">
        <w:rPr>
          <w:rFonts w:ascii="Arial" w:eastAsia="Arial" w:hAnsi="Arial" w:cs="Arial"/>
          <w:color w:val="FF0000"/>
          <w:lang w:val="en-US"/>
        </w:rPr>
        <w:t>;</w:t>
      </w:r>
      <w:r w:rsidRPr="00766F21">
        <w:rPr>
          <w:rFonts w:ascii="Arial" w:eastAsia="Arial" w:hAnsi="Arial" w:cs="Arial"/>
          <w:color w:val="FF0000"/>
          <w:lang w:val="en-US"/>
        </w:rPr>
        <w:t xml:space="preserve"> </w:t>
      </w:r>
      <w:r w:rsidR="000445FA" w:rsidRPr="00766F21">
        <w:rPr>
          <w:rFonts w:ascii="Arial" w:eastAsia="Arial" w:hAnsi="Arial" w:cs="Arial"/>
          <w:color w:val="FF0000"/>
          <w:lang w:val="en-US"/>
        </w:rPr>
        <w:t xml:space="preserve">decrease </w:t>
      </w:r>
      <w:r w:rsidRPr="00766F21">
        <w:rPr>
          <w:rFonts w:ascii="Arial" w:eastAsia="Arial" w:hAnsi="Arial" w:cs="Arial"/>
          <w:color w:val="FF0000"/>
          <w:lang w:val="en-US"/>
        </w:rPr>
        <w:t>&lt;</w:t>
      </w:r>
      <w:r w:rsidR="000445FA" w:rsidRPr="00766F21">
        <w:rPr>
          <w:rFonts w:ascii="Arial" w:eastAsia="Arial" w:hAnsi="Arial" w:cs="Arial"/>
          <w:color w:val="FF0000"/>
          <w:lang w:val="en-US"/>
        </w:rPr>
        <w:t xml:space="preserve"> </w:t>
      </w:r>
      <w:r w:rsidRPr="00766F21">
        <w:rPr>
          <w:rFonts w:ascii="Arial" w:eastAsia="Arial" w:hAnsi="Arial" w:cs="Arial"/>
          <w:color w:val="FF0000"/>
          <w:lang w:val="en-US"/>
        </w:rPr>
        <w:t xml:space="preserve">50% </w:t>
      </w:r>
      <w:r w:rsidR="000445FA" w:rsidRPr="00766F21">
        <w:rPr>
          <w:rFonts w:ascii="Arial" w:eastAsia="Arial" w:hAnsi="Arial" w:cs="Arial"/>
          <w:color w:val="FF0000"/>
          <w:lang w:val="en-US"/>
        </w:rPr>
        <w:t>or increase</w:t>
      </w:r>
      <w:r w:rsidRPr="00766F21">
        <w:rPr>
          <w:rFonts w:ascii="Arial" w:eastAsia="Arial" w:hAnsi="Arial" w:cs="Arial"/>
          <w:color w:val="FF0000"/>
          <w:lang w:val="en-US"/>
        </w:rPr>
        <w:t xml:space="preserve"> &lt;</w:t>
      </w:r>
      <w:r w:rsidR="000445FA" w:rsidRPr="00766F21">
        <w:rPr>
          <w:rFonts w:ascii="Arial" w:eastAsia="Arial" w:hAnsi="Arial" w:cs="Arial"/>
          <w:color w:val="FF0000"/>
          <w:lang w:val="en-US"/>
        </w:rPr>
        <w:t xml:space="preserve"> </w:t>
      </w:r>
      <w:r w:rsidRPr="00766F21">
        <w:rPr>
          <w:rFonts w:ascii="Arial" w:eastAsia="Arial" w:hAnsi="Arial" w:cs="Arial"/>
          <w:color w:val="FF0000"/>
          <w:lang w:val="en-US"/>
        </w:rPr>
        <w:t>25%</w:t>
      </w:r>
      <w:r w:rsidR="000445FA" w:rsidRPr="00766F21">
        <w:rPr>
          <w:rFonts w:ascii="Arial" w:eastAsia="Arial" w:hAnsi="Arial" w:cs="Arial"/>
          <w:color w:val="FF0000"/>
          <w:lang w:val="en-US"/>
        </w:rPr>
        <w:t>:</w:t>
      </w:r>
      <w:r w:rsidRPr="00766F21">
        <w:rPr>
          <w:rFonts w:ascii="Arial" w:eastAsia="Arial" w:hAnsi="Arial" w:cs="Arial"/>
          <w:color w:val="FF0000"/>
          <w:lang w:val="en-US"/>
        </w:rPr>
        <w:t xml:space="preserve"> stable disease</w:t>
      </w:r>
      <w:r w:rsidR="000445FA" w:rsidRPr="00766F21">
        <w:rPr>
          <w:rFonts w:ascii="Arial" w:eastAsia="Arial" w:hAnsi="Arial" w:cs="Arial"/>
          <w:color w:val="FF0000"/>
          <w:lang w:val="en-US"/>
        </w:rPr>
        <w:t xml:space="preserve"> (SD);</w:t>
      </w:r>
      <w:r w:rsidRPr="00766F21">
        <w:rPr>
          <w:rFonts w:ascii="Arial" w:eastAsia="Arial" w:hAnsi="Arial" w:cs="Arial"/>
          <w:color w:val="FF0000"/>
          <w:lang w:val="en-US"/>
        </w:rPr>
        <w:t xml:space="preserve"> </w:t>
      </w:r>
      <w:r w:rsidR="000445FA" w:rsidRPr="00766F21">
        <w:rPr>
          <w:rFonts w:ascii="Arial" w:eastAsia="Arial" w:hAnsi="Arial" w:cs="Arial"/>
          <w:color w:val="EE0000"/>
          <w:lang w:val="en-US"/>
        </w:rPr>
        <w:t>increase</w:t>
      </w:r>
      <w:r w:rsidRPr="00766F21">
        <w:rPr>
          <w:rFonts w:ascii="Arial" w:eastAsia="Arial" w:hAnsi="Arial" w:cs="Arial"/>
          <w:color w:val="EE0000"/>
          <w:lang w:val="en-US"/>
        </w:rPr>
        <w:t xml:space="preserve"> </w:t>
      </w:r>
      <w:r w:rsidR="000445FA" w:rsidRPr="00766F21">
        <w:rPr>
          <w:rStyle w:val="Fett"/>
          <w:rFonts w:ascii="Arial" w:hAnsi="Arial" w:cs="Arial"/>
          <w:b w:val="0"/>
          <w:bCs w:val="0"/>
          <w:color w:val="EE0000"/>
          <w:lang w:val="en-US"/>
        </w:rPr>
        <w:t>≥</w:t>
      </w:r>
      <w:r w:rsidR="000445FA" w:rsidRPr="00766F21">
        <w:rPr>
          <w:rFonts w:ascii="Arial" w:eastAsia="Arial" w:hAnsi="Arial" w:cs="Arial"/>
          <w:color w:val="EE0000"/>
          <w:lang w:val="en-US"/>
        </w:rPr>
        <w:t xml:space="preserve"> </w:t>
      </w:r>
      <w:r w:rsidRPr="00766F21">
        <w:rPr>
          <w:rFonts w:ascii="Arial" w:eastAsia="Arial" w:hAnsi="Arial" w:cs="Arial"/>
          <w:color w:val="EE0000"/>
          <w:lang w:val="en-US"/>
        </w:rPr>
        <w:t>25</w:t>
      </w:r>
      <w:r w:rsidRPr="00766F21">
        <w:rPr>
          <w:rFonts w:ascii="Arial" w:eastAsia="Arial" w:hAnsi="Arial" w:cs="Arial"/>
          <w:color w:val="FF0000"/>
          <w:lang w:val="en-US"/>
        </w:rPr>
        <w:t>%</w:t>
      </w:r>
      <w:r w:rsidR="000445FA" w:rsidRPr="00766F21">
        <w:rPr>
          <w:rFonts w:ascii="Arial" w:eastAsia="Arial" w:hAnsi="Arial" w:cs="Arial"/>
          <w:color w:val="FF0000"/>
          <w:lang w:val="en-US"/>
        </w:rPr>
        <w:t xml:space="preserve">: </w:t>
      </w:r>
      <w:r w:rsidRPr="00766F21">
        <w:rPr>
          <w:rFonts w:ascii="Arial" w:eastAsia="Arial" w:hAnsi="Arial" w:cs="Arial"/>
          <w:color w:val="FF0000"/>
          <w:lang w:val="en-US"/>
        </w:rPr>
        <w:t xml:space="preserve">progressive </w:t>
      </w:r>
      <w:r w:rsidR="000445FA" w:rsidRPr="00766F21">
        <w:rPr>
          <w:rFonts w:ascii="Arial" w:eastAsia="Arial" w:hAnsi="Arial" w:cs="Arial"/>
          <w:color w:val="FF0000"/>
          <w:lang w:val="en-US"/>
        </w:rPr>
        <w:t>disease (PD)</w:t>
      </w:r>
      <w:r w:rsidRPr="00766F21">
        <w:rPr>
          <w:rFonts w:ascii="Arial" w:eastAsia="Arial" w:hAnsi="Arial" w:cs="Arial"/>
          <w:color w:val="FF0000"/>
          <w:lang w:val="en-US"/>
        </w:rPr>
        <w:t>) and for the entire cohort of the study.</w:t>
      </w:r>
    </w:p>
    <w:tbl>
      <w:tblPr>
        <w:tblpPr w:leftFromText="141" w:rightFromText="141" w:vertAnchor="page" w:horzAnchor="margin" w:tblpY="4563"/>
        <w:tblW w:w="96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1922"/>
        <w:gridCol w:w="1922"/>
        <w:gridCol w:w="1922"/>
        <w:gridCol w:w="1922"/>
      </w:tblGrid>
      <w:tr w:rsidR="005D61D9" w:rsidRPr="00766F21" w14:paraId="34F963EE" w14:textId="77777777" w:rsidTr="005D61D9">
        <w:trPr>
          <w:trHeight w:val="301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04DE26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  <w:t xml:space="preserve">Patient group according to 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CB0297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  <w:t>No. of patients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2F29D5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  <w:t>initial PSA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64A096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  <w:t xml:space="preserve">PSA response 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7198A3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  <w:t xml:space="preserve">%PSA change </w:t>
            </w:r>
          </w:p>
        </w:tc>
      </w:tr>
      <w:tr w:rsidR="005D61D9" w:rsidRPr="00766F21" w14:paraId="2E5A2434" w14:textId="77777777" w:rsidTr="005D61D9">
        <w:trPr>
          <w:trHeight w:val="301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7B7C92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PCWG3 criteria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66E872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F03D7A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731F8E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8E40D6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</w:tr>
      <w:tr w:rsidR="005D61D9" w:rsidRPr="00766F21" w14:paraId="3C9D92AF" w14:textId="77777777" w:rsidTr="005D61D9">
        <w:trPr>
          <w:trHeight w:val="301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2BA18A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All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107A2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 15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EA194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259.2 ± 525.8 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9686E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346.9 ± 910.0 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E8309B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 -18.7 ± 52.5</w:t>
            </w:r>
          </w:p>
        </w:tc>
      </w:tr>
      <w:tr w:rsidR="005D61D9" w:rsidRPr="00766F21" w14:paraId="480B6DEC" w14:textId="77777777" w:rsidTr="005D61D9">
        <w:trPr>
          <w:trHeight w:val="301"/>
        </w:trPr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111E64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PR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79B80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547AE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111.8 ± 182.0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BB14F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47.4 ± 86.9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8DE808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-71.6 ± 14.9</w:t>
            </w:r>
          </w:p>
        </w:tc>
      </w:tr>
      <w:tr w:rsidR="005D61D9" w:rsidRPr="00766F21" w14:paraId="66ED5F97" w14:textId="77777777" w:rsidTr="005D61D9">
        <w:trPr>
          <w:trHeight w:val="301"/>
        </w:trPr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84C9AD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SD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9F4F8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7C95A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120.8 ± 157.3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453E5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90.3 ± 129.7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C335A3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-26.5 ± 15.0</w:t>
            </w:r>
          </w:p>
        </w:tc>
      </w:tr>
      <w:tr w:rsidR="005D61D9" w:rsidRPr="00766F21" w14:paraId="6F115E34" w14:textId="77777777" w:rsidTr="005D61D9">
        <w:trPr>
          <w:trHeight w:val="301"/>
        </w:trPr>
        <w:tc>
          <w:tcPr>
            <w:tcW w:w="19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791898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b/>
                <w:bCs/>
                <w:i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PD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B158E9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ACA661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651.2 ± 1106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77B8DF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1106.3 ± 1511.0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C107C" w14:textId="77777777" w:rsidR="005D61D9" w:rsidRPr="00766F21" w:rsidRDefault="005D61D9" w:rsidP="005D61D9">
            <w:pPr>
              <w:jc w:val="center"/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</w:pPr>
            <w:r w:rsidRPr="00766F21">
              <w:rPr>
                <w:rFonts w:ascii="Arial" w:eastAsia="Times New Roman" w:hAnsi="Arial" w:cs="Arial"/>
                <w:i/>
                <w:color w:val="000000"/>
                <w:kern w:val="0"/>
                <w:lang w:eastAsia="de-DE"/>
                <w14:ligatures w14:val="none"/>
              </w:rPr>
              <w:t>+59.0 ± 10.1</w:t>
            </w:r>
          </w:p>
        </w:tc>
      </w:tr>
    </w:tbl>
    <w:p w14:paraId="5DFE0063" w14:textId="77777777" w:rsidR="00970A23" w:rsidRPr="00766F21" w:rsidRDefault="00970A23" w:rsidP="005D61D9">
      <w:pPr>
        <w:spacing w:line="480" w:lineRule="auto"/>
        <w:jc w:val="both"/>
        <w:rPr>
          <w:rFonts w:ascii="Arial" w:hAnsi="Arial" w:cs="Arial"/>
        </w:rPr>
      </w:pPr>
    </w:p>
    <w:sectPr w:rsidR="00970A23" w:rsidRPr="00766F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972"/>
    <w:rsid w:val="00010C4D"/>
    <w:rsid w:val="000445FA"/>
    <w:rsid w:val="00173069"/>
    <w:rsid w:val="0019230B"/>
    <w:rsid w:val="0019619D"/>
    <w:rsid w:val="001F0ACB"/>
    <w:rsid w:val="0022071D"/>
    <w:rsid w:val="0034678B"/>
    <w:rsid w:val="003844AD"/>
    <w:rsid w:val="003E0AC8"/>
    <w:rsid w:val="00403F11"/>
    <w:rsid w:val="00542E95"/>
    <w:rsid w:val="005D61D9"/>
    <w:rsid w:val="00705C4B"/>
    <w:rsid w:val="00756D5F"/>
    <w:rsid w:val="00766F21"/>
    <w:rsid w:val="007F7AF3"/>
    <w:rsid w:val="0081422E"/>
    <w:rsid w:val="008C6801"/>
    <w:rsid w:val="00914D0C"/>
    <w:rsid w:val="00970A23"/>
    <w:rsid w:val="00B8157D"/>
    <w:rsid w:val="00BD695D"/>
    <w:rsid w:val="00D73079"/>
    <w:rsid w:val="00D87895"/>
    <w:rsid w:val="00DB782D"/>
    <w:rsid w:val="00DF6972"/>
    <w:rsid w:val="00E408F9"/>
    <w:rsid w:val="00E62AC1"/>
    <w:rsid w:val="00F0059E"/>
    <w:rsid w:val="00F420C9"/>
    <w:rsid w:val="00FD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4E287"/>
  <w15:chartTrackingRefBased/>
  <w15:docId w15:val="{1BFE2624-7AA3-4E08-A32A-F8D1A6E8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782D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3844A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844A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844AD"/>
    <w:rPr>
      <w:kern w:val="2"/>
      <w:sz w:val="20"/>
      <w:szCs w:val="20"/>
      <w14:ligatures w14:val="standardContextu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44A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44AD"/>
    <w:rPr>
      <w:b/>
      <w:bCs/>
      <w:kern w:val="2"/>
      <w:sz w:val="20"/>
      <w:szCs w:val="20"/>
      <w14:ligatures w14:val="standardContextual"/>
    </w:rPr>
  </w:style>
  <w:style w:type="character" w:styleId="Fett">
    <w:name w:val="Strong"/>
    <w:basedOn w:val="Absatz-Standardschriftart"/>
    <w:uiPriority w:val="22"/>
    <w:qFormat/>
    <w:rsid w:val="000445FA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C4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0C4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des Saarlandes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Schaefer, Andrea</dc:creator>
  <cp:keywords/>
  <dc:description/>
  <cp:lastModifiedBy>Arne Blickle</cp:lastModifiedBy>
  <cp:revision>4</cp:revision>
  <dcterms:created xsi:type="dcterms:W3CDTF">2026-08-06T11:00:00Z</dcterms:created>
  <dcterms:modified xsi:type="dcterms:W3CDTF">2026-08-12T07:48:00Z</dcterms:modified>
</cp:coreProperties>
</file>