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00275" w14:textId="77777777" w:rsidR="00D90954" w:rsidRDefault="00570A14" w:rsidP="00570A14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Ref26284344"/>
      <w:bookmarkStart w:id="1" w:name="_Toc29920095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Supplement to: </w:t>
      </w:r>
    </w:p>
    <w:p w14:paraId="352187CC" w14:textId="053F230B" w:rsidR="00570A14" w:rsidRPr="005F41BB" w:rsidRDefault="00570A14" w:rsidP="00570A1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2" w:name="_GoBack"/>
      <w:bookmarkEnd w:id="2"/>
      <w:r w:rsidRPr="005F41BB">
        <w:rPr>
          <w:rFonts w:ascii="Times New Roman" w:hAnsi="Times New Roman" w:cs="Times New Roman"/>
          <w:b/>
          <w:bCs/>
        </w:rPr>
        <w:t>Liver cT</w:t>
      </w:r>
      <w:r w:rsidRPr="005F41BB">
        <w:rPr>
          <w:rFonts w:ascii="Times New Roman" w:hAnsi="Times New Roman" w:cs="Times New Roman"/>
          <w:b/>
          <w:bCs/>
          <w:vertAlign w:val="subscript"/>
        </w:rPr>
        <w:t>1</w:t>
      </w:r>
      <w:r w:rsidRPr="005F41B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decreases </w:t>
      </w:r>
      <w:r w:rsidRPr="005F41BB">
        <w:rPr>
          <w:rFonts w:ascii="Times New Roman" w:hAnsi="Times New Roman" w:cs="Times New Roman"/>
          <w:b/>
          <w:bCs/>
        </w:rPr>
        <w:t>following direct acting antiviral therapy in patients with chronic hepatitis C virus.</w:t>
      </w:r>
    </w:p>
    <w:p w14:paraId="62636C02" w14:textId="127DEF75" w:rsidR="00570A14" w:rsidRDefault="00570A14" w:rsidP="00570A14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Arjun N. A. Jayaswal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Christina Levick</w:t>
      </w:r>
      <w:r>
        <w:rPr>
          <w:rFonts w:ascii="Times New Roman" w:hAnsi="Times New Roman" w:cs="Times New Roman"/>
          <w:vertAlign w:val="superscript"/>
        </w:rPr>
        <w:t>1</w:t>
      </w:r>
      <w:r w:rsidR="009539AE">
        <w:rPr>
          <w:rFonts w:ascii="Times New Roman" w:hAnsi="Times New Roman" w:cs="Times New Roman"/>
          <w:vertAlign w:val="superscript"/>
        </w:rPr>
        <w:t>,2</w:t>
      </w:r>
      <w:r>
        <w:rPr>
          <w:rFonts w:ascii="Times New Roman" w:hAnsi="Times New Roman" w:cs="Times New Roman"/>
        </w:rPr>
        <w:t>, Jane Collier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Elizabeth M. Tunnicliffe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Matthew D. Kelly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, Stefan Neubauer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Eleanor Barnes</w:t>
      </w:r>
      <w:r w:rsidR="009539AE" w:rsidRPr="009539AE">
        <w:rPr>
          <w:rFonts w:ascii="Times New Roman" w:hAnsi="Times New Roman" w:cs="Times New Roman"/>
          <w:vertAlign w:val="superscript"/>
        </w:rPr>
        <w:t>2,3,</w:t>
      </w:r>
      <w:r>
        <w:rPr>
          <w:rFonts w:ascii="Times New Roman" w:hAnsi="Times New Roman" w:cs="Times New Roman"/>
          <w:vertAlign w:val="superscript"/>
        </w:rPr>
        <w:t>5</w:t>
      </w:r>
      <w:r w:rsidR="00264BA0">
        <w:rPr>
          <w:rFonts w:ascii="Times New Roman" w:hAnsi="Times New Roman" w:cs="Times New Roman"/>
        </w:rPr>
        <w:t>¶</w:t>
      </w:r>
      <w:r>
        <w:rPr>
          <w:rFonts w:ascii="Times New Roman" w:hAnsi="Times New Roman" w:cs="Times New Roman"/>
        </w:rPr>
        <w:t>,</w:t>
      </w:r>
      <w:r w:rsidRPr="004C60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Michael Pavlides</w:t>
      </w:r>
      <w:r>
        <w:rPr>
          <w:rFonts w:ascii="Times New Roman" w:hAnsi="Times New Roman" w:cs="Times New Roman"/>
          <w:vertAlign w:val="superscript"/>
        </w:rPr>
        <w:t>1,2,3</w:t>
      </w:r>
      <w:r>
        <w:rPr>
          <w:rFonts w:ascii="Times New Roman" w:hAnsi="Times New Roman" w:cs="Times New Roman"/>
        </w:rPr>
        <w:t>*</w:t>
      </w:r>
      <w:r w:rsidR="00264BA0">
        <w:rPr>
          <w:rFonts w:ascii="Times New Roman" w:hAnsi="Times New Roman" w:cs="Times New Roman"/>
        </w:rPr>
        <w:t>¶</w:t>
      </w:r>
      <w:r>
        <w:rPr>
          <w:rFonts w:ascii="Times New Roman" w:hAnsi="Times New Roman" w:cs="Times New Roman"/>
        </w:rPr>
        <w:t>.</w:t>
      </w:r>
    </w:p>
    <w:p w14:paraId="4A097AD1" w14:textId="77777777" w:rsidR="00CB5C84" w:rsidRDefault="00CB5C84" w:rsidP="00CB5C8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Oxford Centre for Clinical Magnetic Resonance Research, Division of Cardiovascular Medicine, Radcliffe Department of Medicine, University of Oxford, Oxford, UK.</w:t>
      </w:r>
    </w:p>
    <w:p w14:paraId="68B97EF6" w14:textId="77777777" w:rsidR="00CB5C84" w:rsidRDefault="00CB5C84" w:rsidP="00CB5C8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Translational Gastroenterology Unit, University of Oxford, Oxford, UK</w:t>
      </w:r>
    </w:p>
    <w:p w14:paraId="2F4897CF" w14:textId="77777777" w:rsidR="00CB5C84" w:rsidRDefault="00CB5C84" w:rsidP="00CB5C8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Oxford NIHR Biomedical Research Centre, Oxford, UK</w:t>
      </w:r>
    </w:p>
    <w:p w14:paraId="0EF49E05" w14:textId="77777777" w:rsidR="00CB5C84" w:rsidRDefault="00CB5C84" w:rsidP="00CB5C8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Perspectum Ltd, Oxford, UK</w:t>
      </w:r>
    </w:p>
    <w:p w14:paraId="595ED3AC" w14:textId="77777777" w:rsidR="00CB5C84" w:rsidRDefault="00CB5C84" w:rsidP="00CB5C8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Peter Medawar Building for Pathogen Research, University of Oxford, UK</w:t>
      </w:r>
    </w:p>
    <w:p w14:paraId="25EB4D9F" w14:textId="77777777" w:rsidR="00CB5C84" w:rsidRDefault="00CB5C84" w:rsidP="00CB5C84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¶ Joint senior Author.</w:t>
      </w:r>
    </w:p>
    <w:p w14:paraId="4F0D81F6" w14:textId="77777777" w:rsidR="00CB5C84" w:rsidRDefault="00CB5C84" w:rsidP="00CB5C84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FE0F95">
        <w:rPr>
          <w:rFonts w:ascii="Times New Roman" w:hAnsi="Times New Roman" w:cs="Times New Roman"/>
        </w:rPr>
        <w:t>Corresponding author</w:t>
      </w:r>
      <w:r>
        <w:rPr>
          <w:rFonts w:ascii="Times New Roman" w:hAnsi="Times New Roman" w:cs="Times New Roman"/>
        </w:rPr>
        <w:t xml:space="preserve">. </w:t>
      </w:r>
    </w:p>
    <w:p w14:paraId="543F92DB" w14:textId="77777777" w:rsidR="00CB5C84" w:rsidRPr="00FE0F95" w:rsidRDefault="00CB5C84" w:rsidP="00CB5C84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FE0F95">
        <w:rPr>
          <w:rFonts w:ascii="Times New Roman" w:hAnsi="Times New Roman" w:cs="Times New Roman"/>
        </w:rPr>
        <w:t>email</w:t>
      </w:r>
      <w:proofErr w:type="gramEnd"/>
      <w:r w:rsidRPr="00FE0F95">
        <w:rPr>
          <w:rFonts w:ascii="Times New Roman" w:hAnsi="Times New Roman" w:cs="Times New Roman"/>
        </w:rPr>
        <w:t xml:space="preserve">: </w:t>
      </w:r>
      <w:hyperlink r:id="rId10" w:history="1">
        <w:r w:rsidRPr="00FE0F95">
          <w:rPr>
            <w:rStyle w:val="Hyperlink"/>
          </w:rPr>
          <w:t>michael.pavlides@cardiov.ox.ac.uk</w:t>
        </w:r>
      </w:hyperlink>
      <w:r w:rsidRPr="00FE0F95">
        <w:rPr>
          <w:rFonts w:ascii="Times New Roman" w:hAnsi="Times New Roman" w:cs="Times New Roman"/>
        </w:rPr>
        <w:t xml:space="preserve"> . </w:t>
      </w:r>
    </w:p>
    <w:p w14:paraId="045820E4" w14:textId="77777777" w:rsidR="00CB5C84" w:rsidRDefault="00CB5C84" w:rsidP="00570A14">
      <w:pPr>
        <w:spacing w:line="480" w:lineRule="auto"/>
        <w:jc w:val="both"/>
        <w:rPr>
          <w:rFonts w:ascii="Times New Roman" w:hAnsi="Times New Roman" w:cs="Times New Roman"/>
        </w:rPr>
      </w:pPr>
    </w:p>
    <w:p w14:paraId="1A10370C" w14:textId="7A1A35D5" w:rsidR="00570A14" w:rsidRDefault="00570A14" w:rsidP="006235D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570A1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Tables</w:t>
      </w:r>
    </w:p>
    <w:p w14:paraId="37CE72B7" w14:textId="4686ADF2" w:rsidR="00B17338" w:rsidRDefault="00B17338" w:rsidP="00B17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4B7C0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1 – Individual baseline patient characteristics and self-reported alcohol consumption at each study visit</w:t>
      </w:r>
      <w:r w:rsidR="004B7C03">
        <w:rPr>
          <w:rFonts w:ascii="Times New Roman" w:hAnsi="Times New Roman" w:cs="Times New Roman"/>
        </w:rPr>
        <w:t xml:space="preserve"> …</w:t>
      </w:r>
      <w:proofErr w:type="gramStart"/>
      <w:r w:rsidR="004B7C03">
        <w:rPr>
          <w:rFonts w:ascii="Times New Roman" w:hAnsi="Times New Roman" w:cs="Times New Roman"/>
        </w:rPr>
        <w:t xml:space="preserve">…  </w:t>
      </w:r>
      <w:r w:rsidR="009539AE">
        <w:rPr>
          <w:rFonts w:ascii="Times New Roman" w:hAnsi="Times New Roman" w:cs="Times New Roman"/>
        </w:rPr>
        <w:t>2</w:t>
      </w:r>
      <w:proofErr w:type="gramEnd"/>
    </w:p>
    <w:p w14:paraId="4CD177C0" w14:textId="4F873A31" w:rsidR="00570A14" w:rsidRDefault="00570A14" w:rsidP="00570A14">
      <w:pPr>
        <w:rPr>
          <w:rFonts w:ascii="Times New Roman" w:hAnsi="Times New Roman" w:cs="Times New Roman"/>
          <w:b/>
          <w:bCs/>
        </w:rPr>
      </w:pPr>
      <w:r w:rsidRPr="00570A14">
        <w:rPr>
          <w:rFonts w:ascii="Times New Roman" w:hAnsi="Times New Roman" w:cs="Times New Roman"/>
          <w:b/>
          <w:bCs/>
        </w:rPr>
        <w:t>Figures</w:t>
      </w:r>
    </w:p>
    <w:p w14:paraId="11D04A76" w14:textId="265320F6" w:rsidR="00B17338" w:rsidRDefault="00B17338" w:rsidP="00570A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4B7C0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1 – Liver cT</w:t>
      </w:r>
      <w:r w:rsidRPr="004B7C03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vs transient elastography (TE)</w:t>
      </w:r>
      <w:r w:rsidR="004B7C03">
        <w:rPr>
          <w:rFonts w:ascii="Times New Roman" w:hAnsi="Times New Roman" w:cs="Times New Roman"/>
        </w:rPr>
        <w:t xml:space="preserve"> ………………………………………………………………….. </w:t>
      </w:r>
      <w:r w:rsidR="009539AE">
        <w:rPr>
          <w:rFonts w:ascii="Times New Roman" w:hAnsi="Times New Roman" w:cs="Times New Roman"/>
        </w:rPr>
        <w:t>3</w:t>
      </w:r>
    </w:p>
    <w:p w14:paraId="0DF39DE8" w14:textId="04DE9185" w:rsidR="00570A14" w:rsidRDefault="00570A14" w:rsidP="00570A14"/>
    <w:p w14:paraId="11FC0C5A" w14:textId="671A4570" w:rsidR="00B7073D" w:rsidRPr="0078077B" w:rsidRDefault="000D3F2E">
      <w:pPr>
        <w:spacing w:after="0" w:line="240" w:lineRule="auto"/>
      </w:pPr>
      <w:r>
        <w:br w:type="page"/>
      </w:r>
    </w:p>
    <w:p w14:paraId="4BFB4F6A" w14:textId="4C2F99F7" w:rsidR="006235DA" w:rsidRPr="00DA3AA1" w:rsidRDefault="006235DA" w:rsidP="006235D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DA3AA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</w:t>
      </w:r>
      <w:bookmarkEnd w:id="0"/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B7073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1</w:t>
      </w:r>
      <w:r w:rsidRPr="00DA3AA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: Individual baseline patient characteristics and self-reported alcohol consumption at each study visit</w:t>
      </w:r>
      <w:bookmarkEnd w:id="1"/>
    </w:p>
    <w:tbl>
      <w:tblPr>
        <w:tblStyle w:val="TableGrid"/>
        <w:tblpPr w:leftFromText="180" w:rightFromText="180" w:vertAnchor="text" w:tblpY="103"/>
        <w:tblW w:w="10456" w:type="dxa"/>
        <w:tblLook w:val="04A0" w:firstRow="1" w:lastRow="0" w:firstColumn="1" w:lastColumn="0" w:noHBand="0" w:noVBand="1"/>
      </w:tblPr>
      <w:tblGrid>
        <w:gridCol w:w="514"/>
        <w:gridCol w:w="896"/>
        <w:gridCol w:w="558"/>
        <w:gridCol w:w="896"/>
        <w:gridCol w:w="558"/>
        <w:gridCol w:w="558"/>
        <w:gridCol w:w="558"/>
        <w:gridCol w:w="558"/>
        <w:gridCol w:w="896"/>
        <w:gridCol w:w="558"/>
        <w:gridCol w:w="558"/>
        <w:gridCol w:w="558"/>
        <w:gridCol w:w="558"/>
        <w:gridCol w:w="558"/>
        <w:gridCol w:w="558"/>
        <w:gridCol w:w="558"/>
        <w:gridCol w:w="558"/>
      </w:tblGrid>
      <w:tr w:rsidR="006235DA" w:rsidRPr="00DA3AA1" w14:paraId="21E9ABB1" w14:textId="77777777" w:rsidTr="00591106">
        <w:trPr>
          <w:cantSplit/>
          <w:trHeight w:val="1815"/>
        </w:trPr>
        <w:tc>
          <w:tcPr>
            <w:tcW w:w="1231" w:type="dxa"/>
            <w:gridSpan w:val="2"/>
            <w:textDirection w:val="btLr"/>
          </w:tcPr>
          <w:p w14:paraId="0322820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>Baseline decompensation</w:t>
            </w:r>
          </w:p>
        </w:tc>
        <w:tc>
          <w:tcPr>
            <w:tcW w:w="615" w:type="dxa"/>
            <w:textDirection w:val="btLr"/>
          </w:tcPr>
          <w:p w14:paraId="5DE23AC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0" w:type="dxa"/>
            <w:textDirection w:val="btLr"/>
          </w:tcPr>
          <w:p w14:paraId="4AF6AD88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50" w:type="dxa"/>
            <w:textDirection w:val="btLr"/>
          </w:tcPr>
          <w:p w14:paraId="746C09D4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6FC1F888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Yes (HCC)</w:t>
            </w:r>
          </w:p>
        </w:tc>
        <w:tc>
          <w:tcPr>
            <w:tcW w:w="615" w:type="dxa"/>
            <w:textDirection w:val="btLr"/>
          </w:tcPr>
          <w:p w14:paraId="7F68769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659B2C97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Yes (ascites)</w:t>
            </w:r>
          </w:p>
        </w:tc>
        <w:tc>
          <w:tcPr>
            <w:tcW w:w="615" w:type="dxa"/>
            <w:textDirection w:val="btLr"/>
          </w:tcPr>
          <w:p w14:paraId="0D0A88AE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682A3D4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377E6E64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085DCDBF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11AABC9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5E114957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583764B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601EF58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Yes (ascites)</w:t>
            </w:r>
          </w:p>
        </w:tc>
        <w:tc>
          <w:tcPr>
            <w:tcW w:w="615" w:type="dxa"/>
            <w:textDirection w:val="btLr"/>
          </w:tcPr>
          <w:p w14:paraId="1EBF09D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</w:tr>
      <w:tr w:rsidR="006235DA" w:rsidRPr="00DA3AA1" w14:paraId="515013E5" w14:textId="77777777" w:rsidTr="00591106">
        <w:trPr>
          <w:cantSplit/>
          <w:trHeight w:val="1108"/>
        </w:trPr>
        <w:tc>
          <w:tcPr>
            <w:tcW w:w="1231" w:type="dxa"/>
            <w:gridSpan w:val="2"/>
            <w:textDirection w:val="btLr"/>
          </w:tcPr>
          <w:p w14:paraId="1C6C615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>Baseline cirrhosis</w:t>
            </w:r>
          </w:p>
        </w:tc>
        <w:tc>
          <w:tcPr>
            <w:tcW w:w="615" w:type="dxa"/>
            <w:textDirection w:val="btLr"/>
          </w:tcPr>
          <w:p w14:paraId="04DE4D3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0" w:type="dxa"/>
            <w:textDirection w:val="btLr"/>
          </w:tcPr>
          <w:p w14:paraId="5F4553A7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50" w:type="dxa"/>
            <w:textDirection w:val="btLr"/>
          </w:tcPr>
          <w:p w14:paraId="01A7269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15" w:type="dxa"/>
            <w:textDirection w:val="btLr"/>
          </w:tcPr>
          <w:p w14:paraId="0480C23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15" w:type="dxa"/>
            <w:textDirection w:val="btLr"/>
          </w:tcPr>
          <w:p w14:paraId="5AA8149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7D2A00C8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15" w:type="dxa"/>
            <w:textDirection w:val="btLr"/>
          </w:tcPr>
          <w:p w14:paraId="4F6CEE2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20F8D417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04ED373F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1B6D2AE7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15" w:type="dxa"/>
            <w:textDirection w:val="btLr"/>
          </w:tcPr>
          <w:p w14:paraId="4613B08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7C68890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515EBFA4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15" w:type="dxa"/>
            <w:textDirection w:val="btLr"/>
          </w:tcPr>
          <w:p w14:paraId="3AEAE39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15" w:type="dxa"/>
            <w:textDirection w:val="btLr"/>
          </w:tcPr>
          <w:p w14:paraId="602A496F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No</w:t>
            </w:r>
          </w:p>
        </w:tc>
      </w:tr>
      <w:tr w:rsidR="006235DA" w:rsidRPr="00DA3AA1" w14:paraId="37E3090F" w14:textId="77777777" w:rsidTr="00591106">
        <w:trPr>
          <w:trHeight w:val="1062"/>
        </w:trPr>
        <w:tc>
          <w:tcPr>
            <w:tcW w:w="616" w:type="dxa"/>
            <w:vMerge w:val="restart"/>
            <w:textDirection w:val="btLr"/>
          </w:tcPr>
          <w:p w14:paraId="0818199A" w14:textId="1151DC6F" w:rsidR="006235DA" w:rsidRPr="003D592A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3D592A">
              <w:rPr>
                <w:rFonts w:ascii="Times New Roman" w:hAnsi="Times New Roman" w:cs="Times New Roman"/>
                <w:b/>
                <w:bCs/>
                <w:sz w:val="18"/>
              </w:rPr>
              <w:t>Alcohol consumption</w:t>
            </w:r>
            <w:r w:rsidR="003D592A" w:rsidRPr="003D592A">
              <w:rPr>
                <w:rFonts w:ascii="Times New Roman" w:hAnsi="Times New Roman" w:cs="Times New Roman"/>
                <w:b/>
                <w:bCs/>
                <w:sz w:val="18"/>
              </w:rPr>
              <w:t xml:space="preserve"> (units/week)</w:t>
            </w:r>
          </w:p>
        </w:tc>
        <w:tc>
          <w:tcPr>
            <w:tcW w:w="615" w:type="dxa"/>
            <w:textDirection w:val="btLr"/>
          </w:tcPr>
          <w:p w14:paraId="1F9AE18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>48</w:t>
            </w:r>
          </w:p>
          <w:p w14:paraId="13CA641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 xml:space="preserve"> weeks</w:t>
            </w:r>
          </w:p>
        </w:tc>
        <w:tc>
          <w:tcPr>
            <w:tcW w:w="615" w:type="dxa"/>
            <w:textDirection w:val="btLr"/>
          </w:tcPr>
          <w:p w14:paraId="566F7A3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extDirection w:val="btLr"/>
          </w:tcPr>
          <w:p w14:paraId="0DB1378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50" w:type="dxa"/>
            <w:textDirection w:val="btLr"/>
          </w:tcPr>
          <w:p w14:paraId="62AAEBF6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5" w:type="dxa"/>
            <w:textDirection w:val="btLr"/>
          </w:tcPr>
          <w:p w14:paraId="522B1AA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5AA9594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2DD3850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26A38E9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5" w:type="dxa"/>
            <w:textDirection w:val="btLr"/>
          </w:tcPr>
          <w:p w14:paraId="6BA265B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5025DB8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5" w:type="dxa"/>
            <w:textDirection w:val="btLr"/>
          </w:tcPr>
          <w:p w14:paraId="57648C9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47731516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24FCD3B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615" w:type="dxa"/>
            <w:textDirection w:val="btLr"/>
          </w:tcPr>
          <w:p w14:paraId="125314CF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5" w:type="dxa"/>
            <w:textDirection w:val="btLr"/>
          </w:tcPr>
          <w:p w14:paraId="1852104F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15" w:type="dxa"/>
            <w:textDirection w:val="btLr"/>
          </w:tcPr>
          <w:p w14:paraId="1F4868A3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28</w:t>
            </w:r>
          </w:p>
        </w:tc>
      </w:tr>
      <w:tr w:rsidR="006235DA" w:rsidRPr="00DA3AA1" w14:paraId="5574E107" w14:textId="77777777" w:rsidTr="00591106">
        <w:trPr>
          <w:trHeight w:val="882"/>
        </w:trPr>
        <w:tc>
          <w:tcPr>
            <w:tcW w:w="616" w:type="dxa"/>
            <w:vMerge/>
            <w:textDirection w:val="btLr"/>
          </w:tcPr>
          <w:p w14:paraId="1BDF681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5" w:type="dxa"/>
            <w:textDirection w:val="btLr"/>
          </w:tcPr>
          <w:p w14:paraId="64A99D9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>24 weeks</w:t>
            </w:r>
          </w:p>
        </w:tc>
        <w:tc>
          <w:tcPr>
            <w:tcW w:w="615" w:type="dxa"/>
            <w:textDirection w:val="btLr"/>
          </w:tcPr>
          <w:p w14:paraId="5A1066A7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extDirection w:val="btLr"/>
          </w:tcPr>
          <w:p w14:paraId="423EED9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50" w:type="dxa"/>
            <w:textDirection w:val="btLr"/>
          </w:tcPr>
          <w:p w14:paraId="032E4474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5" w:type="dxa"/>
            <w:textDirection w:val="btLr"/>
          </w:tcPr>
          <w:p w14:paraId="2104D44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514FB1B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79615367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25C990C7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40C3ED9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377ECF1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5" w:type="dxa"/>
            <w:textDirection w:val="btLr"/>
          </w:tcPr>
          <w:p w14:paraId="16DC5EC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1F2CF0EE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1A239EE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15" w:type="dxa"/>
            <w:textDirection w:val="btLr"/>
          </w:tcPr>
          <w:p w14:paraId="6392A4A1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5" w:type="dxa"/>
            <w:textDirection w:val="btLr"/>
          </w:tcPr>
          <w:p w14:paraId="0BC2A99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15" w:type="dxa"/>
            <w:textDirection w:val="btLr"/>
          </w:tcPr>
          <w:p w14:paraId="45F14F1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30</w:t>
            </w:r>
          </w:p>
        </w:tc>
      </w:tr>
      <w:tr w:rsidR="006235DA" w:rsidRPr="00DA3AA1" w14:paraId="2A7225A3" w14:textId="77777777" w:rsidTr="00591106">
        <w:trPr>
          <w:trHeight w:val="1046"/>
        </w:trPr>
        <w:tc>
          <w:tcPr>
            <w:tcW w:w="616" w:type="dxa"/>
            <w:vMerge/>
            <w:textDirection w:val="btLr"/>
          </w:tcPr>
          <w:p w14:paraId="7FE9AD0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5" w:type="dxa"/>
            <w:textDirection w:val="btLr"/>
          </w:tcPr>
          <w:p w14:paraId="42A08797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>Baseline</w:t>
            </w:r>
          </w:p>
        </w:tc>
        <w:tc>
          <w:tcPr>
            <w:tcW w:w="615" w:type="dxa"/>
            <w:textDirection w:val="btLr"/>
          </w:tcPr>
          <w:p w14:paraId="237E8AC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extDirection w:val="btLr"/>
          </w:tcPr>
          <w:p w14:paraId="489F468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50" w:type="dxa"/>
            <w:textDirection w:val="btLr"/>
          </w:tcPr>
          <w:p w14:paraId="21621033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5" w:type="dxa"/>
            <w:textDirection w:val="btLr"/>
          </w:tcPr>
          <w:p w14:paraId="4A1435D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0463481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6FD2386E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6ECBC121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19BD01D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02FCF39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5" w:type="dxa"/>
            <w:textDirection w:val="btLr"/>
          </w:tcPr>
          <w:p w14:paraId="3D18E6AE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7F56755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textDirection w:val="btLr"/>
          </w:tcPr>
          <w:p w14:paraId="32E1143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615" w:type="dxa"/>
            <w:textDirection w:val="btLr"/>
          </w:tcPr>
          <w:p w14:paraId="7FD1CBC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5" w:type="dxa"/>
            <w:textDirection w:val="btLr"/>
          </w:tcPr>
          <w:p w14:paraId="2E82D7C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615" w:type="dxa"/>
            <w:textDirection w:val="btLr"/>
          </w:tcPr>
          <w:p w14:paraId="6C9BA768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32</w:t>
            </w:r>
          </w:p>
        </w:tc>
      </w:tr>
      <w:tr w:rsidR="006235DA" w:rsidRPr="00DA3AA1" w14:paraId="51FBE0B4" w14:textId="77777777" w:rsidTr="00525E77">
        <w:trPr>
          <w:cantSplit/>
          <w:trHeight w:val="691"/>
        </w:trPr>
        <w:tc>
          <w:tcPr>
            <w:tcW w:w="1231" w:type="dxa"/>
            <w:gridSpan w:val="2"/>
            <w:textDirection w:val="btLr"/>
          </w:tcPr>
          <w:p w14:paraId="781AA49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>BMI</w:t>
            </w:r>
          </w:p>
        </w:tc>
        <w:tc>
          <w:tcPr>
            <w:tcW w:w="615" w:type="dxa"/>
            <w:textDirection w:val="btLr"/>
          </w:tcPr>
          <w:p w14:paraId="3128646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980" w:type="dxa"/>
            <w:textDirection w:val="btLr"/>
          </w:tcPr>
          <w:p w14:paraId="759FDA71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18.9</w:t>
            </w:r>
          </w:p>
        </w:tc>
        <w:tc>
          <w:tcPr>
            <w:tcW w:w="250" w:type="dxa"/>
            <w:textDirection w:val="btLr"/>
          </w:tcPr>
          <w:p w14:paraId="108C0EE6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15" w:type="dxa"/>
            <w:textDirection w:val="btLr"/>
          </w:tcPr>
          <w:p w14:paraId="68244C1E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615" w:type="dxa"/>
            <w:textDirection w:val="btLr"/>
          </w:tcPr>
          <w:p w14:paraId="53890E7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24.8</w:t>
            </w:r>
          </w:p>
        </w:tc>
        <w:tc>
          <w:tcPr>
            <w:tcW w:w="615" w:type="dxa"/>
            <w:textDirection w:val="btLr"/>
          </w:tcPr>
          <w:p w14:paraId="4BFBBBF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27.0</w:t>
            </w:r>
          </w:p>
        </w:tc>
        <w:tc>
          <w:tcPr>
            <w:tcW w:w="615" w:type="dxa"/>
            <w:textDirection w:val="btLr"/>
          </w:tcPr>
          <w:p w14:paraId="13671EC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615" w:type="dxa"/>
            <w:textDirection w:val="btLr"/>
          </w:tcPr>
          <w:p w14:paraId="761420D6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24.9</w:t>
            </w:r>
          </w:p>
        </w:tc>
        <w:tc>
          <w:tcPr>
            <w:tcW w:w="615" w:type="dxa"/>
            <w:textDirection w:val="btLr"/>
          </w:tcPr>
          <w:p w14:paraId="7D3CB79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23.9</w:t>
            </w:r>
          </w:p>
        </w:tc>
        <w:tc>
          <w:tcPr>
            <w:tcW w:w="615" w:type="dxa"/>
            <w:textDirection w:val="btLr"/>
          </w:tcPr>
          <w:p w14:paraId="1D5AF90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32.1</w:t>
            </w:r>
          </w:p>
        </w:tc>
        <w:tc>
          <w:tcPr>
            <w:tcW w:w="615" w:type="dxa"/>
            <w:textDirection w:val="btLr"/>
          </w:tcPr>
          <w:p w14:paraId="4610B37F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15" w:type="dxa"/>
            <w:textDirection w:val="btLr"/>
          </w:tcPr>
          <w:p w14:paraId="09C2F831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615" w:type="dxa"/>
            <w:textDirection w:val="btLr"/>
          </w:tcPr>
          <w:p w14:paraId="17B8163E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615" w:type="dxa"/>
            <w:textDirection w:val="btLr"/>
          </w:tcPr>
          <w:p w14:paraId="0C3A02F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25.7</w:t>
            </w:r>
          </w:p>
        </w:tc>
        <w:tc>
          <w:tcPr>
            <w:tcW w:w="615" w:type="dxa"/>
            <w:textDirection w:val="btLr"/>
          </w:tcPr>
          <w:p w14:paraId="2890B1A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41.5</w:t>
            </w:r>
          </w:p>
        </w:tc>
      </w:tr>
      <w:tr w:rsidR="006235DA" w:rsidRPr="00DA3AA1" w14:paraId="097FF5E1" w14:textId="77777777" w:rsidTr="00591106">
        <w:trPr>
          <w:cantSplit/>
          <w:trHeight w:val="599"/>
        </w:trPr>
        <w:tc>
          <w:tcPr>
            <w:tcW w:w="1231" w:type="dxa"/>
            <w:gridSpan w:val="2"/>
            <w:textDirection w:val="btLr"/>
          </w:tcPr>
          <w:p w14:paraId="46E84A7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615" w:type="dxa"/>
            <w:textDirection w:val="btLr"/>
          </w:tcPr>
          <w:p w14:paraId="587D4803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80" w:type="dxa"/>
            <w:textDirection w:val="btLr"/>
          </w:tcPr>
          <w:p w14:paraId="59408F4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50" w:type="dxa"/>
            <w:textDirection w:val="btLr"/>
          </w:tcPr>
          <w:p w14:paraId="1CC6729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15" w:type="dxa"/>
            <w:textDirection w:val="btLr"/>
          </w:tcPr>
          <w:p w14:paraId="0427AB4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15" w:type="dxa"/>
            <w:textDirection w:val="btLr"/>
          </w:tcPr>
          <w:p w14:paraId="00E1BBA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15" w:type="dxa"/>
            <w:textDirection w:val="btLr"/>
          </w:tcPr>
          <w:p w14:paraId="6EE7A8E3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15" w:type="dxa"/>
            <w:textDirection w:val="btLr"/>
          </w:tcPr>
          <w:p w14:paraId="4846FC6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15" w:type="dxa"/>
            <w:textDirection w:val="btLr"/>
          </w:tcPr>
          <w:p w14:paraId="664E156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15" w:type="dxa"/>
            <w:textDirection w:val="btLr"/>
          </w:tcPr>
          <w:p w14:paraId="5C97A7F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15" w:type="dxa"/>
            <w:textDirection w:val="btLr"/>
          </w:tcPr>
          <w:p w14:paraId="4112CA1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15" w:type="dxa"/>
            <w:textDirection w:val="btLr"/>
          </w:tcPr>
          <w:p w14:paraId="08E02376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15" w:type="dxa"/>
            <w:textDirection w:val="btLr"/>
          </w:tcPr>
          <w:p w14:paraId="19BD1B7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15" w:type="dxa"/>
            <w:textDirection w:val="btLr"/>
          </w:tcPr>
          <w:p w14:paraId="06D29306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15" w:type="dxa"/>
            <w:textDirection w:val="btLr"/>
          </w:tcPr>
          <w:p w14:paraId="575EFFE8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15" w:type="dxa"/>
            <w:textDirection w:val="btLr"/>
          </w:tcPr>
          <w:p w14:paraId="728C3FFE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M</w:t>
            </w:r>
          </w:p>
        </w:tc>
      </w:tr>
      <w:tr w:rsidR="006235DA" w:rsidRPr="00DA3AA1" w14:paraId="3827A74C" w14:textId="77777777" w:rsidTr="00591106">
        <w:trPr>
          <w:cantSplit/>
          <w:trHeight w:val="744"/>
        </w:trPr>
        <w:tc>
          <w:tcPr>
            <w:tcW w:w="1231" w:type="dxa"/>
            <w:gridSpan w:val="2"/>
            <w:textDirection w:val="btLr"/>
          </w:tcPr>
          <w:p w14:paraId="0D085CEF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615" w:type="dxa"/>
            <w:textDirection w:val="btLr"/>
          </w:tcPr>
          <w:p w14:paraId="14E1E60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0" w:type="dxa"/>
            <w:textDirection w:val="btLr"/>
          </w:tcPr>
          <w:p w14:paraId="3942BD5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0" w:type="dxa"/>
            <w:textDirection w:val="btLr"/>
          </w:tcPr>
          <w:p w14:paraId="5067674F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15" w:type="dxa"/>
            <w:textDirection w:val="btLr"/>
          </w:tcPr>
          <w:p w14:paraId="29F32954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15" w:type="dxa"/>
            <w:textDirection w:val="btLr"/>
          </w:tcPr>
          <w:p w14:paraId="7085370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15" w:type="dxa"/>
            <w:textDirection w:val="btLr"/>
          </w:tcPr>
          <w:p w14:paraId="419C2A1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15" w:type="dxa"/>
            <w:textDirection w:val="btLr"/>
          </w:tcPr>
          <w:p w14:paraId="1F083AAF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15" w:type="dxa"/>
            <w:textDirection w:val="btLr"/>
          </w:tcPr>
          <w:p w14:paraId="19BFFC21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15" w:type="dxa"/>
            <w:textDirection w:val="btLr"/>
          </w:tcPr>
          <w:p w14:paraId="75384C6F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15" w:type="dxa"/>
            <w:textDirection w:val="btLr"/>
          </w:tcPr>
          <w:p w14:paraId="0BD9455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15" w:type="dxa"/>
            <w:textDirection w:val="btLr"/>
          </w:tcPr>
          <w:p w14:paraId="2946271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15" w:type="dxa"/>
            <w:textDirection w:val="btLr"/>
          </w:tcPr>
          <w:p w14:paraId="0356B3A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15" w:type="dxa"/>
            <w:textDirection w:val="btLr"/>
          </w:tcPr>
          <w:p w14:paraId="3037427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5" w:type="dxa"/>
            <w:textDirection w:val="btLr"/>
          </w:tcPr>
          <w:p w14:paraId="52FDDAE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15" w:type="dxa"/>
            <w:textDirection w:val="btLr"/>
          </w:tcPr>
          <w:p w14:paraId="6FC3733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52</w:t>
            </w:r>
          </w:p>
        </w:tc>
      </w:tr>
      <w:tr w:rsidR="006235DA" w:rsidRPr="00DA3AA1" w14:paraId="28DA0EB2" w14:textId="77777777" w:rsidTr="00525E77">
        <w:trPr>
          <w:cantSplit/>
          <w:trHeight w:val="1513"/>
        </w:trPr>
        <w:tc>
          <w:tcPr>
            <w:tcW w:w="1231" w:type="dxa"/>
            <w:gridSpan w:val="2"/>
            <w:textDirection w:val="btLr"/>
          </w:tcPr>
          <w:p w14:paraId="6449EFF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>Treatment duration (weeks)</w:t>
            </w:r>
          </w:p>
        </w:tc>
        <w:tc>
          <w:tcPr>
            <w:tcW w:w="615" w:type="dxa"/>
            <w:textDirection w:val="btLr"/>
          </w:tcPr>
          <w:p w14:paraId="0386C88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0" w:type="dxa"/>
            <w:textDirection w:val="btLr"/>
          </w:tcPr>
          <w:p w14:paraId="64C7533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0" w:type="dxa"/>
            <w:textDirection w:val="btLr"/>
          </w:tcPr>
          <w:p w14:paraId="4DD0F21F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5" w:type="dxa"/>
            <w:textDirection w:val="btLr"/>
          </w:tcPr>
          <w:p w14:paraId="63E57A7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5" w:type="dxa"/>
            <w:textDirection w:val="btLr"/>
          </w:tcPr>
          <w:p w14:paraId="7598BE1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5" w:type="dxa"/>
            <w:textDirection w:val="btLr"/>
          </w:tcPr>
          <w:p w14:paraId="7FC23AE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5" w:type="dxa"/>
            <w:textDirection w:val="btLr"/>
          </w:tcPr>
          <w:p w14:paraId="595B483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5" w:type="dxa"/>
            <w:textDirection w:val="btLr"/>
          </w:tcPr>
          <w:p w14:paraId="1DEEA07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5" w:type="dxa"/>
            <w:textDirection w:val="btLr"/>
          </w:tcPr>
          <w:p w14:paraId="668F4621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5" w:type="dxa"/>
            <w:textDirection w:val="btLr"/>
          </w:tcPr>
          <w:p w14:paraId="218249B7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5" w:type="dxa"/>
            <w:textDirection w:val="btLr"/>
          </w:tcPr>
          <w:p w14:paraId="1E52B046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5" w:type="dxa"/>
            <w:textDirection w:val="btLr"/>
          </w:tcPr>
          <w:p w14:paraId="65412925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5" w:type="dxa"/>
            <w:textDirection w:val="btLr"/>
          </w:tcPr>
          <w:p w14:paraId="0FD467B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5" w:type="dxa"/>
            <w:textDirection w:val="btLr"/>
          </w:tcPr>
          <w:p w14:paraId="629C2B0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15" w:type="dxa"/>
            <w:textDirection w:val="btLr"/>
          </w:tcPr>
          <w:p w14:paraId="1C2A967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12</w:t>
            </w:r>
          </w:p>
        </w:tc>
      </w:tr>
      <w:tr w:rsidR="006235DA" w:rsidRPr="00DA3AA1" w14:paraId="5510F387" w14:textId="77777777" w:rsidTr="00525E77">
        <w:trPr>
          <w:cantSplit/>
          <w:trHeight w:val="1348"/>
        </w:trPr>
        <w:tc>
          <w:tcPr>
            <w:tcW w:w="1231" w:type="dxa"/>
            <w:gridSpan w:val="2"/>
            <w:textDirection w:val="btLr"/>
          </w:tcPr>
          <w:p w14:paraId="50728B7E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>HCV genotype</w:t>
            </w:r>
          </w:p>
        </w:tc>
        <w:tc>
          <w:tcPr>
            <w:tcW w:w="615" w:type="dxa"/>
            <w:textDirection w:val="btLr"/>
          </w:tcPr>
          <w:p w14:paraId="555E4FE4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  <w:textDirection w:val="btLr"/>
          </w:tcPr>
          <w:p w14:paraId="1E2BC5FB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" w:type="dxa"/>
            <w:textDirection w:val="btLr"/>
          </w:tcPr>
          <w:p w14:paraId="1056F418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extDirection w:val="btLr"/>
          </w:tcPr>
          <w:p w14:paraId="72DF024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extDirection w:val="btLr"/>
          </w:tcPr>
          <w:p w14:paraId="706640A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dxa"/>
            <w:textDirection w:val="btLr"/>
          </w:tcPr>
          <w:p w14:paraId="1DCBBDD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" w:type="dxa"/>
            <w:textDirection w:val="btLr"/>
          </w:tcPr>
          <w:p w14:paraId="2C3F5D64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extDirection w:val="btLr"/>
          </w:tcPr>
          <w:p w14:paraId="15EE8F36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extDirection w:val="btLr"/>
          </w:tcPr>
          <w:p w14:paraId="7BF8C1D6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" w:type="dxa"/>
            <w:textDirection w:val="btLr"/>
          </w:tcPr>
          <w:p w14:paraId="113129E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dxa"/>
            <w:textDirection w:val="btLr"/>
          </w:tcPr>
          <w:p w14:paraId="26223441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" w:type="dxa"/>
            <w:textDirection w:val="btLr"/>
          </w:tcPr>
          <w:p w14:paraId="093B5C36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dxa"/>
            <w:textDirection w:val="btLr"/>
          </w:tcPr>
          <w:p w14:paraId="454D38BE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extDirection w:val="btLr"/>
          </w:tcPr>
          <w:p w14:paraId="3E86A28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extDirection w:val="btLr"/>
          </w:tcPr>
          <w:p w14:paraId="4E16A05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</w:rPr>
              <w:t>3</w:t>
            </w:r>
          </w:p>
        </w:tc>
      </w:tr>
      <w:tr w:rsidR="006235DA" w:rsidRPr="00DA3AA1" w14:paraId="17D51544" w14:textId="77777777" w:rsidTr="00525E77">
        <w:trPr>
          <w:cantSplit/>
          <w:trHeight w:val="3746"/>
        </w:trPr>
        <w:tc>
          <w:tcPr>
            <w:tcW w:w="1231" w:type="dxa"/>
            <w:gridSpan w:val="2"/>
            <w:textDirection w:val="btLr"/>
          </w:tcPr>
          <w:p w14:paraId="065B736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AA1">
              <w:rPr>
                <w:rFonts w:ascii="Times New Roman" w:hAnsi="Times New Roman" w:cs="Times New Roman"/>
                <w:b/>
                <w:bCs/>
              </w:rPr>
              <w:t>DAA treatment used</w:t>
            </w:r>
          </w:p>
        </w:tc>
        <w:tc>
          <w:tcPr>
            <w:tcW w:w="615" w:type="dxa"/>
            <w:textDirection w:val="btLr"/>
          </w:tcPr>
          <w:p w14:paraId="7D67562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DA3AA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</w:rPr>
              <w:t>Ledipasvir</w:t>
            </w:r>
            <w:proofErr w:type="spellEnd"/>
            <w:r w:rsidRPr="00DA3AA1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DA3AA1">
              <w:rPr>
                <w:rFonts w:ascii="Times New Roman" w:hAnsi="Times New Roman" w:cs="Times New Roman"/>
              </w:rPr>
              <w:t>Ribavarin</w:t>
            </w:r>
            <w:proofErr w:type="spellEnd"/>
          </w:p>
        </w:tc>
        <w:tc>
          <w:tcPr>
            <w:tcW w:w="980" w:type="dxa"/>
            <w:textDirection w:val="btLr"/>
          </w:tcPr>
          <w:p w14:paraId="00616CFE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Ombitasvir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Paritaprevir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Ritonavir, </w:t>
            </w:r>
          </w:p>
          <w:p w14:paraId="349EF6C2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Dasabuvir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Ribavarin</w:t>
            </w:r>
            <w:proofErr w:type="spellEnd"/>
          </w:p>
        </w:tc>
        <w:tc>
          <w:tcPr>
            <w:tcW w:w="250" w:type="dxa"/>
            <w:textDirection w:val="btLr"/>
          </w:tcPr>
          <w:p w14:paraId="516D49F1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DA3AA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</w:rPr>
              <w:t>Ledipasvir</w:t>
            </w:r>
            <w:proofErr w:type="spellEnd"/>
            <w:r w:rsidRPr="00DA3AA1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DA3AA1">
              <w:rPr>
                <w:rFonts w:ascii="Times New Roman" w:hAnsi="Times New Roman" w:cs="Times New Roman"/>
              </w:rPr>
              <w:t>Ribavarin</w:t>
            </w:r>
            <w:proofErr w:type="spellEnd"/>
          </w:p>
        </w:tc>
        <w:tc>
          <w:tcPr>
            <w:tcW w:w="615" w:type="dxa"/>
            <w:textDirection w:val="btLr"/>
          </w:tcPr>
          <w:p w14:paraId="68BA8621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Sofosbuvir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Ledipasvir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Ribavarin</w:t>
            </w:r>
            <w:proofErr w:type="spellEnd"/>
          </w:p>
        </w:tc>
        <w:tc>
          <w:tcPr>
            <w:tcW w:w="615" w:type="dxa"/>
            <w:textDirection w:val="btLr"/>
          </w:tcPr>
          <w:p w14:paraId="56B8893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Sofosbuvir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Ribavarin</w:t>
            </w:r>
            <w:proofErr w:type="spellEnd"/>
          </w:p>
        </w:tc>
        <w:tc>
          <w:tcPr>
            <w:tcW w:w="615" w:type="dxa"/>
            <w:textDirection w:val="btLr"/>
          </w:tcPr>
          <w:p w14:paraId="0073D12E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Daclatasvir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Sofosbuvir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Ribavarin</w:t>
            </w:r>
            <w:proofErr w:type="spellEnd"/>
          </w:p>
        </w:tc>
        <w:tc>
          <w:tcPr>
            <w:tcW w:w="615" w:type="dxa"/>
            <w:textDirection w:val="btLr"/>
          </w:tcPr>
          <w:p w14:paraId="762C83E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Ombitasvir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Paritaprevir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>, Ritonavir,</w:t>
            </w:r>
          </w:p>
          <w:p w14:paraId="24CD765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3A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Dasabuvir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Ribavarin</w:t>
            </w:r>
            <w:proofErr w:type="spellEnd"/>
          </w:p>
        </w:tc>
        <w:tc>
          <w:tcPr>
            <w:tcW w:w="615" w:type="dxa"/>
            <w:textDirection w:val="btLr"/>
          </w:tcPr>
          <w:p w14:paraId="79409308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Elbasivir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Grazoprevir</w:t>
            </w:r>
            <w:proofErr w:type="spellEnd"/>
          </w:p>
        </w:tc>
        <w:tc>
          <w:tcPr>
            <w:tcW w:w="615" w:type="dxa"/>
            <w:textDirection w:val="btLr"/>
          </w:tcPr>
          <w:p w14:paraId="3D558E0C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Glecaprevir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Pibrentasvir</w:t>
            </w:r>
            <w:proofErr w:type="spellEnd"/>
          </w:p>
        </w:tc>
        <w:tc>
          <w:tcPr>
            <w:tcW w:w="615" w:type="dxa"/>
            <w:textDirection w:val="btLr"/>
          </w:tcPr>
          <w:p w14:paraId="16372AD1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Glecaprevir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Pibrentasvir</w:t>
            </w:r>
            <w:proofErr w:type="spellEnd"/>
          </w:p>
        </w:tc>
        <w:tc>
          <w:tcPr>
            <w:tcW w:w="615" w:type="dxa"/>
            <w:textDirection w:val="btLr"/>
          </w:tcPr>
          <w:p w14:paraId="5D726034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Glecaprevir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Pibrentasvir</w:t>
            </w:r>
            <w:proofErr w:type="spellEnd"/>
          </w:p>
        </w:tc>
        <w:tc>
          <w:tcPr>
            <w:tcW w:w="615" w:type="dxa"/>
            <w:textDirection w:val="btLr"/>
          </w:tcPr>
          <w:p w14:paraId="07E18149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Glecaprevir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Pibrentasvir</w:t>
            </w:r>
            <w:proofErr w:type="spellEnd"/>
          </w:p>
        </w:tc>
        <w:tc>
          <w:tcPr>
            <w:tcW w:w="615" w:type="dxa"/>
            <w:textDirection w:val="btLr"/>
          </w:tcPr>
          <w:p w14:paraId="7129918D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Elbasivir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Grazoprevir</w:t>
            </w:r>
            <w:proofErr w:type="spellEnd"/>
          </w:p>
        </w:tc>
        <w:tc>
          <w:tcPr>
            <w:tcW w:w="615" w:type="dxa"/>
            <w:textDirection w:val="btLr"/>
          </w:tcPr>
          <w:p w14:paraId="62C1CBBA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Elbasivir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Grazoprevir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Ribavarin</w:t>
            </w:r>
            <w:proofErr w:type="spellEnd"/>
          </w:p>
        </w:tc>
        <w:tc>
          <w:tcPr>
            <w:tcW w:w="615" w:type="dxa"/>
            <w:textDirection w:val="btLr"/>
          </w:tcPr>
          <w:p w14:paraId="3FB18200" w14:textId="77777777" w:rsidR="006235DA" w:rsidRPr="00DA3AA1" w:rsidRDefault="006235DA" w:rsidP="0059110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Glecaprevir</w:t>
            </w:r>
            <w:proofErr w:type="spellEnd"/>
            <w:r w:rsidRPr="00DA3AA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A3AA1">
              <w:rPr>
                <w:rFonts w:ascii="Times New Roman" w:hAnsi="Times New Roman" w:cs="Times New Roman"/>
                <w:color w:val="000000"/>
              </w:rPr>
              <w:t>Pibrentasvir</w:t>
            </w:r>
            <w:proofErr w:type="spellEnd"/>
          </w:p>
        </w:tc>
      </w:tr>
    </w:tbl>
    <w:p w14:paraId="649D8E51" w14:textId="77777777" w:rsidR="006235DA" w:rsidRPr="00DA3AA1" w:rsidRDefault="006235DA" w:rsidP="006235DA">
      <w:pPr>
        <w:rPr>
          <w:rFonts w:ascii="Times New Roman" w:hAnsi="Times New Roman" w:cs="Times New Roman"/>
        </w:rPr>
        <w:sectPr w:rsidR="006235DA" w:rsidRPr="00DA3AA1" w:rsidSect="0053717D">
          <w:footerReference w:type="even" r:id="rId11"/>
          <w:footerReference w:type="default" r:id="rId12"/>
          <w:pgSz w:w="11906" w:h="16838"/>
          <w:pgMar w:top="720" w:right="720" w:bottom="720" w:left="720" w:header="708" w:footer="227" w:gutter="0"/>
          <w:cols w:space="708"/>
          <w:docGrid w:linePitch="360"/>
        </w:sectPr>
      </w:pPr>
    </w:p>
    <w:p w14:paraId="1A0EFBFD" w14:textId="0D17835D" w:rsidR="006E627B" w:rsidRPr="00565E17" w:rsidRDefault="00565E17" w:rsidP="00B7073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FIGURES</w:t>
      </w:r>
    </w:p>
    <w:p w14:paraId="02B5962D" w14:textId="77777777" w:rsidR="00565E17" w:rsidRPr="009B79F4" w:rsidRDefault="00565E17" w:rsidP="00565E17">
      <w:pPr>
        <w:jc w:val="center"/>
        <w:rPr>
          <w:rFonts w:ascii="Times New Roman" w:hAnsi="Times New Roman" w:cs="Times New Roman"/>
        </w:rPr>
      </w:pPr>
      <w:r w:rsidRPr="009B79F4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55C09DE3" wp14:editId="5975E74D">
            <wp:extent cx="4781550" cy="4191000"/>
            <wp:effectExtent l="0" t="0" r="0" b="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EFEAA" w14:textId="77777777" w:rsidR="00565E17" w:rsidRPr="009B79F4" w:rsidRDefault="00565E17" w:rsidP="00565E17">
      <w:pPr>
        <w:rPr>
          <w:rFonts w:ascii="Times New Roman" w:hAnsi="Times New Roman" w:cs="Times New Roman"/>
          <w:i/>
          <w:iCs/>
        </w:rPr>
      </w:pPr>
    </w:p>
    <w:p w14:paraId="708C69B8" w14:textId="7F79B01F" w:rsidR="00565E17" w:rsidRPr="009B79F4" w:rsidRDefault="00565E17" w:rsidP="00565E17">
      <w:pPr>
        <w:spacing w:after="0" w:line="360" w:lineRule="auto"/>
        <w:jc w:val="both"/>
        <w:rPr>
          <w:rFonts w:ascii="Times New Roman" w:hAnsi="Times New Roman" w:cs="Times New Roman"/>
          <w:iCs/>
        </w:rPr>
      </w:pPr>
      <w:bookmarkStart w:id="3" w:name="_Ref29711740"/>
      <w:bookmarkStart w:id="4" w:name="_Toc29820879"/>
      <w:r w:rsidRPr="009B79F4">
        <w:rPr>
          <w:rFonts w:ascii="Times New Roman" w:hAnsi="Times New Roman" w:cs="Times New Roman"/>
          <w:b/>
          <w:bCs/>
        </w:rPr>
        <w:t>Figure</w:t>
      </w:r>
      <w:bookmarkEnd w:id="3"/>
      <w:r>
        <w:rPr>
          <w:rFonts w:ascii="Times New Roman" w:hAnsi="Times New Roman" w:cs="Times New Roman"/>
          <w:b/>
          <w:bCs/>
        </w:rPr>
        <w:t xml:space="preserve"> S1</w:t>
      </w:r>
      <w:r w:rsidRPr="009B79F4">
        <w:rPr>
          <w:rFonts w:ascii="Times New Roman" w:hAnsi="Times New Roman" w:cs="Times New Roman"/>
          <w:b/>
          <w:bCs/>
          <w:iCs/>
        </w:rPr>
        <w:t>:</w:t>
      </w:r>
      <w:r w:rsidRPr="009B79F4">
        <w:rPr>
          <w:rFonts w:ascii="Times New Roman" w:hAnsi="Times New Roman" w:cs="Times New Roman"/>
          <w:iCs/>
        </w:rPr>
        <w:t xml:space="preserve"> </w:t>
      </w:r>
      <w:r w:rsidRPr="009B79F4">
        <w:rPr>
          <w:rFonts w:ascii="Times New Roman" w:hAnsi="Times New Roman" w:cs="Times New Roman"/>
          <w:b/>
          <w:bCs/>
          <w:iCs/>
        </w:rPr>
        <w:t>Liver cT</w:t>
      </w:r>
      <w:r w:rsidRPr="009B79F4">
        <w:rPr>
          <w:rFonts w:ascii="Times New Roman" w:hAnsi="Times New Roman" w:cs="Times New Roman"/>
          <w:b/>
          <w:bCs/>
          <w:iCs/>
          <w:vertAlign w:val="subscript"/>
        </w:rPr>
        <w:t>1</w:t>
      </w:r>
      <w:r w:rsidRPr="009B79F4">
        <w:rPr>
          <w:rFonts w:ascii="Times New Roman" w:hAnsi="Times New Roman" w:cs="Times New Roman"/>
          <w:b/>
          <w:bCs/>
          <w:iCs/>
        </w:rPr>
        <w:t xml:space="preserve"> plotted against paired TE measurements</w:t>
      </w:r>
      <w:r w:rsidRPr="009B79F4">
        <w:rPr>
          <w:rFonts w:ascii="Times New Roman" w:hAnsi="Times New Roman" w:cs="Times New Roman"/>
          <w:iCs/>
        </w:rPr>
        <w:t>. Both liver cT</w:t>
      </w:r>
      <w:r w:rsidRPr="009B79F4">
        <w:rPr>
          <w:rFonts w:ascii="Times New Roman" w:hAnsi="Times New Roman" w:cs="Times New Roman"/>
          <w:iCs/>
          <w:vertAlign w:val="subscript"/>
        </w:rPr>
        <w:t>1</w:t>
      </w:r>
      <w:r w:rsidRPr="009B79F4">
        <w:rPr>
          <w:rFonts w:ascii="Times New Roman" w:hAnsi="Times New Roman" w:cs="Times New Roman"/>
          <w:iCs/>
        </w:rPr>
        <w:t xml:space="preserve"> and liver stiffness measured by transient elastography (TE) were taken on the same day, within an hour of each other, except one measurement which was taken within a week of MRI scan (coloured in red). Shaded area indicates 95% confidence interval, R denotes Spearman’s rank correlation coefficient.</w:t>
      </w:r>
      <w:bookmarkEnd w:id="4"/>
      <w:r w:rsidRPr="009B79F4">
        <w:rPr>
          <w:rFonts w:ascii="Times New Roman" w:hAnsi="Times New Roman" w:cs="Times New Roman"/>
          <w:iCs/>
        </w:rPr>
        <w:t xml:space="preserve"> </w:t>
      </w:r>
    </w:p>
    <w:p w14:paraId="20128CF0" w14:textId="77777777" w:rsidR="00565E17" w:rsidRDefault="00565E17" w:rsidP="00B7073D"/>
    <w:sectPr w:rsidR="00565E17" w:rsidSect="007E7ED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37EA0" w14:textId="77777777" w:rsidR="001F141E" w:rsidRDefault="001F141E" w:rsidP="0053717D">
      <w:pPr>
        <w:spacing w:after="0" w:line="240" w:lineRule="auto"/>
      </w:pPr>
      <w:r>
        <w:separator/>
      </w:r>
    </w:p>
  </w:endnote>
  <w:endnote w:type="continuationSeparator" w:id="0">
    <w:p w14:paraId="31E73595" w14:textId="77777777" w:rsidR="001F141E" w:rsidRDefault="001F141E" w:rsidP="0053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9369076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2107D6" w14:textId="1B47C59D" w:rsidR="0053717D" w:rsidRDefault="0053717D" w:rsidP="00C2376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2501B4" w14:textId="77777777" w:rsidR="0053717D" w:rsidRDefault="00537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732417052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6F6F8F4B" w14:textId="7888A1A6" w:rsidR="0053717D" w:rsidRPr="0053717D" w:rsidRDefault="0053717D" w:rsidP="00C23760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53717D">
          <w:rPr>
            <w:rStyle w:val="PageNumber"/>
            <w:rFonts w:ascii="Times New Roman" w:hAnsi="Times New Roman" w:cs="Times New Roman"/>
          </w:rPr>
          <w:fldChar w:fldCharType="begin"/>
        </w:r>
        <w:r w:rsidRPr="0053717D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53717D">
          <w:rPr>
            <w:rStyle w:val="PageNumber"/>
            <w:rFonts w:ascii="Times New Roman" w:hAnsi="Times New Roman" w:cs="Times New Roman"/>
          </w:rPr>
          <w:fldChar w:fldCharType="separate"/>
        </w:r>
        <w:r w:rsidR="00D90954">
          <w:rPr>
            <w:rStyle w:val="PageNumber"/>
            <w:rFonts w:ascii="Times New Roman" w:hAnsi="Times New Roman" w:cs="Times New Roman"/>
            <w:noProof/>
          </w:rPr>
          <w:t>3</w:t>
        </w:r>
        <w:r w:rsidRPr="0053717D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4D810184" w14:textId="77777777" w:rsidR="0053717D" w:rsidRPr="0053717D" w:rsidRDefault="0053717D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E764B" w14:textId="77777777" w:rsidR="001F141E" w:rsidRDefault="001F141E" w:rsidP="0053717D">
      <w:pPr>
        <w:spacing w:after="0" w:line="240" w:lineRule="auto"/>
      </w:pPr>
      <w:r>
        <w:separator/>
      </w:r>
    </w:p>
  </w:footnote>
  <w:footnote w:type="continuationSeparator" w:id="0">
    <w:p w14:paraId="4CDFE1B2" w14:textId="77777777" w:rsidR="001F141E" w:rsidRDefault="001F141E" w:rsidP="0053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A41B5"/>
    <w:multiLevelType w:val="hybridMultilevel"/>
    <w:tmpl w:val="9BF233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DA"/>
    <w:rsid w:val="000258C0"/>
    <w:rsid w:val="000D3F2E"/>
    <w:rsid w:val="00133131"/>
    <w:rsid w:val="001361E8"/>
    <w:rsid w:val="001B6B02"/>
    <w:rsid w:val="001F141E"/>
    <w:rsid w:val="00264BA0"/>
    <w:rsid w:val="002C4E4F"/>
    <w:rsid w:val="002E1883"/>
    <w:rsid w:val="003D592A"/>
    <w:rsid w:val="00490A66"/>
    <w:rsid w:val="004B7C03"/>
    <w:rsid w:val="00525E77"/>
    <w:rsid w:val="0053717D"/>
    <w:rsid w:val="00565E17"/>
    <w:rsid w:val="00570A14"/>
    <w:rsid w:val="006235DA"/>
    <w:rsid w:val="0078077B"/>
    <w:rsid w:val="007E7EDB"/>
    <w:rsid w:val="0087330B"/>
    <w:rsid w:val="009539AE"/>
    <w:rsid w:val="00A0171D"/>
    <w:rsid w:val="00B17338"/>
    <w:rsid w:val="00B7073D"/>
    <w:rsid w:val="00CB5C84"/>
    <w:rsid w:val="00D07C93"/>
    <w:rsid w:val="00D41E96"/>
    <w:rsid w:val="00D7640B"/>
    <w:rsid w:val="00D90954"/>
    <w:rsid w:val="00E4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634E"/>
  <w15:chartTrackingRefBased/>
  <w15:docId w15:val="{274EB6A0-051F-6A45-A9A4-131014CD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5D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5D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5DA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235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23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0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A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7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17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7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17D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3717D"/>
  </w:style>
  <w:style w:type="paragraph" w:styleId="ListParagraph">
    <w:name w:val="List Paragraph"/>
    <w:basedOn w:val="Normal"/>
    <w:uiPriority w:val="34"/>
    <w:qFormat/>
    <w:rsid w:val="00CB5C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5C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ichael.pavlides@cardiov.ox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46D077191524789927868CF947692" ma:contentTypeVersion="13" ma:contentTypeDescription="Create a new document." ma:contentTypeScope="" ma:versionID="1d5ebe2b03b884127b1079fd0b91129a">
  <xsd:schema xmlns:xsd="http://www.w3.org/2001/XMLSchema" xmlns:xs="http://www.w3.org/2001/XMLSchema" xmlns:p="http://schemas.microsoft.com/office/2006/metadata/properties" xmlns:ns3="adcfa805-e237-4af0-86e0-efffb5656f00" xmlns:ns4="2bb55023-286f-46d7-8b8e-5a79189d33e9" targetNamespace="http://schemas.microsoft.com/office/2006/metadata/properties" ma:root="true" ma:fieldsID="9087e7cd161670d99420ed86b6f760d0" ns3:_="" ns4:_="">
    <xsd:import namespace="adcfa805-e237-4af0-86e0-efffb5656f00"/>
    <xsd:import namespace="2bb55023-286f-46d7-8b8e-5a79189d33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fa805-e237-4af0-86e0-efffb5656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55023-286f-46d7-8b8e-5a79189d3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27A97-3B87-46F7-BEA3-48E06642CC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C06DF1-5C10-4D1F-B827-B42C7B4A65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401B4D-F53E-4210-A7E9-F054FAC7F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fa805-e237-4af0-86e0-efffb5656f00"/>
    <ds:schemaRef ds:uri="2bb55023-286f-46d7-8b8e-5a79189d3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Arjun Jayaswal</dc:creator>
  <cp:keywords/>
  <dc:description/>
  <cp:lastModifiedBy>mpavlides</cp:lastModifiedBy>
  <cp:revision>3</cp:revision>
  <dcterms:created xsi:type="dcterms:W3CDTF">2020-10-08T18:56:00Z</dcterms:created>
  <dcterms:modified xsi:type="dcterms:W3CDTF">2020-11-04T20:55:00Z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0x01010043F46D077191524789927868CF947692</vt:lpwstr>
  </property>
</Properties>
</file>