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F5134" w14:textId="304EF22C" w:rsidR="004262A0" w:rsidRPr="0057121A" w:rsidRDefault="004262A0" w:rsidP="004D0E1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7121A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materials</w:t>
      </w:r>
    </w:p>
    <w:p w14:paraId="17F05D87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0AA0E81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B013EB1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22D4B8A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DA375BF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F418FD5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B595670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3682326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798453D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7114D0F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74D3DDD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43C8388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85D04FD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C91890E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DBA7EDD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A09D521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1AACA9D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913C63B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1689A3B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F4E0603" w14:textId="77777777" w:rsidR="004D0E13" w:rsidRDefault="004262A0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7121A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Supplementary 1</w:t>
      </w:r>
    </w:p>
    <w:p w14:paraId="044BE280" w14:textId="6F6DB88E" w:rsidR="00895852" w:rsidRPr="0057121A" w:rsidRDefault="00895852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7121A">
        <w:rPr>
          <w:rFonts w:ascii="Times New Roman" w:hAnsi="Times New Roman" w:cs="Times New Roman"/>
          <w:b/>
          <w:bCs/>
          <w:sz w:val="24"/>
          <w:szCs w:val="24"/>
          <w:lang w:val="en-GB"/>
        </w:rPr>
        <w:t>Quality Assessment tables</w:t>
      </w:r>
    </w:p>
    <w:p w14:paraId="00140DED" w14:textId="44D6A428" w:rsidR="004262A0" w:rsidRPr="0057121A" w:rsidRDefault="00895852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7121A">
        <w:rPr>
          <w:rFonts w:ascii="Times New Roman" w:hAnsi="Times New Roman" w:cs="Times New Roman"/>
          <w:b/>
          <w:bCs/>
          <w:sz w:val="24"/>
          <w:szCs w:val="24"/>
          <w:lang w:val="en-GB"/>
        </w:rPr>
        <w:t>Quality assessment – Case reports</w:t>
      </w:r>
    </w:p>
    <w:p w14:paraId="426ECDA2" w14:textId="7A4F6DCE" w:rsidR="004262A0" w:rsidRPr="0057121A" w:rsidRDefault="004262A0" w:rsidP="0057121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7121A">
        <w:rPr>
          <w:rFonts w:ascii="Times New Roman" w:hAnsi="Times New Roman" w:cs="Times New Roman"/>
          <w:sz w:val="24"/>
          <w:szCs w:val="24"/>
          <w:lang w:val="en-GB"/>
        </w:rPr>
        <w:t xml:space="preserve">How to cite: Moola S, Munn Z, </w:t>
      </w:r>
      <w:proofErr w:type="spellStart"/>
      <w:r w:rsidRPr="0057121A">
        <w:rPr>
          <w:rFonts w:ascii="Times New Roman" w:hAnsi="Times New Roman" w:cs="Times New Roman"/>
          <w:sz w:val="24"/>
          <w:szCs w:val="24"/>
          <w:lang w:val="en-GB"/>
        </w:rPr>
        <w:t>Tufanaru</w:t>
      </w:r>
      <w:proofErr w:type="spellEnd"/>
      <w:r w:rsidRPr="0057121A">
        <w:rPr>
          <w:rFonts w:ascii="Times New Roman" w:hAnsi="Times New Roman" w:cs="Times New Roman"/>
          <w:sz w:val="24"/>
          <w:szCs w:val="24"/>
          <w:lang w:val="en-GB"/>
        </w:rPr>
        <w:t xml:space="preserve"> C, </w:t>
      </w:r>
      <w:proofErr w:type="spellStart"/>
      <w:r w:rsidRPr="0057121A">
        <w:rPr>
          <w:rFonts w:ascii="Times New Roman" w:hAnsi="Times New Roman" w:cs="Times New Roman"/>
          <w:sz w:val="24"/>
          <w:szCs w:val="24"/>
          <w:lang w:val="en-GB"/>
        </w:rPr>
        <w:t>Aromataris</w:t>
      </w:r>
      <w:proofErr w:type="spellEnd"/>
      <w:r w:rsidRPr="0057121A">
        <w:rPr>
          <w:rFonts w:ascii="Times New Roman" w:hAnsi="Times New Roman" w:cs="Times New Roman"/>
          <w:sz w:val="24"/>
          <w:szCs w:val="24"/>
          <w:lang w:val="en-GB"/>
        </w:rPr>
        <w:t xml:space="preserve"> E, Sears K, </w:t>
      </w:r>
      <w:proofErr w:type="spellStart"/>
      <w:r w:rsidRPr="0057121A">
        <w:rPr>
          <w:rFonts w:ascii="Times New Roman" w:hAnsi="Times New Roman" w:cs="Times New Roman"/>
          <w:sz w:val="24"/>
          <w:szCs w:val="24"/>
          <w:lang w:val="en-GB"/>
        </w:rPr>
        <w:t>Sfetcu</w:t>
      </w:r>
      <w:proofErr w:type="spellEnd"/>
      <w:r w:rsidRPr="0057121A">
        <w:rPr>
          <w:rFonts w:ascii="Times New Roman" w:hAnsi="Times New Roman" w:cs="Times New Roman"/>
          <w:sz w:val="24"/>
          <w:szCs w:val="24"/>
          <w:lang w:val="en-GB"/>
        </w:rPr>
        <w:t xml:space="preserve"> R, Currie M, </w:t>
      </w:r>
      <w:proofErr w:type="spellStart"/>
      <w:r w:rsidRPr="0057121A">
        <w:rPr>
          <w:rFonts w:ascii="Times New Roman" w:hAnsi="Times New Roman" w:cs="Times New Roman"/>
          <w:sz w:val="24"/>
          <w:szCs w:val="24"/>
          <w:lang w:val="en-GB"/>
        </w:rPr>
        <w:t>Lisy</w:t>
      </w:r>
      <w:proofErr w:type="spellEnd"/>
      <w:r w:rsidRPr="0057121A">
        <w:rPr>
          <w:rFonts w:ascii="Times New Roman" w:hAnsi="Times New Roman" w:cs="Times New Roman"/>
          <w:sz w:val="24"/>
          <w:szCs w:val="24"/>
          <w:lang w:val="en-GB"/>
        </w:rPr>
        <w:t xml:space="preserve"> K, Qureshi R, Mattis P, Mu P. Chapter 7: Systematic reviews of </w:t>
      </w:r>
      <w:proofErr w:type="spellStart"/>
      <w:r w:rsidRPr="0057121A">
        <w:rPr>
          <w:rFonts w:ascii="Times New Roman" w:hAnsi="Times New Roman" w:cs="Times New Roman"/>
          <w:sz w:val="24"/>
          <w:szCs w:val="24"/>
          <w:lang w:val="en-GB"/>
        </w:rPr>
        <w:t>etiology</w:t>
      </w:r>
      <w:proofErr w:type="spellEnd"/>
      <w:r w:rsidRPr="0057121A">
        <w:rPr>
          <w:rFonts w:ascii="Times New Roman" w:hAnsi="Times New Roman" w:cs="Times New Roman"/>
          <w:sz w:val="24"/>
          <w:szCs w:val="24"/>
          <w:lang w:val="en-GB"/>
        </w:rPr>
        <w:t xml:space="preserve"> and risk. In: </w:t>
      </w:r>
      <w:proofErr w:type="spellStart"/>
      <w:r w:rsidRPr="0057121A">
        <w:rPr>
          <w:rFonts w:ascii="Times New Roman" w:hAnsi="Times New Roman" w:cs="Times New Roman"/>
          <w:sz w:val="24"/>
          <w:szCs w:val="24"/>
          <w:lang w:val="en-GB"/>
        </w:rPr>
        <w:t>Aromataris</w:t>
      </w:r>
      <w:proofErr w:type="spellEnd"/>
      <w:r w:rsidRPr="0057121A">
        <w:rPr>
          <w:rFonts w:ascii="Times New Roman" w:hAnsi="Times New Roman" w:cs="Times New Roman"/>
          <w:sz w:val="24"/>
          <w:szCs w:val="24"/>
          <w:lang w:val="en-GB"/>
        </w:rPr>
        <w:t xml:space="preserve"> E, Munn Z (Editors). JBI Manual for Evidence Synthesis. JBI, 2020. Available from https://synthesismanual.jbi.global.  https://doi.org/10.46658/JBIMES-20-08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20"/>
        <w:gridCol w:w="1208"/>
        <w:gridCol w:w="1035"/>
        <w:gridCol w:w="1064"/>
        <w:gridCol w:w="987"/>
        <w:gridCol w:w="1237"/>
        <w:gridCol w:w="1055"/>
        <w:gridCol w:w="1151"/>
        <w:gridCol w:w="871"/>
      </w:tblGrid>
      <w:tr w:rsidR="004262A0" w:rsidRPr="004D0E13" w14:paraId="1FD0DFF4" w14:textId="77777777" w:rsidTr="00FC704B">
        <w:tc>
          <w:tcPr>
            <w:tcW w:w="1943" w:type="dxa"/>
          </w:tcPr>
          <w:p w14:paraId="6C9489B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75" w:type="dxa"/>
          </w:tcPr>
          <w:p w14:paraId="19748F5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Were patient’s demographic characteristics clearly described?</w:t>
            </w:r>
          </w:p>
        </w:tc>
        <w:tc>
          <w:tcPr>
            <w:tcW w:w="1616" w:type="dxa"/>
          </w:tcPr>
          <w:p w14:paraId="27ABF6A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Was the patient’s history clearly described and presented as a timeline?</w:t>
            </w:r>
          </w:p>
        </w:tc>
        <w:tc>
          <w:tcPr>
            <w:tcW w:w="1546" w:type="dxa"/>
          </w:tcPr>
          <w:p w14:paraId="0B22AD7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Was the current clinical condition of the patient on presentation clearly described?</w:t>
            </w:r>
          </w:p>
        </w:tc>
        <w:tc>
          <w:tcPr>
            <w:tcW w:w="1719" w:type="dxa"/>
          </w:tcPr>
          <w:p w14:paraId="4C65F35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Were diagnostic tests or assessment methods and the results clearly described</w:t>
            </w:r>
          </w:p>
        </w:tc>
        <w:tc>
          <w:tcPr>
            <w:tcW w:w="1541" w:type="dxa"/>
          </w:tcPr>
          <w:p w14:paraId="7E36330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Was the intervention(s) or treatment procedure(s) clearly described?</w:t>
            </w:r>
          </w:p>
        </w:tc>
        <w:tc>
          <w:tcPr>
            <w:tcW w:w="1553" w:type="dxa"/>
          </w:tcPr>
          <w:p w14:paraId="0050007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Was the post-intervention clinical condition clearly described?</w:t>
            </w:r>
          </w:p>
        </w:tc>
        <w:tc>
          <w:tcPr>
            <w:tcW w:w="1561" w:type="dxa"/>
          </w:tcPr>
          <w:p w14:paraId="182D966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Were adverse events (harms) or unanticipated events identified and described?</w:t>
            </w:r>
          </w:p>
        </w:tc>
        <w:tc>
          <w:tcPr>
            <w:tcW w:w="1323" w:type="dxa"/>
          </w:tcPr>
          <w:p w14:paraId="27EF3BA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Does the case report provide takeaway lessons?</w:t>
            </w:r>
          </w:p>
        </w:tc>
      </w:tr>
      <w:tr w:rsidR="004262A0" w:rsidRPr="00183C28" w14:paraId="219CBDDE" w14:textId="77777777" w:rsidTr="00FC704B">
        <w:tc>
          <w:tcPr>
            <w:tcW w:w="1943" w:type="dxa"/>
          </w:tcPr>
          <w:p w14:paraId="2B2C4E9C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Hayashi, 2021</w:t>
            </w:r>
          </w:p>
        </w:tc>
        <w:tc>
          <w:tcPr>
            <w:tcW w:w="1475" w:type="dxa"/>
          </w:tcPr>
          <w:p w14:paraId="5DD08EA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24FCE67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46" w:type="dxa"/>
          </w:tcPr>
          <w:p w14:paraId="1523637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09AB911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15E9F66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4B9F699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3DA3D12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509C921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16FC0604" w14:textId="77777777" w:rsidTr="00FC704B">
        <w:tc>
          <w:tcPr>
            <w:tcW w:w="1943" w:type="dxa"/>
          </w:tcPr>
          <w:p w14:paraId="152CB4C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Wang, 2020</w:t>
            </w:r>
          </w:p>
        </w:tc>
        <w:tc>
          <w:tcPr>
            <w:tcW w:w="1475" w:type="dxa"/>
          </w:tcPr>
          <w:p w14:paraId="6F1F386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1BC40E5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4B67766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719" w:type="dxa"/>
          </w:tcPr>
          <w:p w14:paraId="5B37045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68AF830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3041BD0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64FE164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02A88B7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49D6AC4B" w14:textId="77777777" w:rsidTr="00FC704B">
        <w:tc>
          <w:tcPr>
            <w:tcW w:w="1943" w:type="dxa"/>
          </w:tcPr>
          <w:p w14:paraId="5D7F857F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Hamano, 2020</w:t>
            </w:r>
          </w:p>
        </w:tc>
        <w:tc>
          <w:tcPr>
            <w:tcW w:w="1475" w:type="dxa"/>
          </w:tcPr>
          <w:p w14:paraId="003132E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7A7A929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4B57BB4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7FB848A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5BC8929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38ACE6B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5C1B492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1DD32F9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709F3F55" w14:textId="77777777" w:rsidTr="00FC704B">
        <w:tc>
          <w:tcPr>
            <w:tcW w:w="1943" w:type="dxa"/>
          </w:tcPr>
          <w:p w14:paraId="4B9CA8AA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Kim, 2020</w:t>
            </w:r>
          </w:p>
        </w:tc>
        <w:tc>
          <w:tcPr>
            <w:tcW w:w="1475" w:type="dxa"/>
          </w:tcPr>
          <w:p w14:paraId="53FF5F6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06FC67A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1C21856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4D0887E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5B538D6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2F6571E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61CE921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4CC65B0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6C47050A" w14:textId="77777777" w:rsidTr="00FC704B">
        <w:tc>
          <w:tcPr>
            <w:tcW w:w="1943" w:type="dxa"/>
          </w:tcPr>
          <w:p w14:paraId="284DA2A1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Lameirão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G, 2018</w:t>
            </w:r>
          </w:p>
        </w:tc>
        <w:tc>
          <w:tcPr>
            <w:tcW w:w="1475" w:type="dxa"/>
          </w:tcPr>
          <w:p w14:paraId="4564D2F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47FEAE8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1079D4C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2CE55D9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76444EA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3589827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775E81A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7FA15BA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01131B1B" w14:textId="77777777" w:rsidTr="00FC704B">
        <w:tc>
          <w:tcPr>
            <w:tcW w:w="1943" w:type="dxa"/>
          </w:tcPr>
          <w:p w14:paraId="7B9940F2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Pantiora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2018</w:t>
            </w:r>
          </w:p>
        </w:tc>
        <w:tc>
          <w:tcPr>
            <w:tcW w:w="1475" w:type="dxa"/>
          </w:tcPr>
          <w:p w14:paraId="415D8EE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3D40320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62CBDE8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4225C74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3E5AB28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53" w:type="dxa"/>
          </w:tcPr>
          <w:p w14:paraId="387FC6A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18F5A85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23474AF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685EA479" w14:textId="77777777" w:rsidTr="00FC704B">
        <w:tc>
          <w:tcPr>
            <w:tcW w:w="1943" w:type="dxa"/>
          </w:tcPr>
          <w:p w14:paraId="55039195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Miyajima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2018</w:t>
            </w:r>
          </w:p>
        </w:tc>
        <w:tc>
          <w:tcPr>
            <w:tcW w:w="1475" w:type="dxa"/>
          </w:tcPr>
          <w:p w14:paraId="04F4D28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3F3C67D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0B68A02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47D524C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56F1B97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1265FBA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6D7315B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73142F1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02D32D85" w14:textId="77777777" w:rsidTr="00FC704B">
        <w:tc>
          <w:tcPr>
            <w:tcW w:w="1943" w:type="dxa"/>
          </w:tcPr>
          <w:p w14:paraId="11D89532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Fuchino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2017</w:t>
            </w:r>
          </w:p>
        </w:tc>
        <w:tc>
          <w:tcPr>
            <w:tcW w:w="1475" w:type="dxa"/>
          </w:tcPr>
          <w:p w14:paraId="3CE04D7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0408D82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6259F92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30B95AD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51DDB62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41A0DE4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537C8F9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6C9DF52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6934738D" w14:textId="77777777" w:rsidTr="00FC704B">
        <w:tc>
          <w:tcPr>
            <w:tcW w:w="1943" w:type="dxa"/>
          </w:tcPr>
          <w:p w14:paraId="7A85F219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De Mel, 2016</w:t>
            </w:r>
          </w:p>
        </w:tc>
        <w:tc>
          <w:tcPr>
            <w:tcW w:w="1475" w:type="dxa"/>
          </w:tcPr>
          <w:p w14:paraId="7FA59E6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0FBB710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24EBBA4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02566AD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484CCE2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458CD20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4661778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2433905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5C83A332" w14:textId="77777777" w:rsidTr="00FC704B">
        <w:tc>
          <w:tcPr>
            <w:tcW w:w="1943" w:type="dxa"/>
          </w:tcPr>
          <w:p w14:paraId="1C41D94B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Bae, 2015</w:t>
            </w:r>
          </w:p>
        </w:tc>
        <w:tc>
          <w:tcPr>
            <w:tcW w:w="1475" w:type="dxa"/>
          </w:tcPr>
          <w:p w14:paraId="2539C96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34EFF58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74ABA4C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77DCFA2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737562E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795F8BA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617CB8B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08C72FD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383CBF99" w14:textId="77777777" w:rsidTr="00FC704B">
        <w:tc>
          <w:tcPr>
            <w:tcW w:w="1943" w:type="dxa"/>
          </w:tcPr>
          <w:p w14:paraId="4118AFAC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Obana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2015</w:t>
            </w:r>
          </w:p>
        </w:tc>
        <w:tc>
          <w:tcPr>
            <w:tcW w:w="1475" w:type="dxa"/>
          </w:tcPr>
          <w:p w14:paraId="6B1832A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1A5BE9F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46" w:type="dxa"/>
          </w:tcPr>
          <w:p w14:paraId="532C671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697C224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5A3B720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359262E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4BE8915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341C2ED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0CD26594" w14:textId="77777777" w:rsidTr="00FC704B">
        <w:tc>
          <w:tcPr>
            <w:tcW w:w="1943" w:type="dxa"/>
          </w:tcPr>
          <w:p w14:paraId="0D8F28DA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Al-</w:t>
            </w: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Hussaini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2015</w:t>
            </w:r>
          </w:p>
        </w:tc>
        <w:tc>
          <w:tcPr>
            <w:tcW w:w="1475" w:type="dxa"/>
          </w:tcPr>
          <w:p w14:paraId="481EE59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645BE7F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34DEDB7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6495BA1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5F120DF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52AE298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7E7CCCE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14CCB89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7CB17650" w14:textId="77777777" w:rsidTr="00FC704B">
        <w:tc>
          <w:tcPr>
            <w:tcW w:w="1943" w:type="dxa"/>
          </w:tcPr>
          <w:p w14:paraId="7E8FA7BE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lastRenderedPageBreak/>
              <w:t>Chang, 2014</w:t>
            </w:r>
          </w:p>
        </w:tc>
        <w:tc>
          <w:tcPr>
            <w:tcW w:w="1475" w:type="dxa"/>
          </w:tcPr>
          <w:p w14:paraId="6823211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26B8DC4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1CE650E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4AB9821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49C132C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13C4F40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05D16E5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4E826D8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384013C2" w14:textId="77777777" w:rsidTr="00FC704B">
        <w:tc>
          <w:tcPr>
            <w:tcW w:w="1943" w:type="dxa"/>
          </w:tcPr>
          <w:p w14:paraId="3F14CED4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Matsuo, 2014</w:t>
            </w:r>
          </w:p>
        </w:tc>
        <w:tc>
          <w:tcPr>
            <w:tcW w:w="1475" w:type="dxa"/>
          </w:tcPr>
          <w:p w14:paraId="1C4F66E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2D2C1F4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10B90C2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2614562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753A57D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5A495B2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4B3AC4E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28A0B4A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24997926" w14:textId="77777777" w:rsidTr="00FC704B">
        <w:tc>
          <w:tcPr>
            <w:tcW w:w="1943" w:type="dxa"/>
          </w:tcPr>
          <w:p w14:paraId="0D42DB30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Durmus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2014</w:t>
            </w:r>
          </w:p>
        </w:tc>
        <w:tc>
          <w:tcPr>
            <w:tcW w:w="1475" w:type="dxa"/>
          </w:tcPr>
          <w:p w14:paraId="58DF6E8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0E9FB2F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1FA2897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3980C09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1B68842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13A34B6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7A8F6EF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6BA1432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7B62E37E" w14:textId="77777777" w:rsidTr="00FC704B">
        <w:tc>
          <w:tcPr>
            <w:tcW w:w="1943" w:type="dxa"/>
          </w:tcPr>
          <w:p w14:paraId="2EC95BC8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Iguchi, 2013</w:t>
            </w:r>
          </w:p>
        </w:tc>
        <w:tc>
          <w:tcPr>
            <w:tcW w:w="1475" w:type="dxa"/>
          </w:tcPr>
          <w:p w14:paraId="7DD2CB3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1ACBDD3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19F2832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079DAEB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47450DA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3F2AAC9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632B272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0989829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0C043383" w14:textId="77777777" w:rsidTr="00FC704B">
        <w:tc>
          <w:tcPr>
            <w:tcW w:w="1943" w:type="dxa"/>
          </w:tcPr>
          <w:p w14:paraId="1BBE4B6B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Ke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2013</w:t>
            </w:r>
          </w:p>
        </w:tc>
        <w:tc>
          <w:tcPr>
            <w:tcW w:w="1475" w:type="dxa"/>
          </w:tcPr>
          <w:p w14:paraId="6E5FF80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72BBDCB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46" w:type="dxa"/>
          </w:tcPr>
          <w:p w14:paraId="2C0E67B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3FADA33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035C00C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7B968CC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59A4DC1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249BE74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6264DDA5" w14:textId="77777777" w:rsidTr="00FC704B">
        <w:tc>
          <w:tcPr>
            <w:tcW w:w="1943" w:type="dxa"/>
          </w:tcPr>
          <w:p w14:paraId="1838DC38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Shirai, 2013</w:t>
            </w:r>
          </w:p>
        </w:tc>
        <w:tc>
          <w:tcPr>
            <w:tcW w:w="1475" w:type="dxa"/>
          </w:tcPr>
          <w:p w14:paraId="5865099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372DB70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6FD2705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772C7E5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00F6B2A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132FB62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286C1D6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56B1144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4DB24807" w14:textId="77777777" w:rsidTr="00FC704B">
        <w:tc>
          <w:tcPr>
            <w:tcW w:w="1943" w:type="dxa"/>
          </w:tcPr>
          <w:p w14:paraId="5297FB47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Rosa, 2012</w:t>
            </w:r>
          </w:p>
        </w:tc>
        <w:tc>
          <w:tcPr>
            <w:tcW w:w="1475" w:type="dxa"/>
          </w:tcPr>
          <w:p w14:paraId="2B8FA1B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403AE76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46" w:type="dxa"/>
          </w:tcPr>
          <w:p w14:paraId="2ECC4E0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6EDA6D2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4C9A991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61EF96B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3F75CD6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25551FD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4FA9C4CB" w14:textId="77777777" w:rsidTr="00FC704B">
        <w:tc>
          <w:tcPr>
            <w:tcW w:w="1943" w:type="dxa"/>
          </w:tcPr>
          <w:p w14:paraId="4B8209BC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Jeong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2012</w:t>
            </w:r>
          </w:p>
        </w:tc>
        <w:tc>
          <w:tcPr>
            <w:tcW w:w="1475" w:type="dxa"/>
          </w:tcPr>
          <w:p w14:paraId="56BC5F4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13A08C9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113EA6F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2B9751D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672B098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53" w:type="dxa"/>
          </w:tcPr>
          <w:p w14:paraId="7919863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633FB83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1E8AD8B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2A1686E0" w14:textId="77777777" w:rsidTr="00FC704B">
        <w:tc>
          <w:tcPr>
            <w:tcW w:w="1943" w:type="dxa"/>
          </w:tcPr>
          <w:p w14:paraId="3EEF7C6F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Saito, 2012</w:t>
            </w:r>
          </w:p>
        </w:tc>
        <w:tc>
          <w:tcPr>
            <w:tcW w:w="1475" w:type="dxa"/>
          </w:tcPr>
          <w:p w14:paraId="04857C4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616" w:type="dxa"/>
          </w:tcPr>
          <w:p w14:paraId="0FFC797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63CDB33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6561E42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777B9B5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5C024DC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5F6E1BD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1E2FC7F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7A0A0D3E" w14:textId="77777777" w:rsidTr="00FC704B">
        <w:tc>
          <w:tcPr>
            <w:tcW w:w="1943" w:type="dxa"/>
          </w:tcPr>
          <w:p w14:paraId="3D4111CC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Herek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2011</w:t>
            </w:r>
          </w:p>
        </w:tc>
        <w:tc>
          <w:tcPr>
            <w:tcW w:w="1475" w:type="dxa"/>
          </w:tcPr>
          <w:p w14:paraId="0454917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3B5D00E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79F7AD9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2DCBBC1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7BFAD12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53" w:type="dxa"/>
          </w:tcPr>
          <w:p w14:paraId="6037DF5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5A7F58A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6279E9C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</w:tr>
      <w:tr w:rsidR="004262A0" w:rsidRPr="00183C28" w14:paraId="3F6E44E2" w14:textId="77777777" w:rsidTr="00FC704B">
        <w:tc>
          <w:tcPr>
            <w:tcW w:w="1943" w:type="dxa"/>
          </w:tcPr>
          <w:p w14:paraId="6EAB0C31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Ueda, 2009</w:t>
            </w:r>
          </w:p>
        </w:tc>
        <w:tc>
          <w:tcPr>
            <w:tcW w:w="1475" w:type="dxa"/>
          </w:tcPr>
          <w:p w14:paraId="32FF99A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12B589A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46" w:type="dxa"/>
          </w:tcPr>
          <w:p w14:paraId="596DE50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67F7AA2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2346D8D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6FF92E3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456F78E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607D3BD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</w:tr>
      <w:tr w:rsidR="004262A0" w:rsidRPr="00183C28" w14:paraId="411F441E" w14:textId="77777777" w:rsidTr="00FC704B">
        <w:tc>
          <w:tcPr>
            <w:tcW w:w="1943" w:type="dxa"/>
          </w:tcPr>
          <w:p w14:paraId="04556367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Ganesan, 2009</w:t>
            </w:r>
          </w:p>
        </w:tc>
        <w:tc>
          <w:tcPr>
            <w:tcW w:w="1475" w:type="dxa"/>
          </w:tcPr>
          <w:p w14:paraId="5AD31CF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700B128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73D3E83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237F7D8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6CFFD39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2D6584D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2AA5706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27D568B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13D52331" w14:textId="77777777" w:rsidTr="00FC704B">
        <w:tc>
          <w:tcPr>
            <w:tcW w:w="1943" w:type="dxa"/>
          </w:tcPr>
          <w:p w14:paraId="6785149A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Motojuku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2008</w:t>
            </w:r>
          </w:p>
        </w:tc>
        <w:tc>
          <w:tcPr>
            <w:tcW w:w="1475" w:type="dxa"/>
          </w:tcPr>
          <w:p w14:paraId="777452C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449784C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46" w:type="dxa"/>
          </w:tcPr>
          <w:p w14:paraId="03CE08B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1231D57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1CD7D0F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1E77475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60F8279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2B1305E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1A0F7F93" w14:textId="77777777" w:rsidTr="00FC704B">
        <w:tc>
          <w:tcPr>
            <w:tcW w:w="1943" w:type="dxa"/>
          </w:tcPr>
          <w:p w14:paraId="72B3C6D8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Vassiliadis, 2007</w:t>
            </w:r>
          </w:p>
        </w:tc>
        <w:tc>
          <w:tcPr>
            <w:tcW w:w="1475" w:type="dxa"/>
          </w:tcPr>
          <w:p w14:paraId="75E0479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3826BD0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6" w:type="dxa"/>
          </w:tcPr>
          <w:p w14:paraId="412E7B4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2F3D16E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55A5A01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4DFCA22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6FE654D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72509FC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67E84AD6" w14:textId="77777777" w:rsidTr="00FC704B">
        <w:tc>
          <w:tcPr>
            <w:tcW w:w="1943" w:type="dxa"/>
          </w:tcPr>
          <w:p w14:paraId="5F9DE6DE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Teranishi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2005</w:t>
            </w:r>
          </w:p>
        </w:tc>
        <w:tc>
          <w:tcPr>
            <w:tcW w:w="1475" w:type="dxa"/>
          </w:tcPr>
          <w:p w14:paraId="47AEC2E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1677826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01D2F15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1480EEA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3150F71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0A23ACC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15A756E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4FBEDB1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0B1E22D5" w14:textId="77777777" w:rsidTr="00FC704B">
        <w:tc>
          <w:tcPr>
            <w:tcW w:w="1943" w:type="dxa"/>
          </w:tcPr>
          <w:p w14:paraId="558BDE24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Alimoglu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2005</w:t>
            </w:r>
          </w:p>
        </w:tc>
        <w:tc>
          <w:tcPr>
            <w:tcW w:w="1475" w:type="dxa"/>
          </w:tcPr>
          <w:p w14:paraId="71D5E23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355461B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0134E47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652DC4A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27DD4A0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6F6EB9C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05DAC89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354DF78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3FC16539" w14:textId="77777777" w:rsidTr="00FC704B">
        <w:tc>
          <w:tcPr>
            <w:tcW w:w="1943" w:type="dxa"/>
          </w:tcPr>
          <w:p w14:paraId="1E2AF39D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Kato, 2004</w:t>
            </w:r>
          </w:p>
        </w:tc>
        <w:tc>
          <w:tcPr>
            <w:tcW w:w="1475" w:type="dxa"/>
          </w:tcPr>
          <w:p w14:paraId="70D0844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0A6FAB7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791241C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4C71928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3C0F4A5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31A3CAC4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73A68EE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57C51B9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48C9676A" w14:textId="77777777" w:rsidTr="00FC704B">
        <w:tc>
          <w:tcPr>
            <w:tcW w:w="1943" w:type="dxa"/>
          </w:tcPr>
          <w:p w14:paraId="795519F7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Schneider, 2003</w:t>
            </w:r>
          </w:p>
        </w:tc>
        <w:tc>
          <w:tcPr>
            <w:tcW w:w="1475" w:type="dxa"/>
          </w:tcPr>
          <w:p w14:paraId="50D205E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24393B6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42A9632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774E46A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10F9734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53" w:type="dxa"/>
          </w:tcPr>
          <w:p w14:paraId="4CC9038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569A030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6D71FB7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6100E889" w14:textId="77777777" w:rsidTr="00FC704B">
        <w:tc>
          <w:tcPr>
            <w:tcW w:w="1943" w:type="dxa"/>
          </w:tcPr>
          <w:p w14:paraId="71911D27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Saito, 2002</w:t>
            </w:r>
          </w:p>
        </w:tc>
        <w:tc>
          <w:tcPr>
            <w:tcW w:w="1475" w:type="dxa"/>
          </w:tcPr>
          <w:p w14:paraId="6718649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2DD7E5C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4E96AC8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0564A6F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0165D38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3A70C9A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61" w:type="dxa"/>
          </w:tcPr>
          <w:p w14:paraId="13F586F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4D4812A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1086D96A" w14:textId="77777777" w:rsidTr="00FC704B">
        <w:tc>
          <w:tcPr>
            <w:tcW w:w="1943" w:type="dxa"/>
          </w:tcPr>
          <w:p w14:paraId="7AE5B55E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proofErr w:type="spellStart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Mortelé</w:t>
            </w:r>
            <w:proofErr w:type="spellEnd"/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, 2001</w:t>
            </w:r>
          </w:p>
        </w:tc>
        <w:tc>
          <w:tcPr>
            <w:tcW w:w="1475" w:type="dxa"/>
          </w:tcPr>
          <w:p w14:paraId="596BE30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1AF1D545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46" w:type="dxa"/>
          </w:tcPr>
          <w:p w14:paraId="4A8F7B5A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7D7C09E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1A93E2F1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3676081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69218B0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46DFBDF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2D1D9587" w14:textId="77777777" w:rsidTr="00FC704B">
        <w:tc>
          <w:tcPr>
            <w:tcW w:w="1943" w:type="dxa"/>
          </w:tcPr>
          <w:p w14:paraId="204F6B96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Sakai, 2001</w:t>
            </w:r>
          </w:p>
        </w:tc>
        <w:tc>
          <w:tcPr>
            <w:tcW w:w="1475" w:type="dxa"/>
          </w:tcPr>
          <w:p w14:paraId="21DF163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0662E7D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546" w:type="dxa"/>
          </w:tcPr>
          <w:p w14:paraId="1B65B426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27BCC563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0FED278E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18133C1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34F51F7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3AC4DB4B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183C28" w14:paraId="12FBFB52" w14:textId="77777777" w:rsidTr="00FC704B">
        <w:tc>
          <w:tcPr>
            <w:tcW w:w="1943" w:type="dxa"/>
          </w:tcPr>
          <w:p w14:paraId="62FE283E" w14:textId="77777777" w:rsidR="004262A0" w:rsidRPr="00183C28" w:rsidRDefault="004262A0" w:rsidP="00FC704B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183C28">
              <w:rPr>
                <w:rFonts w:ascii="Times New Roman" w:hAnsi="Times New Roman" w:cs="Times New Roman"/>
                <w:i/>
                <w:iCs/>
                <w:lang w:val="en-GB"/>
              </w:rPr>
              <w:t>Toda, 2000</w:t>
            </w:r>
          </w:p>
        </w:tc>
        <w:tc>
          <w:tcPr>
            <w:tcW w:w="1475" w:type="dxa"/>
          </w:tcPr>
          <w:p w14:paraId="4B5AC84F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UNCLEAR</w:t>
            </w:r>
          </w:p>
        </w:tc>
        <w:tc>
          <w:tcPr>
            <w:tcW w:w="1616" w:type="dxa"/>
          </w:tcPr>
          <w:p w14:paraId="74C36D37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1546" w:type="dxa"/>
          </w:tcPr>
          <w:p w14:paraId="0841D41D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719" w:type="dxa"/>
          </w:tcPr>
          <w:p w14:paraId="60731D32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41" w:type="dxa"/>
          </w:tcPr>
          <w:p w14:paraId="3B33FE00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53" w:type="dxa"/>
          </w:tcPr>
          <w:p w14:paraId="54A422FC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1561" w:type="dxa"/>
          </w:tcPr>
          <w:p w14:paraId="37DF075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NA</w:t>
            </w:r>
          </w:p>
        </w:tc>
        <w:tc>
          <w:tcPr>
            <w:tcW w:w="1323" w:type="dxa"/>
          </w:tcPr>
          <w:p w14:paraId="0229A718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4262A0" w:rsidRPr="004D0E13" w14:paraId="5C98641F" w14:textId="77777777" w:rsidTr="00FC704B">
        <w:tc>
          <w:tcPr>
            <w:tcW w:w="14277" w:type="dxa"/>
            <w:gridSpan w:val="9"/>
          </w:tcPr>
          <w:p w14:paraId="67E523B9" w14:textId="77777777" w:rsidR="004262A0" w:rsidRPr="00183C28" w:rsidRDefault="004262A0" w:rsidP="00FC704B">
            <w:pPr>
              <w:rPr>
                <w:rFonts w:ascii="Times New Roman" w:hAnsi="Times New Roman" w:cs="Times New Roman"/>
                <w:lang w:val="en-GB"/>
              </w:rPr>
            </w:pPr>
            <w:r w:rsidRPr="00183C28">
              <w:rPr>
                <w:lang w:val="en-GB"/>
              </w:rPr>
              <w:t>Answers: Yes, No, Unclear or Not/Applicable</w:t>
            </w:r>
          </w:p>
        </w:tc>
      </w:tr>
    </w:tbl>
    <w:p w14:paraId="5D1793F8" w14:textId="5CFCE39F" w:rsidR="004262A0" w:rsidRPr="00183C28" w:rsidRDefault="004262A0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478E60A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339B11B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2429056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C870E39" w14:textId="174C3965" w:rsidR="00895852" w:rsidRPr="00183C28" w:rsidRDefault="00895852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Quality assessment - </w:t>
      </w:r>
      <w:r w:rsidR="00343A33">
        <w:rPr>
          <w:rFonts w:ascii="Times New Roman" w:hAnsi="Times New Roman" w:cs="Times New Roman"/>
          <w:b/>
          <w:bCs/>
          <w:sz w:val="24"/>
          <w:szCs w:val="24"/>
          <w:lang w:val="en-GB"/>
        </w:rPr>
        <w:t>Cross sectional studies</w:t>
      </w:r>
    </w:p>
    <w:p w14:paraId="6CB521E7" w14:textId="143984F7" w:rsidR="004262A0" w:rsidRPr="00183C28" w:rsidRDefault="00895852" w:rsidP="0057121A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How to cite: Munn Z, Moola S, </w:t>
      </w:r>
      <w:proofErr w:type="spellStart"/>
      <w:r w:rsidRPr="00183C28">
        <w:rPr>
          <w:rFonts w:ascii="Times New Roman" w:hAnsi="Times New Roman" w:cs="Times New Roman"/>
          <w:sz w:val="24"/>
          <w:szCs w:val="24"/>
          <w:lang w:val="en-GB"/>
        </w:rPr>
        <w:t>Lisy</w:t>
      </w:r>
      <w:proofErr w:type="spellEnd"/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K, </w:t>
      </w:r>
      <w:proofErr w:type="spellStart"/>
      <w:r w:rsidRPr="00183C28">
        <w:rPr>
          <w:rFonts w:ascii="Times New Roman" w:hAnsi="Times New Roman" w:cs="Times New Roman"/>
          <w:sz w:val="24"/>
          <w:szCs w:val="24"/>
          <w:lang w:val="en-GB"/>
        </w:rPr>
        <w:t>Riitano</w:t>
      </w:r>
      <w:proofErr w:type="spellEnd"/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D, </w:t>
      </w:r>
      <w:proofErr w:type="spellStart"/>
      <w:r w:rsidRPr="00183C28">
        <w:rPr>
          <w:rFonts w:ascii="Times New Roman" w:hAnsi="Times New Roman" w:cs="Times New Roman"/>
          <w:sz w:val="24"/>
          <w:szCs w:val="24"/>
          <w:lang w:val="en-GB"/>
        </w:rPr>
        <w:t>Tufanaru</w:t>
      </w:r>
      <w:proofErr w:type="spellEnd"/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C. Methodological guidance for systematic reviews of observational epidemiological studies reporting prevalence and incidence data. Int J Evid Based </w:t>
      </w:r>
      <w:proofErr w:type="spellStart"/>
      <w:r w:rsidRPr="00183C28">
        <w:rPr>
          <w:rFonts w:ascii="Times New Roman" w:hAnsi="Times New Roman" w:cs="Times New Roman"/>
          <w:sz w:val="24"/>
          <w:szCs w:val="24"/>
          <w:lang w:val="en-GB"/>
        </w:rPr>
        <w:t>Healthc</w:t>
      </w:r>
      <w:proofErr w:type="spellEnd"/>
      <w:r w:rsidRPr="00183C28">
        <w:rPr>
          <w:rFonts w:ascii="Times New Roman" w:hAnsi="Times New Roman" w:cs="Times New Roman"/>
          <w:sz w:val="24"/>
          <w:szCs w:val="24"/>
          <w:lang w:val="en-GB"/>
        </w:rPr>
        <w:t>. 2015;13(3):147–153.</w:t>
      </w:r>
    </w:p>
    <w:tbl>
      <w:tblPr>
        <w:tblStyle w:val="Grigliatabella"/>
        <w:tblpPr w:leftFromText="142" w:rightFromText="142" w:vertAnchor="text" w:horzAnchor="margin" w:tblpY="52"/>
        <w:tblW w:w="5000" w:type="pct"/>
        <w:tblLook w:val="04A0" w:firstRow="1" w:lastRow="0" w:firstColumn="1" w:lastColumn="0" w:noHBand="0" w:noVBand="1"/>
      </w:tblPr>
      <w:tblGrid>
        <w:gridCol w:w="843"/>
        <w:gridCol w:w="972"/>
        <w:gridCol w:w="963"/>
        <w:gridCol w:w="856"/>
        <w:gridCol w:w="830"/>
        <w:gridCol w:w="874"/>
        <w:gridCol w:w="1070"/>
        <w:gridCol w:w="1135"/>
        <w:gridCol w:w="945"/>
        <w:gridCol w:w="1140"/>
      </w:tblGrid>
      <w:tr w:rsidR="00321DA5" w:rsidRPr="004D0E13" w14:paraId="0EAE3D82" w14:textId="77777777" w:rsidTr="00321DA5">
        <w:tc>
          <w:tcPr>
            <w:tcW w:w="432" w:type="pct"/>
          </w:tcPr>
          <w:p w14:paraId="6FEC1B30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87" w:type="pct"/>
          </w:tcPr>
          <w:p w14:paraId="4FDBF1A7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Was the sample frame appropriate to address the target population?</w:t>
            </w:r>
          </w:p>
        </w:tc>
        <w:tc>
          <w:tcPr>
            <w:tcW w:w="485" w:type="pct"/>
          </w:tcPr>
          <w:p w14:paraId="43D27F31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Were study participants sampled in an appropriate way?</w:t>
            </w:r>
          </w:p>
        </w:tc>
        <w:tc>
          <w:tcPr>
            <w:tcW w:w="435" w:type="pct"/>
          </w:tcPr>
          <w:p w14:paraId="7D664760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Was the sample size adequate?</w:t>
            </w:r>
          </w:p>
        </w:tc>
        <w:tc>
          <w:tcPr>
            <w:tcW w:w="430" w:type="pct"/>
          </w:tcPr>
          <w:p w14:paraId="57CD2024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Were the study subjects and the setting described in detail?</w:t>
            </w:r>
          </w:p>
        </w:tc>
        <w:tc>
          <w:tcPr>
            <w:tcW w:w="438" w:type="pct"/>
          </w:tcPr>
          <w:p w14:paraId="7356DF10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Was the data analysis conducted with sufficient coverage of the identified sample?</w:t>
            </w:r>
          </w:p>
        </w:tc>
        <w:tc>
          <w:tcPr>
            <w:tcW w:w="429" w:type="pct"/>
          </w:tcPr>
          <w:p w14:paraId="4C7EE62B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Were valid methods used for the identification of the condition?</w:t>
            </w:r>
          </w:p>
        </w:tc>
        <w:tc>
          <w:tcPr>
            <w:tcW w:w="802" w:type="pct"/>
          </w:tcPr>
          <w:p w14:paraId="3B50CE99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Was the condition measured in a standard, reliable way for all participants?</w:t>
            </w:r>
          </w:p>
        </w:tc>
        <w:tc>
          <w:tcPr>
            <w:tcW w:w="501" w:type="pct"/>
          </w:tcPr>
          <w:p w14:paraId="2612884B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Was there appropriate statistical analysis?</w:t>
            </w:r>
          </w:p>
        </w:tc>
        <w:tc>
          <w:tcPr>
            <w:tcW w:w="560" w:type="pct"/>
          </w:tcPr>
          <w:p w14:paraId="30036E61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Was the response rate adequate, and if not, was the low response rate managed appropriately?</w:t>
            </w:r>
          </w:p>
        </w:tc>
      </w:tr>
      <w:tr w:rsidR="00321DA5" w:rsidRPr="00321DA5" w14:paraId="1A5492E8" w14:textId="77777777" w:rsidTr="00321DA5">
        <w:tc>
          <w:tcPr>
            <w:tcW w:w="432" w:type="pct"/>
          </w:tcPr>
          <w:p w14:paraId="4D7A5587" w14:textId="77777777" w:rsidR="00321DA5" w:rsidRPr="00321DA5" w:rsidRDefault="00321DA5" w:rsidP="00321DA5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bookmarkStart w:id="0" w:name="_Hlk69725475"/>
            <w:r w:rsidRPr="00321D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Ichikawa, 2020</w:t>
            </w:r>
          </w:p>
        </w:tc>
        <w:tc>
          <w:tcPr>
            <w:tcW w:w="487" w:type="pct"/>
          </w:tcPr>
          <w:p w14:paraId="693009D0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UNCLEAR</w:t>
            </w:r>
          </w:p>
        </w:tc>
        <w:tc>
          <w:tcPr>
            <w:tcW w:w="485" w:type="pct"/>
          </w:tcPr>
          <w:p w14:paraId="72F54E5F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5" w:type="pct"/>
          </w:tcPr>
          <w:p w14:paraId="47CC7C3C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0" w:type="pct"/>
          </w:tcPr>
          <w:p w14:paraId="0AC6EF07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8" w:type="pct"/>
          </w:tcPr>
          <w:p w14:paraId="0CCCA23C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29" w:type="pct"/>
          </w:tcPr>
          <w:p w14:paraId="268FA49B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802" w:type="pct"/>
          </w:tcPr>
          <w:p w14:paraId="6FAA9BDB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501" w:type="pct"/>
          </w:tcPr>
          <w:p w14:paraId="7F2A20AF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0" w:type="pct"/>
          </w:tcPr>
          <w:p w14:paraId="0E34CACB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</w:tr>
      <w:bookmarkEnd w:id="0"/>
      <w:tr w:rsidR="00321DA5" w:rsidRPr="00321DA5" w14:paraId="1A4EE39F" w14:textId="77777777" w:rsidTr="00321DA5">
        <w:tc>
          <w:tcPr>
            <w:tcW w:w="432" w:type="pct"/>
          </w:tcPr>
          <w:p w14:paraId="39949ADC" w14:textId="77777777" w:rsidR="00321DA5" w:rsidRPr="00321DA5" w:rsidRDefault="00321DA5" w:rsidP="00321DA5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Sheng, 2017</w:t>
            </w:r>
          </w:p>
        </w:tc>
        <w:tc>
          <w:tcPr>
            <w:tcW w:w="487" w:type="pct"/>
          </w:tcPr>
          <w:p w14:paraId="1505B5D4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UNCLEAR</w:t>
            </w:r>
          </w:p>
        </w:tc>
        <w:tc>
          <w:tcPr>
            <w:tcW w:w="485" w:type="pct"/>
          </w:tcPr>
          <w:p w14:paraId="171D3992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5" w:type="pct"/>
          </w:tcPr>
          <w:p w14:paraId="57364851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0" w:type="pct"/>
          </w:tcPr>
          <w:p w14:paraId="588120B1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8" w:type="pct"/>
          </w:tcPr>
          <w:p w14:paraId="6CD01B43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29" w:type="pct"/>
          </w:tcPr>
          <w:p w14:paraId="13ACF990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802" w:type="pct"/>
          </w:tcPr>
          <w:p w14:paraId="6DEEC5B4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501" w:type="pct"/>
          </w:tcPr>
          <w:p w14:paraId="7C2373A9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0" w:type="pct"/>
          </w:tcPr>
          <w:p w14:paraId="77192289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</w:tr>
      <w:tr w:rsidR="00321DA5" w:rsidRPr="00321DA5" w14:paraId="7EDAA8BE" w14:textId="77777777" w:rsidTr="00321DA5">
        <w:tc>
          <w:tcPr>
            <w:tcW w:w="432" w:type="pct"/>
          </w:tcPr>
          <w:p w14:paraId="5F7F1C5B" w14:textId="77777777" w:rsidR="00321DA5" w:rsidRPr="00321DA5" w:rsidRDefault="00321DA5" w:rsidP="00321DA5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Park, 2014</w:t>
            </w:r>
          </w:p>
        </w:tc>
        <w:tc>
          <w:tcPr>
            <w:tcW w:w="487" w:type="pct"/>
          </w:tcPr>
          <w:p w14:paraId="2A6FC7D8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85" w:type="pct"/>
          </w:tcPr>
          <w:p w14:paraId="1D527BD1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5" w:type="pct"/>
          </w:tcPr>
          <w:p w14:paraId="0064CC4F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0" w:type="pct"/>
          </w:tcPr>
          <w:p w14:paraId="35FE9BD6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8" w:type="pct"/>
          </w:tcPr>
          <w:p w14:paraId="03AD2FDF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29" w:type="pct"/>
          </w:tcPr>
          <w:p w14:paraId="24154DAB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802" w:type="pct"/>
          </w:tcPr>
          <w:p w14:paraId="60516685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501" w:type="pct"/>
          </w:tcPr>
          <w:p w14:paraId="2DD6EE82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0" w:type="pct"/>
          </w:tcPr>
          <w:p w14:paraId="2988C42D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</w:tr>
      <w:tr w:rsidR="00321DA5" w:rsidRPr="00321DA5" w14:paraId="0F4600CF" w14:textId="77777777" w:rsidTr="00321DA5">
        <w:tc>
          <w:tcPr>
            <w:tcW w:w="432" w:type="pct"/>
          </w:tcPr>
          <w:p w14:paraId="25887C48" w14:textId="77777777" w:rsidR="00321DA5" w:rsidRPr="00321DA5" w:rsidRDefault="00321DA5" w:rsidP="00321DA5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Yan, 2001</w:t>
            </w:r>
          </w:p>
        </w:tc>
        <w:tc>
          <w:tcPr>
            <w:tcW w:w="487" w:type="pct"/>
          </w:tcPr>
          <w:p w14:paraId="0014A85B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UNCLEAR</w:t>
            </w:r>
          </w:p>
        </w:tc>
        <w:tc>
          <w:tcPr>
            <w:tcW w:w="485" w:type="pct"/>
          </w:tcPr>
          <w:p w14:paraId="338B6880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5" w:type="pct"/>
          </w:tcPr>
          <w:p w14:paraId="0634CE3F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0" w:type="pct"/>
          </w:tcPr>
          <w:p w14:paraId="32D8FC89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38" w:type="pct"/>
          </w:tcPr>
          <w:p w14:paraId="495CEFB5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429" w:type="pct"/>
          </w:tcPr>
          <w:p w14:paraId="6E4EDD4B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802" w:type="pct"/>
          </w:tcPr>
          <w:p w14:paraId="628C8553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501" w:type="pct"/>
          </w:tcPr>
          <w:p w14:paraId="43E39D64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0" w:type="pct"/>
          </w:tcPr>
          <w:p w14:paraId="0E19CFCF" w14:textId="77777777" w:rsidR="00321DA5" w:rsidRPr="00321DA5" w:rsidRDefault="00321DA5" w:rsidP="00321DA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21DA5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YES</w:t>
            </w:r>
          </w:p>
        </w:tc>
      </w:tr>
    </w:tbl>
    <w:p w14:paraId="5ABD7E3F" w14:textId="3948C38E" w:rsidR="004262A0" w:rsidRPr="00183C28" w:rsidRDefault="004262A0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782E46C" w14:textId="3381C1CD" w:rsidR="00895852" w:rsidRPr="00183C28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3F4A2A7" w14:textId="2B109798" w:rsidR="00895852" w:rsidRPr="00183C28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6945B2A" w14:textId="747A35E4" w:rsidR="00895852" w:rsidRPr="00183C28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F7271A7" w14:textId="347ED708" w:rsidR="00895852" w:rsidRPr="00183C28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10C0CB3" w14:textId="464FEABF" w:rsidR="00895852" w:rsidRPr="00183C28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2ED7251" w14:textId="6A472C98" w:rsidR="00895852" w:rsidRPr="00183C28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786B2A4" w14:textId="2DAC1A5F" w:rsidR="00895852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E7C7C96" w14:textId="48C46AAC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23D1CB4" w14:textId="6D830585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677C13E" w14:textId="4B3D402A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7D36088" w14:textId="532AE9A4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052272C" w14:textId="5AB5A0B8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4E3959A" w14:textId="29EEF7DC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FA76E44" w14:textId="653DFB25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5D8AF7B" w14:textId="34D0D0E2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9EA47B7" w14:textId="3BCE1A9C" w:rsidR="0057121A" w:rsidRDefault="0057121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1E21B18" w14:textId="77777777" w:rsidR="004D0E13" w:rsidRDefault="004D0E1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CA0785D" w14:textId="2EA8195F" w:rsidR="00895852" w:rsidRDefault="00895852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Supplementary 2</w:t>
      </w:r>
    </w:p>
    <w:p w14:paraId="0BEE7B4D" w14:textId="5853AA31" w:rsidR="00343A33" w:rsidRPr="00183C28" w:rsidRDefault="00343A33" w:rsidP="0057121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 w:rsidRPr="00214D50">
        <w:rPr>
          <w:rFonts w:ascii="Times New Roman" w:hAnsi="Times New Roman" w:cs="Times New Roman"/>
          <w:b/>
          <w:bCs/>
          <w:sz w:val="24"/>
          <w:szCs w:val="24"/>
        </w:rPr>
        <w:t>Literature</w:t>
      </w:r>
      <w:proofErr w:type="spellEnd"/>
      <w:r w:rsidRPr="00214D50"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proofErr w:type="spellStart"/>
      <w:r w:rsidRPr="00214D50">
        <w:rPr>
          <w:rFonts w:ascii="Times New Roman" w:hAnsi="Times New Roman" w:cs="Times New Roman"/>
          <w:b/>
          <w:bCs/>
          <w:sz w:val="24"/>
          <w:szCs w:val="24"/>
        </w:rPr>
        <w:t>Patterns</w:t>
      </w:r>
      <w:proofErr w:type="spellEnd"/>
      <w:r w:rsidRPr="00214D50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214D50">
        <w:rPr>
          <w:rFonts w:ascii="Times New Roman" w:hAnsi="Times New Roman" w:cs="Times New Roman"/>
          <w:b/>
          <w:bCs/>
          <w:sz w:val="24"/>
          <w:szCs w:val="24"/>
        </w:rPr>
        <w:t>esions</w:t>
      </w:r>
      <w:proofErr w:type="spellEnd"/>
      <w:r w:rsidRPr="00214D50">
        <w:rPr>
          <w:rFonts w:ascii="Times New Roman" w:hAnsi="Times New Roman" w:cs="Times New Roman"/>
          <w:sz w:val="24"/>
          <w:szCs w:val="24"/>
        </w:rPr>
        <w:t xml:space="preserve"> </w:t>
      </w:r>
      <w:r w:rsidRPr="00214D50">
        <w:rPr>
          <w:rFonts w:ascii="Times New Roman" w:hAnsi="Times New Roman" w:cs="Times New Roman"/>
          <w:b/>
          <w:bCs/>
          <w:sz w:val="24"/>
          <w:szCs w:val="24"/>
        </w:rPr>
        <w:t>SI</w:t>
      </w:r>
    </w:p>
    <w:p w14:paraId="2F5B2766" w14:textId="7FB923C1" w:rsidR="00895852" w:rsidRPr="00183C28" w:rsidRDefault="00895852" w:rsidP="0057121A">
      <w:pPr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t>T1 and T2 S</w:t>
      </w:r>
      <w:r w:rsid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t>I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. A great variability in T1/T2 SI on a per-lesion basis was observed, although multiple IPTLs in the same liver showed similar imaging features. In T1W </w:t>
      </w:r>
      <w:r w:rsidR="00183C28">
        <w:rPr>
          <w:rFonts w:ascii="Times New Roman" w:hAnsi="Times New Roman" w:cs="Times New Roman"/>
          <w:sz w:val="24"/>
          <w:szCs w:val="24"/>
          <w:lang w:val="en-GB"/>
        </w:rPr>
        <w:t xml:space="preserve">images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>the great majority of lesions (88%, 60/68 of IPTLs) showed a homogenous hypointense appearance. Other T1W patterns (homogenous hyperintense 6%, three- and two-layered concentric “targetoid appearance” [</w:t>
      </w:r>
      <w:r w:rsidR="00775FED">
        <w:rPr>
          <w:rFonts w:ascii="Times New Roman" w:hAnsi="Times New Roman" w:cs="Times New Roman"/>
          <w:sz w:val="24"/>
          <w:szCs w:val="24"/>
          <w:lang w:val="en-GB"/>
        </w:rPr>
        <w:t>with hypointense or hyperintense core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>] 6%) are a minority. In T2W</w:t>
      </w:r>
      <w:r w:rsidR="00775FED">
        <w:rPr>
          <w:rFonts w:ascii="Times New Roman" w:hAnsi="Times New Roman" w:cs="Times New Roman"/>
          <w:sz w:val="24"/>
          <w:szCs w:val="24"/>
          <w:lang w:val="en-GB"/>
        </w:rPr>
        <w:t xml:space="preserve"> images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, the most frequent pattern was homogenous hyperintense (35%, 24/68 of IPTLs), followed by "targetoid" appearance with hyperintense central core (31%, 21/68) and "inhomogeneous" pattern with hyperintense alternating with hypointense areas without a defined distribution (25%, 17/68). The homogeneously hypointense pattern in T2W at diagnosis was the least frequent, found in 8% of cases (6/68). </w:t>
      </w:r>
    </w:p>
    <w:p w14:paraId="57034AE5" w14:textId="5CE95DF1" w:rsidR="00895852" w:rsidRPr="00183C28" w:rsidRDefault="00895852" w:rsidP="0057121A">
      <w:pPr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t>Contrast-Enhanced Studies.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Considering the contrast-enhanced MR</w:t>
      </w:r>
      <w:r w:rsidR="00775FED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, conventional Gd-chelates were used in eighty-six patients while, in twenty-seven patients a liver-speciﬁc Gd-chelates contrast agent was used. </w:t>
      </w:r>
      <w:r w:rsidR="00775FED">
        <w:rPr>
          <w:rFonts w:ascii="Times New Roman" w:hAnsi="Times New Roman" w:cs="Times New Roman"/>
          <w:sz w:val="24"/>
          <w:szCs w:val="24"/>
          <w:lang w:val="en-GB"/>
        </w:rPr>
        <w:t>Multiple IPTLs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in the same liver showed a similar pattern. Considering the overall enhancement pattern, 51% (57/113) of patients showed a “targetoid” enhancement pattern visible at least in one phase of the dynamic study. Of this "targetoid" pattern, the vast majority, forty-seven (42%), show a hypointense central core, only 10 (9%) a central core enhancement. Fifteen patients (13%) showed a homogeneous and progressive enhancement pattern, thirty-two (27%) patients showed a heterogeneous enhancement pattern. Nine patients (8%) showed at diagnosis a homogenous hypointense (</w:t>
      </w:r>
      <w:proofErr w:type="spellStart"/>
      <w:r w:rsidRPr="00183C28">
        <w:rPr>
          <w:rFonts w:ascii="Times New Roman" w:hAnsi="Times New Roman" w:cs="Times New Roman"/>
          <w:sz w:val="24"/>
          <w:szCs w:val="24"/>
          <w:lang w:val="en-GB"/>
        </w:rPr>
        <w:t>hypovascular</w:t>
      </w:r>
      <w:proofErr w:type="spellEnd"/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) pattern. </w:t>
      </w:r>
    </w:p>
    <w:p w14:paraId="345D210A" w14:textId="499A804C" w:rsidR="00895852" w:rsidRPr="00183C28" w:rsidRDefault="00895852" w:rsidP="0057121A">
      <w:pPr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t>Hepatobiliary Phase.</w:t>
      </w:r>
      <w:r w:rsidR="00F44ED0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At hepatobiliary phase, </w:t>
      </w:r>
      <w:r w:rsidR="00F44ED0">
        <w:rPr>
          <w:rFonts w:ascii="Times New Roman" w:hAnsi="Times New Roman" w:cs="Times New Roman"/>
          <w:sz w:val="24"/>
          <w:szCs w:val="24"/>
          <w:lang w:val="en-GB"/>
        </w:rPr>
        <w:t xml:space="preserve">that </w:t>
      </w:r>
      <w:r w:rsidR="00F44ED0" w:rsidRPr="00183C28">
        <w:rPr>
          <w:rFonts w:ascii="Times New Roman" w:hAnsi="Times New Roman" w:cs="Times New Roman"/>
          <w:sz w:val="24"/>
          <w:szCs w:val="24"/>
          <w:lang w:val="en-GB"/>
        </w:rPr>
        <w:t>was available in twenty-seven p</w:t>
      </w:r>
      <w:r w:rsidR="00F44ED0">
        <w:rPr>
          <w:rFonts w:ascii="Times New Roman" w:hAnsi="Times New Roman" w:cs="Times New Roman"/>
          <w:sz w:val="24"/>
          <w:szCs w:val="24"/>
          <w:lang w:val="en-GB"/>
        </w:rPr>
        <w:t>atients,</w:t>
      </w:r>
      <w:r w:rsidR="00F44ED0"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the majority of </w:t>
      </w:r>
      <w:r w:rsidR="00F44ED0">
        <w:rPr>
          <w:rFonts w:ascii="Times New Roman" w:hAnsi="Times New Roman" w:cs="Times New Roman"/>
          <w:sz w:val="24"/>
          <w:szCs w:val="24"/>
          <w:lang w:val="en-GB"/>
        </w:rPr>
        <w:t>IPTLs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(63%, 17/27) showed a two-layered targetoid pattern with hyperintense peripheral rim; nine </w:t>
      </w:r>
      <w:r w:rsidR="00F44ED0">
        <w:rPr>
          <w:rFonts w:ascii="Times New Roman" w:hAnsi="Times New Roman" w:cs="Times New Roman"/>
          <w:sz w:val="24"/>
          <w:szCs w:val="24"/>
          <w:lang w:val="en-GB"/>
        </w:rPr>
        <w:t>IPTLs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showed a homogeneous low SI with respect to the surrounding healthy (33%). Only one case (4%) showed a two-layered targetoid pattern with hyperintense central core. </w:t>
      </w:r>
    </w:p>
    <w:p w14:paraId="43C0890F" w14:textId="2D38053B" w:rsidR="00895852" w:rsidRDefault="00895852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lastRenderedPageBreak/>
        <w:t xml:space="preserve">Diffusion-Weighted </w:t>
      </w:r>
      <w:r w:rsidR="002C2C8B">
        <w:rPr>
          <w:rFonts w:ascii="Times New Roman" w:hAnsi="Times New Roman" w:cs="Times New Roman"/>
          <w:sz w:val="24"/>
          <w:szCs w:val="24"/>
          <w:u w:val="single"/>
          <w:lang w:val="en-GB"/>
        </w:rPr>
        <w:t>imaging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. DWI was available in forty </w:t>
      </w:r>
      <w:r w:rsidR="00F44ED0">
        <w:rPr>
          <w:rFonts w:ascii="Times New Roman" w:hAnsi="Times New Roman" w:cs="Times New Roman"/>
          <w:sz w:val="24"/>
          <w:szCs w:val="24"/>
          <w:lang w:val="en-GB"/>
        </w:rPr>
        <w:t>IPTLs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. Data on b-values ​​and other diffusion parameters were not available in all cases. However, only DW images on high b-values (&gt;750 mm2/s) were considered to derive the DWI pattern. ADC maps have never been reported in the literature for IPTL. </w:t>
      </w:r>
      <w:r w:rsidR="00F44ED0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he most frequent DWI pattern is represented by the homogeneous hyperintense (82%; 33/40); seven </w:t>
      </w:r>
      <w:r w:rsidR="00F44ED0">
        <w:rPr>
          <w:rFonts w:ascii="Times New Roman" w:hAnsi="Times New Roman" w:cs="Times New Roman"/>
          <w:sz w:val="24"/>
          <w:szCs w:val="24"/>
          <w:lang w:val="en-GB"/>
        </w:rPr>
        <w:t>IPTLs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(18%) showed a two-layered targetoid pattern with hyperintense peripheral rim.</w:t>
      </w:r>
    </w:p>
    <w:p w14:paraId="592D7336" w14:textId="3FA9C319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6EAE5FCF" w14:textId="329E7E36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055CBAC2" w14:textId="51754F7C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1C772BEE" w14:textId="22DD01CF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139B2C75" w14:textId="43053834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3A4A0978" w14:textId="455A0D9F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2AC95C1D" w14:textId="09DF85BA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5F19E518" w14:textId="7F76B038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075340C5" w14:textId="1FE872C0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3386F788" w14:textId="5BD2F6B2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474EDFC8" w14:textId="37EBE2AF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6F64240B" w14:textId="6FC7BD58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5CB7C2D7" w14:textId="10BAA546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636328DF" w14:textId="6E23E6EC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725EEBDC" w14:textId="3E8B4824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005B523E" w14:textId="4A6EBABD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14FEB091" w14:textId="09C86C9E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68FB96E1" w14:textId="16D81965" w:rsidR="0057121A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7B53017E" w14:textId="77777777" w:rsidR="0057121A" w:rsidRPr="00183C28" w:rsidRDefault="0057121A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3E425FEF" w14:textId="77777777" w:rsidR="00895852" w:rsidRPr="00183C28" w:rsidRDefault="00895852" w:rsidP="00895852">
      <w:pPr>
        <w:autoSpaceDE w:val="0"/>
        <w:autoSpaceDN w:val="0"/>
        <w:adjustRightInd w:val="0"/>
        <w:spacing w:after="0" w:line="36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7093FB86" w14:textId="1CB4FE5B" w:rsidR="00895852" w:rsidRDefault="00895852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3 </w:t>
      </w:r>
    </w:p>
    <w:p w14:paraId="668EB9C1" w14:textId="10F012B4" w:rsidR="00343A33" w:rsidRPr="00343A33" w:rsidRDefault="00343A33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Our experience - </w:t>
      </w:r>
      <w:r w:rsidRPr="00343A33">
        <w:rPr>
          <w:rFonts w:ascii="Times New Roman" w:hAnsi="Times New Roman" w:cs="Times New Roman"/>
          <w:b/>
          <w:bCs/>
          <w:sz w:val="24"/>
          <w:szCs w:val="24"/>
          <w:lang w:val="en-US"/>
        </w:rPr>
        <w:t>Patterns of lesions</w:t>
      </w:r>
      <w:r w:rsidRPr="00343A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43A33">
        <w:rPr>
          <w:rFonts w:ascii="Times New Roman" w:hAnsi="Times New Roman" w:cs="Times New Roman"/>
          <w:b/>
          <w:bCs/>
          <w:sz w:val="24"/>
          <w:szCs w:val="24"/>
          <w:lang w:val="en-US"/>
        </w:rPr>
        <w:t>SI</w:t>
      </w:r>
    </w:p>
    <w:p w14:paraId="2033507A" w14:textId="280A7404" w:rsidR="00895852" w:rsidRPr="00183C28" w:rsidRDefault="00895852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T1 and T2 Signal.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A great variability in T1/T2 SI on a per-lesion basis was observed, although multiple IPTLs in the same liver showed similar imaging features. The majority of lesions (63% of IPTLs, 10/16, with 6 multiple identical nodules in the same patient) showed a “targetoid appearance” </w:t>
      </w:r>
      <w:r w:rsidR="002C2C8B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T1W</w:t>
      </w:r>
      <w:r w:rsidR="002C2C8B">
        <w:rPr>
          <w:rFonts w:ascii="Times New Roman" w:hAnsi="Times New Roman" w:cs="Times New Roman"/>
          <w:sz w:val="24"/>
          <w:szCs w:val="24"/>
          <w:lang w:val="en-GB"/>
        </w:rPr>
        <w:t xml:space="preserve"> images</w:t>
      </w:r>
      <w:r w:rsidR="0098681A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>a three- and two-layered concentric pattern always with the hypointense central core</w:t>
      </w:r>
      <w:r w:rsidR="0098681A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. Four cases (25%) had a hypointense homogeneous appearance </w:t>
      </w:r>
      <w:r w:rsidR="002C2C8B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T1W</w:t>
      </w:r>
      <w:r w:rsidR="002C2C8B">
        <w:rPr>
          <w:rFonts w:ascii="Times New Roman" w:hAnsi="Times New Roman" w:cs="Times New Roman"/>
          <w:sz w:val="24"/>
          <w:szCs w:val="24"/>
          <w:lang w:val="en-GB"/>
        </w:rPr>
        <w:t xml:space="preserve"> images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and two cases (12,5%) a "targetoid appearance" but with a hyperintense central core. </w:t>
      </w:r>
      <w:r w:rsidR="002C2C8B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T2W</w:t>
      </w:r>
      <w:r w:rsidR="002C2C8B">
        <w:rPr>
          <w:rFonts w:ascii="Times New Roman" w:hAnsi="Times New Roman" w:cs="Times New Roman"/>
          <w:sz w:val="24"/>
          <w:szCs w:val="24"/>
          <w:lang w:val="en-GB"/>
        </w:rPr>
        <w:t xml:space="preserve"> images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, seven cases (44%) were homogeneously hyperintense, seven (44%) </w:t>
      </w:r>
      <w:r w:rsidR="002C2C8B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"targetoid" appearance. The targetoid appearance in T2W were supported by a hyperintense or iso/slightly hyperintense central core. Two cases (12%) showed a </w:t>
      </w:r>
      <w:r w:rsidR="002C2C8B">
        <w:rPr>
          <w:rFonts w:ascii="Times New Roman" w:hAnsi="Times New Roman" w:cs="Times New Roman"/>
          <w:sz w:val="24"/>
          <w:szCs w:val="24"/>
          <w:lang w:val="en-GB"/>
        </w:rPr>
        <w:t xml:space="preserve">T2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"heterogeneous" pattern with hyperintense areas alternating with hypointense areas without a defined distribution. </w:t>
      </w:r>
    </w:p>
    <w:p w14:paraId="6BA31802" w14:textId="3BEEFCB2" w:rsidR="00895852" w:rsidRPr="00183C28" w:rsidRDefault="00895852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t>Contrast-Enhanced Studies.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82156">
        <w:rPr>
          <w:rFonts w:ascii="Times New Roman" w:hAnsi="Times New Roman" w:cs="Times New Roman"/>
          <w:sz w:val="24"/>
          <w:szCs w:val="24"/>
          <w:lang w:val="en-GB"/>
        </w:rPr>
        <w:t xml:space="preserve">In all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>patients a liver-speciﬁc Gd-chelates contrast agent was used (Gd-EOB-DTPA in all cases). Different patterns of enhancement were observed among IPTLs of our series</w:t>
      </w:r>
      <w:r w:rsidR="001F3718">
        <w:rPr>
          <w:rFonts w:ascii="Times New Roman" w:hAnsi="Times New Roman" w:cs="Times New Roman"/>
          <w:sz w:val="24"/>
          <w:szCs w:val="24"/>
          <w:lang w:val="en-GB"/>
        </w:rPr>
        <w:t>, but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IPTLs in the same liver showed a similar pattern. Considering the overall enhancement pattern, 81% (13) of our </w:t>
      </w:r>
      <w:r w:rsidR="001F3718">
        <w:rPr>
          <w:rFonts w:ascii="Times New Roman" w:hAnsi="Times New Roman" w:cs="Times New Roman"/>
          <w:sz w:val="24"/>
          <w:szCs w:val="24"/>
          <w:lang w:val="en-GB"/>
        </w:rPr>
        <w:t xml:space="preserve">lesions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showed a targetoid enhancement pattern (either ring-enhancement or target-enhancement pattern) visible at least in one phase of the dynamic study. One </w:t>
      </w:r>
      <w:r w:rsidR="001F3718">
        <w:rPr>
          <w:rFonts w:ascii="Times New Roman" w:hAnsi="Times New Roman" w:cs="Times New Roman"/>
          <w:sz w:val="24"/>
          <w:szCs w:val="24"/>
          <w:lang w:val="en-GB"/>
        </w:rPr>
        <w:t>lesion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(6,5%) showed a homogeneous and progressive enhancement pattern, two (1</w:t>
      </w:r>
      <w:r w:rsidR="001F3718">
        <w:rPr>
          <w:rFonts w:ascii="Times New Roman" w:hAnsi="Times New Roman" w:cs="Times New Roman"/>
          <w:sz w:val="24"/>
          <w:szCs w:val="24"/>
          <w:lang w:val="en-GB"/>
        </w:rPr>
        <w:t>2,5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%) </w:t>
      </w:r>
      <w:r w:rsidR="001F3718">
        <w:rPr>
          <w:rFonts w:ascii="Times New Roman" w:hAnsi="Times New Roman" w:cs="Times New Roman"/>
          <w:sz w:val="24"/>
          <w:szCs w:val="24"/>
          <w:lang w:val="en-GB"/>
        </w:rPr>
        <w:t xml:space="preserve">lesions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showed a heterogeneous enhancement pattern. In our series 6/13 </w:t>
      </w:r>
      <w:r w:rsidR="001F3718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>PTLs having a targetoid enhancement pattern showed a T2 targetoid appearance. On the other hand, only one pseudotumor showed a targetoid appearance on T2W images (given by a large central colliquative area) without the targetoid dynamic enhancement pattern.</w:t>
      </w:r>
    </w:p>
    <w:p w14:paraId="6ADCEDB3" w14:textId="077524F9" w:rsidR="00895852" w:rsidRPr="00183C28" w:rsidRDefault="00895852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t>Hepatobiliary Phase.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Hepatobiliary phase was available in </w:t>
      </w:r>
      <w:r w:rsidR="00482156">
        <w:rPr>
          <w:rFonts w:ascii="Times New Roman" w:hAnsi="Times New Roman" w:cs="Times New Roman"/>
          <w:sz w:val="24"/>
          <w:szCs w:val="24"/>
          <w:lang w:val="en-GB"/>
        </w:rPr>
        <w:t>all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patients (ten IPTLs) of our series. At hepatobiliary phase </w:t>
      </w:r>
      <w:r w:rsidR="005616E7">
        <w:rPr>
          <w:rFonts w:ascii="Times New Roman" w:hAnsi="Times New Roman" w:cs="Times New Roman"/>
          <w:sz w:val="24"/>
          <w:szCs w:val="24"/>
          <w:lang w:val="en-GB"/>
        </w:rPr>
        <w:t xml:space="preserve">IPTLS 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>of our series showed a homogeneous low SI with respect to the surrounding healthy liver in all patients (100%).</w:t>
      </w:r>
    </w:p>
    <w:p w14:paraId="3897D84D" w14:textId="01BE5A39" w:rsidR="00895852" w:rsidRPr="00183C28" w:rsidRDefault="00895852" w:rsidP="0057121A">
      <w:pPr>
        <w:autoSpaceDE w:val="0"/>
        <w:autoSpaceDN w:val="0"/>
        <w:adjustRightInd w:val="0"/>
        <w:spacing w:after="0" w:line="48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  <w:r w:rsidRPr="00183C28">
        <w:rPr>
          <w:rFonts w:ascii="Times New Roman" w:hAnsi="Times New Roman" w:cs="Times New Roman"/>
          <w:sz w:val="24"/>
          <w:szCs w:val="24"/>
          <w:u w:val="single"/>
          <w:lang w:val="en-GB"/>
        </w:rPr>
        <w:lastRenderedPageBreak/>
        <w:t xml:space="preserve">Diffusion-Weighted </w:t>
      </w:r>
      <w:r w:rsidR="002C2C8B">
        <w:rPr>
          <w:rFonts w:ascii="Times New Roman" w:hAnsi="Times New Roman" w:cs="Times New Roman"/>
          <w:sz w:val="24"/>
          <w:szCs w:val="24"/>
          <w:u w:val="single"/>
          <w:lang w:val="en-GB"/>
        </w:rPr>
        <w:t>imaging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. DWI was available in </w:t>
      </w:r>
      <w:r w:rsidR="00482156">
        <w:rPr>
          <w:rFonts w:ascii="Times New Roman" w:hAnsi="Times New Roman" w:cs="Times New Roman"/>
          <w:sz w:val="24"/>
          <w:szCs w:val="24"/>
          <w:lang w:val="en-GB"/>
        </w:rPr>
        <w:t>all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patients (seven IPTLs). In this series b values of 0 and 750 mm</w:t>
      </w:r>
      <w:r w:rsidRPr="005616E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/sec and </w:t>
      </w:r>
      <w:r w:rsidR="005616E7">
        <w:rPr>
          <w:rFonts w:ascii="Times New Roman" w:hAnsi="Times New Roman" w:cs="Times New Roman"/>
          <w:sz w:val="24"/>
          <w:szCs w:val="24"/>
          <w:lang w:val="en-GB"/>
        </w:rPr>
        <w:t>ADC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map</w:t>
      </w:r>
      <w:r w:rsidR="005616E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were available in all patients. At b 750 mm</w:t>
      </w:r>
      <w:r w:rsidRPr="005616E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>/sec IPTLs of our series showed a two-layered targetoid appearance with a core of low SI and a peripheral hyperintense halo in all cases (100%). The targetoid appearance of IPTL at b 750 mm</w:t>
      </w:r>
      <w:r w:rsidRPr="005616E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/sec corresponded to a ring appearance on the ADC map (peripheral </w:t>
      </w:r>
      <w:r w:rsidR="005616E7">
        <w:rPr>
          <w:rFonts w:ascii="Times New Roman" w:hAnsi="Times New Roman" w:cs="Times New Roman"/>
          <w:sz w:val="24"/>
          <w:szCs w:val="24"/>
          <w:lang w:val="en-GB"/>
        </w:rPr>
        <w:t>hypointense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halo</w:t>
      </w:r>
      <w:r w:rsidR="005616E7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and high </w:t>
      </w:r>
      <w:r w:rsidR="005616E7">
        <w:rPr>
          <w:rFonts w:ascii="Times New Roman" w:hAnsi="Times New Roman" w:cs="Times New Roman"/>
          <w:sz w:val="24"/>
          <w:szCs w:val="24"/>
          <w:lang w:val="en-GB"/>
        </w:rPr>
        <w:t>SI of the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 core</w:t>
      </w:r>
      <w:r w:rsidR="005616E7">
        <w:rPr>
          <w:rFonts w:ascii="Times New Roman" w:hAnsi="Times New Roman" w:cs="Times New Roman"/>
          <w:sz w:val="24"/>
          <w:szCs w:val="24"/>
          <w:lang w:val="en-GB"/>
        </w:rPr>
        <w:t xml:space="preserve"> lesions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) in 5 </w:t>
      </w:r>
      <w:r w:rsidR="005616E7">
        <w:rPr>
          <w:rFonts w:ascii="Times New Roman" w:hAnsi="Times New Roman" w:cs="Times New Roman"/>
          <w:sz w:val="24"/>
          <w:szCs w:val="24"/>
          <w:lang w:val="en-GB"/>
        </w:rPr>
        <w:t>IPTLs</w:t>
      </w:r>
      <w:r w:rsidRPr="00183C2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73C93B0C" w14:textId="3451C795" w:rsidR="00895852" w:rsidRPr="00183C28" w:rsidRDefault="00895852" w:rsidP="00895852">
      <w:pPr>
        <w:autoSpaceDE w:val="0"/>
        <w:autoSpaceDN w:val="0"/>
        <w:adjustRightInd w:val="0"/>
        <w:spacing w:after="0" w:line="360" w:lineRule="auto"/>
        <w:contextualSpacing/>
        <w:mirrorIndents/>
        <w:rPr>
          <w:rFonts w:ascii="Times New Roman" w:hAnsi="Times New Roman" w:cs="Times New Roman"/>
          <w:sz w:val="24"/>
          <w:szCs w:val="24"/>
          <w:lang w:val="en-GB"/>
        </w:rPr>
      </w:pPr>
    </w:p>
    <w:p w14:paraId="37671D73" w14:textId="77777777" w:rsidR="00895852" w:rsidRPr="00183C28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C548975" w14:textId="77777777" w:rsidR="00895852" w:rsidRPr="00183C28" w:rsidRDefault="0089585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sectPr w:rsidR="00895852" w:rsidRPr="00183C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A0"/>
    <w:rsid w:val="00183C28"/>
    <w:rsid w:val="001F3718"/>
    <w:rsid w:val="002C2C8B"/>
    <w:rsid w:val="00321DA5"/>
    <w:rsid w:val="00343A33"/>
    <w:rsid w:val="004262A0"/>
    <w:rsid w:val="00482156"/>
    <w:rsid w:val="004D0E13"/>
    <w:rsid w:val="005616E7"/>
    <w:rsid w:val="0057121A"/>
    <w:rsid w:val="00631645"/>
    <w:rsid w:val="00775FED"/>
    <w:rsid w:val="00895852"/>
    <w:rsid w:val="0098681A"/>
    <w:rsid w:val="009A46BB"/>
    <w:rsid w:val="00ED6F34"/>
    <w:rsid w:val="00F4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76B6"/>
  <w15:chartTrackingRefBased/>
  <w15:docId w15:val="{99E9C12D-2DCA-4407-AE40-B57643F1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6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62A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426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8958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95852"/>
    <w:pPr>
      <w:spacing w:line="240" w:lineRule="auto"/>
    </w:pPr>
    <w:rPr>
      <w:sz w:val="20"/>
      <w:szCs w:val="20"/>
      <w:lang w:val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95852"/>
    <w:rPr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3C28"/>
    <w:rPr>
      <w:b/>
      <w:bCs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3C28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8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Linda Calistri</cp:lastModifiedBy>
  <cp:revision>9</cp:revision>
  <dcterms:created xsi:type="dcterms:W3CDTF">2021-06-29T13:30:00Z</dcterms:created>
  <dcterms:modified xsi:type="dcterms:W3CDTF">2022-01-27T12:15:00Z</dcterms:modified>
</cp:coreProperties>
</file>