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FF4" w:rsidRDefault="00AF5FF4" w:rsidP="00AF5FF4">
      <w:pPr>
        <w:spacing w:line="480" w:lineRule="auto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Supplemental table and figure legends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3544"/>
      </w:tblGrid>
      <w:tr w:rsidR="00AF5FF4" w:rsidRPr="00801C86" w:rsidTr="000C365A">
        <w:tc>
          <w:tcPr>
            <w:tcW w:w="7650" w:type="dxa"/>
            <w:gridSpan w:val="3"/>
          </w:tcPr>
          <w:p w:rsidR="00AF5FF4" w:rsidRPr="00801C86" w:rsidRDefault="00AF5FF4" w:rsidP="000C365A">
            <w:pPr>
              <w:spacing w:line="360" w:lineRule="auto"/>
              <w:rPr>
                <w:b/>
                <w:color w:val="000000" w:themeColor="text1"/>
                <w:sz w:val="22"/>
                <w:szCs w:val="22"/>
              </w:rPr>
            </w:pPr>
            <w:r w:rsidRPr="00801C86">
              <w:rPr>
                <w:b/>
                <w:color w:val="000000" w:themeColor="text1"/>
                <w:sz w:val="22"/>
                <w:szCs w:val="22"/>
              </w:rPr>
              <w:t xml:space="preserve">Table S1. Reagents used for flow </w:t>
            </w:r>
            <w:proofErr w:type="spellStart"/>
            <w:r w:rsidRPr="00801C86">
              <w:rPr>
                <w:b/>
                <w:color w:val="000000" w:themeColor="text1"/>
                <w:sz w:val="22"/>
                <w:szCs w:val="22"/>
              </w:rPr>
              <w:t>cytometric</w:t>
            </w:r>
            <w:proofErr w:type="spellEnd"/>
            <w:r w:rsidRPr="00801C86">
              <w:rPr>
                <w:b/>
                <w:color w:val="000000" w:themeColor="text1"/>
                <w:sz w:val="22"/>
                <w:szCs w:val="22"/>
              </w:rPr>
              <w:t xml:space="preserve"> analysis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b/>
                <w:color w:val="000000" w:themeColor="text1"/>
                <w:sz w:val="22"/>
                <w:szCs w:val="22"/>
              </w:rPr>
            </w:pPr>
            <w:r w:rsidRPr="00801C86">
              <w:rPr>
                <w:b/>
                <w:color w:val="000000" w:themeColor="text1"/>
                <w:sz w:val="22"/>
                <w:szCs w:val="22"/>
              </w:rPr>
              <w:t>Antigen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b/>
                <w:color w:val="000000" w:themeColor="text1"/>
                <w:sz w:val="22"/>
                <w:szCs w:val="22"/>
              </w:rPr>
              <w:t>Fluorochrome</w:t>
            </w:r>
            <w:proofErr w:type="spellEnd"/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b/>
                <w:color w:val="000000" w:themeColor="text1"/>
                <w:sz w:val="22"/>
                <w:szCs w:val="22"/>
              </w:rPr>
              <w:t>Provider/</w:t>
            </w:r>
            <w:proofErr w:type="spellStart"/>
            <w:r w:rsidRPr="00801C86">
              <w:rPr>
                <w:b/>
                <w:color w:val="000000" w:themeColor="text1"/>
                <w:sz w:val="22"/>
                <w:szCs w:val="22"/>
              </w:rPr>
              <w:t>Catalog</w:t>
            </w:r>
            <w:proofErr w:type="spellEnd"/>
            <w:r w:rsidRPr="00801C86">
              <w:rPr>
                <w:b/>
                <w:color w:val="000000" w:themeColor="text1"/>
                <w:sz w:val="22"/>
                <w:szCs w:val="22"/>
              </w:rPr>
              <w:t xml:space="preserve"> number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CD3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tabs>
                <w:tab w:val="left" w:pos="520"/>
              </w:tabs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APC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/317318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CD4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BV711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/317440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CD8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BV650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/301042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CD8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PerCP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/Cyanine5.5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/301032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CD56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PE-Cy7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/318318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CD38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AlexaFluor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 xml:space="preserve"> 488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/303512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CD19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PE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/302208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Live/dead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UV450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ThermoFisher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 xml:space="preserve"> Scientific/L23105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CA-125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/666904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WT1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Alexa Fluor® 647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Abcam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 ab202639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EpCAM</w:t>
            </w:r>
            <w:proofErr w:type="spellEnd"/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PE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Invitrogen/12-9326-42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HLA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PE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Invitrogen/12-9983-42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PD-L1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APC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/329708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Mouse IgG2a k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PE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Invitrogen/ 12-4724-81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Mouse IgG1 k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PE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Invitrogen/ 12-4714-42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Mouse IgG2b κ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APC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Biolegend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/400322</w:t>
            </w:r>
          </w:p>
        </w:tc>
      </w:tr>
      <w:tr w:rsidR="00AF5FF4" w:rsidRPr="00801C86" w:rsidTr="000C365A">
        <w:tc>
          <w:tcPr>
            <w:tcW w:w="1980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Goat anti-mouse secondary Ab</w:t>
            </w:r>
          </w:p>
        </w:tc>
        <w:tc>
          <w:tcPr>
            <w:tcW w:w="2126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801C86">
              <w:rPr>
                <w:color w:val="000000" w:themeColor="text1"/>
                <w:sz w:val="22"/>
                <w:szCs w:val="22"/>
              </w:rPr>
              <w:t>PE</w:t>
            </w:r>
          </w:p>
        </w:tc>
        <w:tc>
          <w:tcPr>
            <w:tcW w:w="3544" w:type="dxa"/>
          </w:tcPr>
          <w:p w:rsidR="00AF5FF4" w:rsidRPr="00801C86" w:rsidRDefault="00AF5FF4" w:rsidP="000C365A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01C86">
              <w:rPr>
                <w:color w:val="000000" w:themeColor="text1"/>
                <w:sz w:val="22"/>
                <w:szCs w:val="22"/>
              </w:rPr>
              <w:t>Dako</w:t>
            </w:r>
            <w:proofErr w:type="spellEnd"/>
            <w:r w:rsidRPr="00801C86">
              <w:rPr>
                <w:color w:val="000000" w:themeColor="text1"/>
                <w:sz w:val="22"/>
                <w:szCs w:val="22"/>
              </w:rPr>
              <w:t>/R0480</w:t>
            </w:r>
          </w:p>
        </w:tc>
      </w:tr>
    </w:tbl>
    <w:p w:rsidR="00AF5FF4" w:rsidRPr="00801C86" w:rsidRDefault="00AF5FF4" w:rsidP="00AF5FF4">
      <w:pPr>
        <w:spacing w:line="480" w:lineRule="auto"/>
        <w:jc w:val="both"/>
        <w:rPr>
          <w:b/>
          <w:color w:val="000000" w:themeColor="text1"/>
          <w:sz w:val="22"/>
          <w:szCs w:val="22"/>
        </w:rPr>
      </w:pPr>
    </w:p>
    <w:p w:rsidR="00AF5FF4" w:rsidRPr="00801C86" w:rsidRDefault="00AF5FF4" w:rsidP="00AF5FF4">
      <w:pPr>
        <w:spacing w:line="480" w:lineRule="auto"/>
        <w:jc w:val="both"/>
        <w:rPr>
          <w:color w:val="000000" w:themeColor="text1"/>
          <w:sz w:val="22"/>
          <w:szCs w:val="22"/>
        </w:rPr>
      </w:pPr>
      <w:r w:rsidRPr="00801C86">
        <w:rPr>
          <w:b/>
          <w:color w:val="000000" w:themeColor="text1"/>
          <w:sz w:val="22"/>
          <w:szCs w:val="22"/>
        </w:rPr>
        <w:t xml:space="preserve">Figure S1. Assay setup and gating strategy. </w:t>
      </w:r>
      <w:r w:rsidR="009E3F2F">
        <w:rPr>
          <w:color w:val="000000" w:themeColor="text1"/>
          <w:sz w:val="22"/>
          <w:szCs w:val="22"/>
        </w:rPr>
        <w:t>a</w:t>
      </w:r>
      <w:r w:rsidRPr="00801C86">
        <w:rPr>
          <w:color w:val="000000" w:themeColor="text1"/>
          <w:sz w:val="22"/>
          <w:szCs w:val="22"/>
        </w:rPr>
        <w:t>) Gra</w:t>
      </w:r>
      <w:r w:rsidR="009E3F2F">
        <w:rPr>
          <w:color w:val="000000" w:themeColor="text1"/>
          <w:sz w:val="22"/>
          <w:szCs w:val="22"/>
        </w:rPr>
        <w:t>phic illustration of the TICS. b</w:t>
      </w:r>
      <w:r w:rsidRPr="00801C86">
        <w:rPr>
          <w:color w:val="000000" w:themeColor="text1"/>
          <w:sz w:val="22"/>
          <w:szCs w:val="22"/>
        </w:rPr>
        <w:t>) Gating strategy to analyse lymphocyte activation in TICS.</w:t>
      </w:r>
    </w:p>
    <w:p w:rsidR="00AF5FF4" w:rsidRPr="00801C86" w:rsidRDefault="00AF5FF4" w:rsidP="00AF5FF4">
      <w:pPr>
        <w:spacing w:line="480" w:lineRule="auto"/>
        <w:jc w:val="both"/>
        <w:rPr>
          <w:sz w:val="22"/>
          <w:szCs w:val="22"/>
        </w:rPr>
      </w:pPr>
      <w:r w:rsidRPr="00801C86">
        <w:rPr>
          <w:b/>
          <w:color w:val="000000" w:themeColor="text1"/>
          <w:sz w:val="22"/>
          <w:szCs w:val="22"/>
        </w:rPr>
        <w:t xml:space="preserve">Figure S2. Characterisation of the TICS. </w:t>
      </w:r>
      <w:r w:rsidR="009E3F2F">
        <w:rPr>
          <w:color w:val="000000" w:themeColor="text1"/>
          <w:sz w:val="22"/>
          <w:szCs w:val="22"/>
        </w:rPr>
        <w:t>a</w:t>
      </w:r>
      <w:r w:rsidRPr="00801C86">
        <w:rPr>
          <w:color w:val="000000" w:themeColor="text1"/>
          <w:sz w:val="22"/>
          <w:szCs w:val="22"/>
        </w:rPr>
        <w:t>) A fixed number of primary human lymphocytes are co-cultured with decreasing numbers of human breast cancer cell line MDA-MB-231</w:t>
      </w:r>
      <w:r w:rsidRPr="00801C86">
        <w:rPr>
          <w:sz w:val="22"/>
          <w:szCs w:val="22"/>
        </w:rPr>
        <w:t xml:space="preserve"> in presence of an isotype control antibody or </w:t>
      </w:r>
      <w:proofErr w:type="gramStart"/>
      <w:r w:rsidRPr="00801C86">
        <w:rPr>
          <w:sz w:val="22"/>
          <w:szCs w:val="22"/>
        </w:rPr>
        <w:t>an</w:t>
      </w:r>
      <w:proofErr w:type="gramEnd"/>
      <w:r w:rsidRPr="00801C86">
        <w:rPr>
          <w:sz w:val="22"/>
          <w:szCs w:val="22"/>
        </w:rPr>
        <w:t xml:space="preserve"> αPD1 </w:t>
      </w:r>
      <w:proofErr w:type="spellStart"/>
      <w:r w:rsidRPr="00801C86">
        <w:rPr>
          <w:sz w:val="22"/>
          <w:szCs w:val="22"/>
        </w:rPr>
        <w:t>mAb</w:t>
      </w:r>
      <w:proofErr w:type="spellEnd"/>
      <w:r w:rsidRPr="00801C86">
        <w:rPr>
          <w:sz w:val="22"/>
          <w:szCs w:val="22"/>
        </w:rPr>
        <w:t xml:space="preserve"> (clone LO115, 10 </w:t>
      </w:r>
      <w:proofErr w:type="spellStart"/>
      <w:r w:rsidRPr="00801C86">
        <w:rPr>
          <w:sz w:val="22"/>
          <w:szCs w:val="22"/>
        </w:rPr>
        <w:t>μg</w:t>
      </w:r>
      <w:proofErr w:type="spellEnd"/>
      <w:r w:rsidRPr="00801C86">
        <w:rPr>
          <w:sz w:val="22"/>
          <w:szCs w:val="22"/>
        </w:rPr>
        <w:t>/ml). The resulted activation of CD8+ T cells, CD4+ T cells and NK cells, as well as sol</w:t>
      </w:r>
      <w:r w:rsidR="009E3F2F">
        <w:rPr>
          <w:sz w:val="22"/>
          <w:szCs w:val="22"/>
        </w:rPr>
        <w:t xml:space="preserve">uble </w:t>
      </w:r>
      <w:proofErr w:type="spellStart"/>
      <w:r w:rsidR="009E3F2F">
        <w:rPr>
          <w:sz w:val="22"/>
          <w:szCs w:val="22"/>
        </w:rPr>
        <w:t>IFNγ</w:t>
      </w:r>
      <w:proofErr w:type="spellEnd"/>
      <w:r w:rsidR="009E3F2F">
        <w:rPr>
          <w:sz w:val="22"/>
          <w:szCs w:val="22"/>
        </w:rPr>
        <w:t xml:space="preserve"> levels are measured. b</w:t>
      </w:r>
      <w:r w:rsidRPr="00801C86">
        <w:rPr>
          <w:sz w:val="22"/>
          <w:szCs w:val="22"/>
        </w:rPr>
        <w:t xml:space="preserve">) Effects of an isotype or αPD1 </w:t>
      </w:r>
      <w:proofErr w:type="spellStart"/>
      <w:r w:rsidRPr="00801C86">
        <w:rPr>
          <w:sz w:val="22"/>
          <w:szCs w:val="22"/>
        </w:rPr>
        <w:t>mAb</w:t>
      </w:r>
      <w:proofErr w:type="spellEnd"/>
      <w:r w:rsidRPr="00801C86">
        <w:rPr>
          <w:sz w:val="22"/>
          <w:szCs w:val="22"/>
        </w:rPr>
        <w:t xml:space="preserve"> (clone LO115, 10 </w:t>
      </w:r>
      <w:proofErr w:type="spellStart"/>
      <w:r w:rsidRPr="00801C86">
        <w:rPr>
          <w:sz w:val="22"/>
          <w:szCs w:val="22"/>
        </w:rPr>
        <w:t>μg</w:t>
      </w:r>
      <w:proofErr w:type="spellEnd"/>
      <w:r w:rsidRPr="00801C86">
        <w:rPr>
          <w:sz w:val="22"/>
          <w:szCs w:val="22"/>
        </w:rPr>
        <w:t xml:space="preserve">/ml) on the activation of CD8+ T cells are shown in </w:t>
      </w:r>
      <w:proofErr w:type="gramStart"/>
      <w:r w:rsidRPr="00801C86">
        <w:rPr>
          <w:sz w:val="22"/>
          <w:szCs w:val="22"/>
        </w:rPr>
        <w:t>4</w:t>
      </w:r>
      <w:proofErr w:type="gramEnd"/>
      <w:r w:rsidRPr="00801C86">
        <w:rPr>
          <w:sz w:val="22"/>
          <w:szCs w:val="22"/>
        </w:rPr>
        <w:t xml:space="preserve"> independent lym</w:t>
      </w:r>
      <w:r w:rsidR="009E3F2F">
        <w:rPr>
          <w:sz w:val="22"/>
          <w:szCs w:val="22"/>
        </w:rPr>
        <w:t xml:space="preserve">phocyte donors, paired T test. </w:t>
      </w:r>
      <w:r w:rsidR="009E3F2F" w:rsidRPr="009E3F2F">
        <w:rPr>
          <w:sz w:val="22"/>
          <w:szCs w:val="22"/>
          <w:highlight w:val="yellow"/>
        </w:rPr>
        <w:t>c) Representative experiment to demonstrate the effects of blocking antibodies against human HLA-ABC and HLA-DR</w:t>
      </w:r>
      <w:r w:rsidR="00523BAB">
        <w:rPr>
          <w:sz w:val="22"/>
          <w:szCs w:val="22"/>
          <w:highlight w:val="yellow"/>
        </w:rPr>
        <w:t xml:space="preserve"> on the proliferation of CD8+ and CD4+ T cells</w:t>
      </w:r>
      <w:r w:rsidR="009E3F2F" w:rsidRPr="009E3F2F">
        <w:rPr>
          <w:sz w:val="22"/>
          <w:szCs w:val="22"/>
          <w:highlight w:val="yellow"/>
        </w:rPr>
        <w:t xml:space="preserve"> in presence or absence of a PD-L1 blocking antibody.</w:t>
      </w:r>
      <w:r w:rsidR="009E3F2F">
        <w:rPr>
          <w:sz w:val="22"/>
          <w:szCs w:val="22"/>
        </w:rPr>
        <w:t xml:space="preserve"> d</w:t>
      </w:r>
      <w:r w:rsidRPr="00801C86">
        <w:rPr>
          <w:sz w:val="22"/>
          <w:szCs w:val="22"/>
        </w:rPr>
        <w:t xml:space="preserve">) Correlations between the activation of CD4+ T </w:t>
      </w:r>
      <w:r w:rsidRPr="00801C86">
        <w:rPr>
          <w:sz w:val="22"/>
          <w:szCs w:val="22"/>
        </w:rPr>
        <w:lastRenderedPageBreak/>
        <w:t xml:space="preserve">cells and NK cells in presence of an isotype control antibody or </w:t>
      </w:r>
      <w:proofErr w:type="gramStart"/>
      <w:r w:rsidRPr="00801C86">
        <w:rPr>
          <w:sz w:val="22"/>
          <w:szCs w:val="22"/>
        </w:rPr>
        <w:t>an</w:t>
      </w:r>
      <w:proofErr w:type="gramEnd"/>
      <w:r w:rsidRPr="00801C86">
        <w:rPr>
          <w:sz w:val="22"/>
          <w:szCs w:val="22"/>
        </w:rPr>
        <w:t xml:space="preserve"> αPD-L1 antibody in T</w:t>
      </w:r>
      <w:r w:rsidR="00523BAB">
        <w:rPr>
          <w:sz w:val="22"/>
          <w:szCs w:val="22"/>
        </w:rPr>
        <w:t>ICS as a supplement to Figure 1c</w:t>
      </w:r>
      <w:r w:rsidRPr="00801C86">
        <w:rPr>
          <w:sz w:val="22"/>
          <w:szCs w:val="22"/>
        </w:rPr>
        <w:t>.</w:t>
      </w:r>
    </w:p>
    <w:p w:rsidR="00AF5FF4" w:rsidRPr="00801C86" w:rsidRDefault="00AF5FF4" w:rsidP="00AF5FF4">
      <w:pPr>
        <w:spacing w:line="480" w:lineRule="auto"/>
        <w:jc w:val="both"/>
        <w:rPr>
          <w:sz w:val="22"/>
          <w:szCs w:val="22"/>
        </w:rPr>
      </w:pPr>
      <w:r w:rsidRPr="00801C86">
        <w:rPr>
          <w:b/>
          <w:color w:val="000000" w:themeColor="text1"/>
          <w:sz w:val="22"/>
          <w:szCs w:val="22"/>
        </w:rPr>
        <w:t xml:space="preserve">Figure S3. Immune checkpoint blockade increases immune-mediated tumour death. </w:t>
      </w:r>
      <w:r w:rsidR="00523BAB">
        <w:rPr>
          <w:color w:val="000000" w:themeColor="text1"/>
          <w:sz w:val="22"/>
          <w:szCs w:val="22"/>
        </w:rPr>
        <w:t>a</w:t>
      </w:r>
      <w:r w:rsidRPr="00801C86">
        <w:rPr>
          <w:color w:val="000000" w:themeColor="text1"/>
          <w:sz w:val="22"/>
          <w:szCs w:val="22"/>
        </w:rPr>
        <w:t xml:space="preserve">) Human breast cancer line MDA-MB-231 cells and primary human lymphocytes are culture alone or together in presence of a fluorescent dye that stains for apoptotic marker active caspase 3/7. The cell death </w:t>
      </w:r>
      <w:proofErr w:type="gramStart"/>
      <w:r w:rsidRPr="00801C86">
        <w:rPr>
          <w:color w:val="000000" w:themeColor="text1"/>
          <w:sz w:val="22"/>
          <w:szCs w:val="22"/>
        </w:rPr>
        <w:t>is monitored</w:t>
      </w:r>
      <w:proofErr w:type="gramEnd"/>
      <w:r w:rsidRPr="00801C86">
        <w:rPr>
          <w:color w:val="000000" w:themeColor="text1"/>
          <w:sz w:val="22"/>
          <w:szCs w:val="22"/>
        </w:rPr>
        <w:t xml:space="preserve"> in real-time using </w:t>
      </w:r>
      <w:proofErr w:type="spellStart"/>
      <w:r w:rsidRPr="00801C86">
        <w:rPr>
          <w:color w:val="000000" w:themeColor="text1"/>
          <w:sz w:val="22"/>
          <w:szCs w:val="22"/>
        </w:rPr>
        <w:t>Incucyte</w:t>
      </w:r>
      <w:proofErr w:type="spellEnd"/>
      <w:r w:rsidRPr="00801C86">
        <w:rPr>
          <w:color w:val="000000" w:themeColor="text1"/>
          <w:sz w:val="22"/>
          <w:szCs w:val="22"/>
        </w:rPr>
        <w:t xml:space="preserve"> up to 5 d</w:t>
      </w:r>
      <w:r w:rsidR="00523BAB">
        <w:rPr>
          <w:color w:val="000000" w:themeColor="text1"/>
          <w:sz w:val="22"/>
          <w:szCs w:val="22"/>
        </w:rPr>
        <w:t>ays. b</w:t>
      </w:r>
      <w:bookmarkStart w:id="0" w:name="_GoBack"/>
      <w:bookmarkEnd w:id="0"/>
      <w:r w:rsidRPr="00801C86">
        <w:rPr>
          <w:color w:val="000000" w:themeColor="text1"/>
          <w:sz w:val="22"/>
          <w:szCs w:val="22"/>
        </w:rPr>
        <w:t xml:space="preserve">) Death of MDA-MB-231 in TICS is monitored in real-time using </w:t>
      </w:r>
      <w:proofErr w:type="spellStart"/>
      <w:r w:rsidRPr="00801C86">
        <w:rPr>
          <w:color w:val="000000" w:themeColor="text1"/>
          <w:sz w:val="22"/>
          <w:szCs w:val="22"/>
        </w:rPr>
        <w:t>Incucyte</w:t>
      </w:r>
      <w:proofErr w:type="spellEnd"/>
      <w:r w:rsidRPr="00801C86">
        <w:rPr>
          <w:color w:val="000000" w:themeColor="text1"/>
          <w:sz w:val="22"/>
          <w:szCs w:val="22"/>
        </w:rPr>
        <w:t xml:space="preserve"> in presence of </w:t>
      </w:r>
      <w:r w:rsidRPr="00801C86">
        <w:rPr>
          <w:sz w:val="22"/>
          <w:szCs w:val="22"/>
        </w:rPr>
        <w:t xml:space="preserve">an isotype or αPD1 </w:t>
      </w:r>
      <w:proofErr w:type="spellStart"/>
      <w:r w:rsidRPr="00801C86">
        <w:rPr>
          <w:sz w:val="22"/>
          <w:szCs w:val="22"/>
        </w:rPr>
        <w:t>mAb</w:t>
      </w:r>
      <w:proofErr w:type="spellEnd"/>
      <w:r w:rsidRPr="00801C86">
        <w:rPr>
          <w:sz w:val="22"/>
          <w:szCs w:val="22"/>
        </w:rPr>
        <w:t xml:space="preserve"> (clone LO115, 10 </w:t>
      </w:r>
      <w:proofErr w:type="spellStart"/>
      <w:r w:rsidRPr="00801C86">
        <w:rPr>
          <w:sz w:val="22"/>
          <w:szCs w:val="22"/>
        </w:rPr>
        <w:t>μg</w:t>
      </w:r>
      <w:proofErr w:type="spellEnd"/>
      <w:r w:rsidRPr="00801C86">
        <w:rPr>
          <w:sz w:val="22"/>
          <w:szCs w:val="22"/>
        </w:rPr>
        <w:t xml:space="preserve">/ml) in </w:t>
      </w:r>
      <w:proofErr w:type="gramStart"/>
      <w:r w:rsidRPr="00801C86">
        <w:rPr>
          <w:sz w:val="22"/>
          <w:szCs w:val="22"/>
        </w:rPr>
        <w:t>2</w:t>
      </w:r>
      <w:proofErr w:type="gramEnd"/>
      <w:r w:rsidRPr="00801C86">
        <w:rPr>
          <w:sz w:val="22"/>
          <w:szCs w:val="22"/>
        </w:rPr>
        <w:t xml:space="preserve"> independent experiments. Data is presented as </w:t>
      </w:r>
      <w:proofErr w:type="spellStart"/>
      <w:r w:rsidRPr="00801C86">
        <w:rPr>
          <w:sz w:val="22"/>
          <w:szCs w:val="22"/>
        </w:rPr>
        <w:t>mean±SD</w:t>
      </w:r>
      <w:proofErr w:type="spellEnd"/>
      <w:r w:rsidRPr="00801C86">
        <w:rPr>
          <w:sz w:val="22"/>
          <w:szCs w:val="22"/>
        </w:rPr>
        <w:t>.</w:t>
      </w:r>
    </w:p>
    <w:p w:rsidR="00AF5FF4" w:rsidRDefault="00AF5FF4" w:rsidP="00AF5FF4">
      <w:pPr>
        <w:spacing w:line="480" w:lineRule="auto"/>
        <w:jc w:val="both"/>
        <w:rPr>
          <w:color w:val="000000" w:themeColor="text1"/>
          <w:sz w:val="22"/>
          <w:szCs w:val="22"/>
        </w:rPr>
      </w:pPr>
      <w:r w:rsidRPr="00801C86">
        <w:rPr>
          <w:b/>
          <w:color w:val="000000" w:themeColor="text1"/>
          <w:sz w:val="22"/>
          <w:szCs w:val="22"/>
        </w:rPr>
        <w:t xml:space="preserve">Figure S4. Cell characterisation of primary OC ascites. </w:t>
      </w:r>
      <w:r w:rsidRPr="00801C86">
        <w:rPr>
          <w:color w:val="000000" w:themeColor="text1"/>
          <w:sz w:val="22"/>
          <w:szCs w:val="22"/>
        </w:rPr>
        <w:t xml:space="preserve">OC cancer cells are enriched from 4 treatment naive primary ascites samples using gradient centrifugation, followed by characterisation using human monocyte maker CD14, human macrophage marker CD68 and OC markers </w:t>
      </w:r>
      <w:proofErr w:type="spellStart"/>
      <w:r w:rsidRPr="00801C86">
        <w:rPr>
          <w:color w:val="000000" w:themeColor="text1"/>
          <w:sz w:val="22"/>
          <w:szCs w:val="22"/>
        </w:rPr>
        <w:t>EpCAM</w:t>
      </w:r>
      <w:proofErr w:type="spellEnd"/>
      <w:r w:rsidRPr="00801C86">
        <w:rPr>
          <w:color w:val="000000" w:themeColor="text1"/>
          <w:sz w:val="22"/>
          <w:szCs w:val="22"/>
        </w:rPr>
        <w:t xml:space="preserve"> and CA-125 in FACS. </w:t>
      </w:r>
    </w:p>
    <w:p w:rsidR="00AF5FF4" w:rsidRPr="00AF7240" w:rsidRDefault="00AF5FF4" w:rsidP="00AF5FF4">
      <w:pPr>
        <w:spacing w:line="480" w:lineRule="auto"/>
        <w:jc w:val="both"/>
        <w:rPr>
          <w:color w:val="000000" w:themeColor="text1"/>
          <w:sz w:val="22"/>
          <w:szCs w:val="22"/>
        </w:rPr>
      </w:pPr>
      <w:r w:rsidRPr="00AF7240">
        <w:rPr>
          <w:b/>
          <w:color w:val="000000" w:themeColor="text1"/>
          <w:sz w:val="22"/>
          <w:szCs w:val="22"/>
        </w:rPr>
        <w:t xml:space="preserve">Movie 1 and 2. </w:t>
      </w:r>
      <w:r>
        <w:rPr>
          <w:b/>
          <w:color w:val="000000" w:themeColor="text1"/>
          <w:sz w:val="22"/>
          <w:szCs w:val="22"/>
        </w:rPr>
        <w:t>Immune-mediated inhibition of cancer cell proliferation by PD-1/L1 blockade</w:t>
      </w:r>
      <w:r w:rsidRPr="00AF7240">
        <w:rPr>
          <w:b/>
          <w:color w:val="000000" w:themeColor="text1"/>
          <w:sz w:val="22"/>
          <w:szCs w:val="22"/>
        </w:rPr>
        <w:t xml:space="preserve">. </w:t>
      </w:r>
      <w:r>
        <w:rPr>
          <w:color w:val="000000" w:themeColor="text1"/>
          <w:sz w:val="22"/>
          <w:szCs w:val="22"/>
        </w:rPr>
        <w:t xml:space="preserve">Primary human lymphocytes are co-cultured with a GFP-transfected human breast cancer line, MDA-MB-231, in presence of a PD-1 blocking antibody or the corresponding isotype control (10 µg/ml). Growth of cancer cells is measured in real-time using an </w:t>
      </w:r>
      <w:proofErr w:type="spellStart"/>
      <w:r>
        <w:rPr>
          <w:color w:val="000000" w:themeColor="text1"/>
          <w:sz w:val="22"/>
          <w:szCs w:val="22"/>
        </w:rPr>
        <w:t>Incucyte</w:t>
      </w:r>
      <w:proofErr w:type="spellEnd"/>
      <w:r>
        <w:rPr>
          <w:color w:val="000000" w:themeColor="text1"/>
          <w:sz w:val="22"/>
          <w:szCs w:val="22"/>
        </w:rPr>
        <w:t xml:space="preserve"> live-cell imaging instrument for 6 days.</w:t>
      </w:r>
    </w:p>
    <w:p w:rsidR="000D455D" w:rsidRDefault="000D455D"/>
    <w:sectPr w:rsidR="000D4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FF4"/>
    <w:rsid w:val="000D455D"/>
    <w:rsid w:val="00523BAB"/>
    <w:rsid w:val="009E3F2F"/>
    <w:rsid w:val="00AF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39AB2"/>
  <w15:chartTrackingRefBased/>
  <w15:docId w15:val="{96C4864D-71F8-4E3A-AFD8-6081B2AC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F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5FF4"/>
    <w:pPr>
      <w:spacing w:after="0" w:line="240" w:lineRule="auto"/>
    </w:pPr>
    <w:rPr>
      <w:rFonts w:eastAsiaTheme="minorHAns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2542</Characters>
  <Application>Microsoft Office Word</Application>
  <DocSecurity>0</DocSecurity>
  <Lines>21</Lines>
  <Paragraphs>5</Paragraphs>
  <ScaleCrop>false</ScaleCrop>
  <Company>Uppsala Universitet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Yumeng Mao</dc:creator>
  <cp:keywords/>
  <dc:description/>
  <cp:lastModifiedBy>Yumeng Mao</cp:lastModifiedBy>
  <cp:revision>3</cp:revision>
  <dcterms:created xsi:type="dcterms:W3CDTF">2019-12-09T08:19:00Z</dcterms:created>
  <dcterms:modified xsi:type="dcterms:W3CDTF">2020-02-06T12:15:00Z</dcterms:modified>
</cp:coreProperties>
</file>