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49" w:rsidRPr="005C0C51" w:rsidRDefault="00DD2A49" w:rsidP="00DD2A49">
      <w:pPr>
        <w:pStyle w:val="NoSpacing"/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5C0C51">
        <w:rPr>
          <w:rFonts w:ascii="Times New Roman" w:hAnsi="Times New Roman" w:cs="Times New Roman"/>
          <w:b/>
          <w:lang w:val="en-US"/>
        </w:rPr>
        <w:t>SUPPLEMENTAL INFORMATION/DATA</w:t>
      </w:r>
    </w:p>
    <w:p w:rsidR="00DD2A49" w:rsidRPr="005C0C51" w:rsidRDefault="00DD2A49" w:rsidP="00DD2A49">
      <w:pPr>
        <w:jc w:val="left"/>
        <w:rPr>
          <w:b/>
          <w:bCs/>
          <w:sz w:val="20"/>
          <w:szCs w:val="20"/>
        </w:rPr>
      </w:pPr>
    </w:p>
    <w:p w:rsidR="00DD2A49" w:rsidRPr="005C0C51" w:rsidRDefault="00DD2A49" w:rsidP="00DD2A49">
      <w:pPr>
        <w:pStyle w:val="ListParagraph"/>
        <w:numPr>
          <w:ilvl w:val="0"/>
          <w:numId w:val="3"/>
        </w:numPr>
        <w:jc w:val="left"/>
        <w:rPr>
          <w:bCs/>
          <w:sz w:val="22"/>
          <w:szCs w:val="20"/>
        </w:rPr>
      </w:pPr>
      <w:r w:rsidRPr="005C0C51">
        <w:rPr>
          <w:b/>
          <w:bCs/>
          <w:sz w:val="22"/>
          <w:szCs w:val="20"/>
        </w:rPr>
        <w:t xml:space="preserve">Supplemental information 1. </w:t>
      </w:r>
      <w:r w:rsidRPr="005C0C51">
        <w:rPr>
          <w:bCs/>
          <w:sz w:val="22"/>
          <w:szCs w:val="20"/>
        </w:rPr>
        <w:t>Detailed inclusion and exclusion criteria used in the study.</w:t>
      </w:r>
    </w:p>
    <w:p w:rsidR="00DD2A49" w:rsidRPr="005C0C51" w:rsidRDefault="00DD2A49" w:rsidP="00DD2A49">
      <w:pPr>
        <w:ind w:left="360"/>
        <w:jc w:val="left"/>
        <w:rPr>
          <w:bCs/>
          <w:sz w:val="20"/>
          <w:szCs w:val="20"/>
        </w:rPr>
      </w:pPr>
    </w:p>
    <w:p w:rsidR="00DD2A49" w:rsidRPr="005C0C51" w:rsidRDefault="00DD2A49" w:rsidP="00DD2A49">
      <w:pPr>
        <w:jc w:val="left"/>
        <w:rPr>
          <w:b/>
          <w:bCs/>
          <w:sz w:val="20"/>
          <w:szCs w:val="20"/>
        </w:rPr>
      </w:pPr>
      <w:r w:rsidRPr="005C0C51">
        <w:rPr>
          <w:b/>
          <w:bCs/>
          <w:sz w:val="20"/>
          <w:szCs w:val="20"/>
        </w:rPr>
        <w:t>Diagnosis and main eligibility criteria:</w:t>
      </w:r>
    </w:p>
    <w:p w:rsidR="00DD2A49" w:rsidRPr="005C0C51" w:rsidRDefault="00DD2A49" w:rsidP="00DD2A49">
      <w:pPr>
        <w:jc w:val="left"/>
        <w:rPr>
          <w:b/>
          <w:bCs/>
          <w:sz w:val="20"/>
          <w:szCs w:val="20"/>
        </w:rPr>
      </w:pPr>
      <w:r w:rsidRPr="005C0C51">
        <w:rPr>
          <w:b/>
          <w:bCs/>
          <w:sz w:val="20"/>
          <w:szCs w:val="20"/>
        </w:rPr>
        <w:t>Diagnosis:</w:t>
      </w:r>
    </w:p>
    <w:p w:rsidR="00DD2A49" w:rsidRPr="005C0C51" w:rsidRDefault="00DD2A49" w:rsidP="00DD2A49">
      <w:pPr>
        <w:jc w:val="left"/>
        <w:rPr>
          <w:bCs/>
          <w:sz w:val="20"/>
          <w:szCs w:val="20"/>
        </w:rPr>
      </w:pPr>
      <w:r w:rsidRPr="005C0C51">
        <w:rPr>
          <w:bCs/>
          <w:sz w:val="20"/>
          <w:szCs w:val="20"/>
        </w:rPr>
        <w:t>Gastrointestinal stromal tumor (GIST)</w:t>
      </w:r>
    </w:p>
    <w:p w:rsidR="00DD2A49" w:rsidRPr="005C0C51" w:rsidRDefault="00DD2A49" w:rsidP="00DD2A49">
      <w:pPr>
        <w:jc w:val="left"/>
        <w:rPr>
          <w:b/>
          <w:bCs/>
          <w:sz w:val="20"/>
          <w:szCs w:val="20"/>
        </w:rPr>
      </w:pPr>
      <w:r w:rsidRPr="005C0C51">
        <w:rPr>
          <w:b/>
          <w:bCs/>
          <w:sz w:val="20"/>
          <w:szCs w:val="20"/>
        </w:rPr>
        <w:t>Inclusion criteria:</w:t>
      </w:r>
    </w:p>
    <w:p w:rsidR="00DD2A49" w:rsidRPr="005C0C51" w:rsidRDefault="00DD2A49" w:rsidP="00DD2A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C0C51">
        <w:rPr>
          <w:sz w:val="20"/>
          <w:szCs w:val="20"/>
        </w:rPr>
        <w:t>Adults (≥18 years) who have provided written informed consent</w:t>
      </w:r>
    </w:p>
    <w:p w:rsidR="00DD2A49" w:rsidRPr="005C0C51" w:rsidRDefault="00DD2A49" w:rsidP="00DD2A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Diagnosis of GIST (according to modified NIH criteria, 2011), where curative excision is no longer an option, i.e. confirmed </w:t>
      </w:r>
      <w:proofErr w:type="spellStart"/>
      <w:r w:rsidRPr="005C0C51">
        <w:rPr>
          <w:sz w:val="20"/>
          <w:szCs w:val="20"/>
        </w:rPr>
        <w:t>unresectable</w:t>
      </w:r>
      <w:proofErr w:type="spellEnd"/>
      <w:r w:rsidRPr="005C0C51">
        <w:rPr>
          <w:sz w:val="20"/>
          <w:szCs w:val="20"/>
        </w:rPr>
        <w:t>/metastatic GIST, and that has progressed on second, third, or fourth line TKI treatment</w:t>
      </w:r>
    </w:p>
    <w:p w:rsidR="00DD2A49" w:rsidRPr="005C0C51" w:rsidRDefault="00DD2A49" w:rsidP="00DD2A49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5C0C51">
        <w:rPr>
          <w:sz w:val="20"/>
          <w:szCs w:val="20"/>
        </w:rPr>
        <w:t>Radiologically</w:t>
      </w:r>
      <w:proofErr w:type="spellEnd"/>
      <w:r w:rsidRPr="005C0C51">
        <w:rPr>
          <w:sz w:val="20"/>
          <w:szCs w:val="20"/>
        </w:rPr>
        <w:t xml:space="preserve"> measurable tumor(s), i.e. ≥3 cm in longest </w:t>
      </w:r>
      <w:proofErr w:type="spellStart"/>
      <w:r w:rsidRPr="005C0C51">
        <w:rPr>
          <w:sz w:val="20"/>
          <w:szCs w:val="20"/>
        </w:rPr>
        <w:t>uni</w:t>
      </w:r>
      <w:proofErr w:type="spellEnd"/>
      <w:r w:rsidRPr="005C0C51">
        <w:rPr>
          <w:sz w:val="20"/>
          <w:szCs w:val="20"/>
        </w:rPr>
        <w:t>-dimensional diameter (measured by CT)</w:t>
      </w:r>
    </w:p>
    <w:p w:rsidR="00DD2A49" w:rsidRPr="005C0C51" w:rsidRDefault="00DD2A49" w:rsidP="00DD2A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C0C51">
        <w:rPr>
          <w:sz w:val="20"/>
          <w:szCs w:val="20"/>
        </w:rPr>
        <w:t>Clinical and/or CT verified disease progression despite second, third, or fourth line treatment with a TKI</w:t>
      </w:r>
    </w:p>
    <w:p w:rsidR="00DD2A49" w:rsidRPr="005C0C51" w:rsidRDefault="00DD2A49" w:rsidP="00DD2A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Females: post-menopausal for more than one (1) year or, if of childbearing potential, using a highly efficient method of contraception (i.e. a method with less than 1% failure rate [e.g. sterilization, hormone implants, hormone injections, some intrauterine devices, or vasectomized partner with combined use of condom and/or birth control pills]) during trial participation. Female of childbearing potential must have a negative blood pregnancy test at Screening and a negative blood/urine test within one (1) day before each </w:t>
      </w:r>
      <w:proofErr w:type="spellStart"/>
      <w:r w:rsidRPr="005C0C51">
        <w:rPr>
          <w:sz w:val="20"/>
          <w:szCs w:val="20"/>
        </w:rPr>
        <w:t>Intuvax</w:t>
      </w:r>
      <w:proofErr w:type="spellEnd"/>
      <w:r w:rsidRPr="005C0C51">
        <w:rPr>
          <w:sz w:val="20"/>
          <w:szCs w:val="20"/>
        </w:rPr>
        <w:t xml:space="preserve"> dose</w:t>
      </w:r>
    </w:p>
    <w:p w:rsidR="00DD2A49" w:rsidRPr="005C0C51" w:rsidRDefault="00DD2A49" w:rsidP="00DD2A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C0C51">
        <w:rPr>
          <w:sz w:val="20"/>
          <w:szCs w:val="20"/>
        </w:rPr>
        <w:t>Males: agreeing to use condoms during the trial participation or male having a female partner who is using a highly efficient method of contraception (see above) during the partner’s trial participation</w:t>
      </w:r>
    </w:p>
    <w:p w:rsidR="00DD2A49" w:rsidRPr="005C0C51" w:rsidRDefault="00DD2A49" w:rsidP="00DD2A49">
      <w:pPr>
        <w:rPr>
          <w:b/>
          <w:sz w:val="20"/>
          <w:szCs w:val="20"/>
        </w:rPr>
      </w:pPr>
      <w:r w:rsidRPr="005C0C51">
        <w:rPr>
          <w:b/>
          <w:sz w:val="20"/>
          <w:szCs w:val="20"/>
        </w:rPr>
        <w:t>Exclusion criteria: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>Performance status ECOG &gt;2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>Known major reaction/adverse event (AE) in connection with previously made vaccination (e.g. asthma, anaphylaxis or other serious reaction) or with previous transfusions of blood products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Autoimmune disease requiring treatment with systemic immunosuppressive agents e.g. inflammatory bowel disease, multiple sclerosis, sarcoidosis, psoriasis, autoimmune hemolytic anemia, rheumatoid arthritis, SLE, vasculitis, </w:t>
      </w:r>
      <w:proofErr w:type="spellStart"/>
      <w:r w:rsidRPr="005C0C51">
        <w:rPr>
          <w:sz w:val="20"/>
          <w:szCs w:val="20"/>
        </w:rPr>
        <w:t>Sjögren's</w:t>
      </w:r>
      <w:proofErr w:type="spellEnd"/>
      <w:r w:rsidRPr="005C0C51">
        <w:rPr>
          <w:sz w:val="20"/>
          <w:szCs w:val="20"/>
        </w:rPr>
        <w:t xml:space="preserve"> syndrome, scleroderma, autoimmune hepatitis, and other </w:t>
      </w:r>
      <w:proofErr w:type="spellStart"/>
      <w:r w:rsidRPr="005C0C51">
        <w:rPr>
          <w:sz w:val="20"/>
          <w:szCs w:val="20"/>
        </w:rPr>
        <w:t>rheumatological</w:t>
      </w:r>
      <w:proofErr w:type="spellEnd"/>
      <w:r w:rsidRPr="005C0C51">
        <w:rPr>
          <w:sz w:val="20"/>
          <w:szCs w:val="20"/>
        </w:rPr>
        <w:t xml:space="preserve"> diseases.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>Tested positive for HIV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>Active virus disease (hepatitis B or C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Ongoing infection that requires parenteral antibiotics/antiviral medication 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Oral corticosteroids exceeding 10 mg/day within 7 days prior to the first </w:t>
      </w:r>
      <w:proofErr w:type="spellStart"/>
      <w:r w:rsidRPr="005C0C51">
        <w:rPr>
          <w:sz w:val="20"/>
          <w:szCs w:val="20"/>
        </w:rPr>
        <w:t>Intuvax</w:t>
      </w:r>
      <w:proofErr w:type="spellEnd"/>
      <w:r w:rsidRPr="005C0C51">
        <w:rPr>
          <w:sz w:val="20"/>
          <w:szCs w:val="20"/>
        </w:rPr>
        <w:t xml:space="preserve"> dose. Inhaled, intranasal and local steroids accepted (irrespective of dose)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>Inadequate laboratory parameters (i.e. B-leukocyte count &lt; 3.0 x 10</w:t>
      </w:r>
      <w:r w:rsidRPr="005C0C51">
        <w:rPr>
          <w:sz w:val="20"/>
          <w:szCs w:val="20"/>
          <w:vertAlign w:val="superscript"/>
        </w:rPr>
        <w:t>9</w:t>
      </w:r>
      <w:r w:rsidRPr="005C0C51">
        <w:rPr>
          <w:sz w:val="20"/>
          <w:szCs w:val="20"/>
        </w:rPr>
        <w:t>/L; B-platelet count &lt; 75 x 10</w:t>
      </w:r>
      <w:r w:rsidRPr="005C0C51">
        <w:rPr>
          <w:sz w:val="20"/>
          <w:szCs w:val="20"/>
          <w:vertAlign w:val="superscript"/>
        </w:rPr>
        <w:t>9</w:t>
      </w:r>
      <w:r w:rsidRPr="005C0C51">
        <w:rPr>
          <w:sz w:val="20"/>
          <w:szCs w:val="20"/>
        </w:rPr>
        <w:t>/L; B-hemoglobin &lt;100 g/L; P-</w:t>
      </w:r>
      <w:proofErr w:type="spellStart"/>
      <w:r w:rsidRPr="005C0C51">
        <w:rPr>
          <w:sz w:val="20"/>
          <w:szCs w:val="20"/>
        </w:rPr>
        <w:t>prothrombincomplex</w:t>
      </w:r>
      <w:proofErr w:type="spellEnd"/>
      <w:r w:rsidRPr="005C0C51">
        <w:rPr>
          <w:sz w:val="20"/>
          <w:szCs w:val="20"/>
        </w:rPr>
        <w:t xml:space="preserve"> &gt;1.4; P-APT time outside of normal limit) 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>Previous organ transplantation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Pregnant/lactating women 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Life expectancy less than 3 months 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Investigational treatment (within 28 days) prior to the first injection of </w:t>
      </w:r>
      <w:proofErr w:type="spellStart"/>
      <w:r w:rsidRPr="005C0C51">
        <w:rPr>
          <w:sz w:val="20"/>
          <w:szCs w:val="20"/>
        </w:rPr>
        <w:t>Intuvax</w:t>
      </w:r>
      <w:proofErr w:type="spellEnd"/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Known blood </w:t>
      </w:r>
      <w:proofErr w:type="spellStart"/>
      <w:r w:rsidRPr="005C0C51">
        <w:rPr>
          <w:sz w:val="20"/>
          <w:szCs w:val="20"/>
        </w:rPr>
        <w:t>dyscrasia</w:t>
      </w:r>
      <w:proofErr w:type="spellEnd"/>
      <w:r w:rsidRPr="005C0C51">
        <w:rPr>
          <w:sz w:val="20"/>
          <w:szCs w:val="20"/>
        </w:rPr>
        <w:t xml:space="preserve"> (bleeding complication) 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Prior history of invasive cancer within 5 years before screening (except for adequately treated </w:t>
      </w:r>
      <w:r w:rsidRPr="005C0C51">
        <w:rPr>
          <w:i/>
          <w:sz w:val="20"/>
          <w:szCs w:val="20"/>
        </w:rPr>
        <w:t>in situ</w:t>
      </w:r>
      <w:r w:rsidRPr="005C0C51">
        <w:rPr>
          <w:sz w:val="20"/>
          <w:szCs w:val="20"/>
        </w:rPr>
        <w:t xml:space="preserve"> carcinomas or non-melanoma skin cancer)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History of alcohol/substance abuse  </w:t>
      </w:r>
    </w:p>
    <w:p w:rsidR="00DD2A49" w:rsidRPr="005C0C51" w:rsidRDefault="00DD2A49" w:rsidP="00DD2A4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C0C51">
        <w:rPr>
          <w:sz w:val="20"/>
          <w:szCs w:val="20"/>
        </w:rPr>
        <w:t xml:space="preserve"> Patient will not be available for follow-up assessments</w:t>
      </w:r>
    </w:p>
    <w:p w:rsidR="00DD2A49" w:rsidRPr="005C0C51" w:rsidRDefault="00DD2A49" w:rsidP="00DD2A49">
      <w:r w:rsidRPr="005C0C51">
        <w:rPr>
          <w:sz w:val="20"/>
          <w:szCs w:val="20"/>
        </w:rPr>
        <w:t>Any other reason that, in the opinion of the investigator, contraindicates that the subject participates in the trial</w:t>
      </w:r>
    </w:p>
    <w:p w:rsidR="00CE3365" w:rsidRDefault="00CE3365"/>
    <w:sectPr w:rsidR="00CE3365" w:rsidSect="00CE33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4DD7"/>
    <w:multiLevelType w:val="hybridMultilevel"/>
    <w:tmpl w:val="86468D1A"/>
    <w:lvl w:ilvl="0" w:tplc="AA0050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8114C"/>
    <w:multiLevelType w:val="hybridMultilevel"/>
    <w:tmpl w:val="8CCE4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40890"/>
    <w:multiLevelType w:val="hybridMultilevel"/>
    <w:tmpl w:val="22B4C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49"/>
    <w:rsid w:val="00556B8D"/>
    <w:rsid w:val="00A95732"/>
    <w:rsid w:val="00CE3365"/>
    <w:rsid w:val="00DD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BBEFC29-F2A2-460E-AB52-37872A2F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49"/>
    <w:pPr>
      <w:spacing w:after="80"/>
      <w:jc w:val="both"/>
    </w:pPr>
    <w:rPr>
      <w:rFonts w:ascii="Times New Roman" w:eastAsia="Times New Roman" w:hAnsi="Times New Roman" w:cs="Times New Roman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2A49"/>
  </w:style>
  <w:style w:type="paragraph" w:styleId="ListParagraph">
    <w:name w:val="List Paragraph"/>
    <w:basedOn w:val="Normal"/>
    <w:link w:val="ListParagraphChar"/>
    <w:uiPriority w:val="34"/>
    <w:qFormat/>
    <w:rsid w:val="00DD2A4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D2A49"/>
    <w:rPr>
      <w:rFonts w:ascii="Times New Roman" w:eastAsia="Times New Roman" w:hAnsi="Times New Roman" w:cs="Times New Roman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Fröbom</dc:creator>
  <cp:keywords/>
  <dc:description/>
  <cp:lastModifiedBy>Lakshmiganthi K.</cp:lastModifiedBy>
  <cp:revision>2</cp:revision>
  <dcterms:created xsi:type="dcterms:W3CDTF">2020-06-12T05:38:00Z</dcterms:created>
  <dcterms:modified xsi:type="dcterms:W3CDTF">2020-06-12T05:38:00Z</dcterms:modified>
</cp:coreProperties>
</file>