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AB" w:rsidRDefault="00AA2DAB">
      <w:r>
        <w:rPr>
          <w:rFonts w:hint="eastAsia"/>
        </w:rPr>
        <w:t>Table 2</w:t>
      </w:r>
      <w:r w:rsidR="009C72A7">
        <w:t xml:space="preserve"> </w:t>
      </w:r>
      <w:r w:rsidR="009C72A7">
        <w:rPr>
          <w:rFonts w:ascii="Arial" w:hAnsi="Arial" w:cs="Arial"/>
          <w:color w:val="000000"/>
          <w:shd w:val="clear" w:color="auto" w:fill="FFFFFF"/>
        </w:rPr>
        <w:t>Study outcomes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791"/>
        <w:gridCol w:w="2466"/>
        <w:gridCol w:w="1325"/>
        <w:gridCol w:w="1326"/>
        <w:gridCol w:w="1706"/>
        <w:gridCol w:w="888"/>
        <w:gridCol w:w="1876"/>
        <w:gridCol w:w="1028"/>
        <w:gridCol w:w="1835"/>
        <w:gridCol w:w="1028"/>
      </w:tblGrid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Author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Year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Treatment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OS median (T/C)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PFS median (T/C)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CR (T)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CR (C)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OR (T)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OR (C)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AE G3</w:t>
            </w:r>
            <w:r w:rsidRPr="00136074">
              <w:rPr>
                <w:rFonts w:hint="eastAsia"/>
              </w:rPr>
              <w:t>≧</w:t>
            </w:r>
            <w:r w:rsidRPr="00136074">
              <w:rPr>
                <w:rFonts w:hint="eastAsia"/>
              </w:rPr>
              <w:t xml:space="preserve"> (T)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AE</w:t>
            </w:r>
            <w:r>
              <w:rPr>
                <w:rFonts w:hint="eastAsia"/>
              </w:rPr>
              <w:t xml:space="preserve"> </w:t>
            </w:r>
            <w:r w:rsidRPr="00136074">
              <w:rPr>
                <w:rFonts w:hint="eastAsia"/>
              </w:rPr>
              <w:t>G3</w:t>
            </w:r>
            <w:r w:rsidRPr="00136074">
              <w:rPr>
                <w:rFonts w:hint="eastAsia"/>
              </w:rPr>
              <w:t>≧</w:t>
            </w:r>
            <w:r w:rsidRPr="00136074">
              <w:rPr>
                <w:rFonts w:hint="eastAsia"/>
              </w:rPr>
              <w:t xml:space="preserve"> (C)</w:t>
            </w:r>
          </w:p>
        </w:tc>
      </w:tr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Rini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2019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Atezolizumab plus bevacizumab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33.6/34.9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11.2/8.4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24/454 (5.3%)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10/461 (2.2%)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166/454 (36.6%)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153/461 (33.2%)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</w:t>
            </w:r>
          </w:p>
        </w:tc>
      </w:tr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Rini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2016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IMA901 plus sunitinib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33.17/NRE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15.22/15.12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116/202 (57.4%)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62/132 (47.0%)</w:t>
            </w:r>
          </w:p>
        </w:tc>
      </w:tr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Motzer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2013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Pazopanib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28.4/29.3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8.4/9.5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1/557 (0.2%)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3/553 (0.5%)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171/557 (30.7%)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137/553 (24.8%)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412/554 (74.4%)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402/548 (73.4%)</w:t>
            </w:r>
          </w:p>
        </w:tc>
      </w:tr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Plimack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2020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Pembrolizumab and axitinib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NRE/35.7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15.4</w:t>
            </w:r>
            <w:r w:rsidR="00136074" w:rsidRPr="00136074">
              <w:rPr>
                <w:rFonts w:hint="eastAsia"/>
              </w:rPr>
              <w:t>/11.1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38/432 (8</w:t>
            </w:r>
            <w:r w:rsidR="00136074" w:rsidRPr="00136074">
              <w:rPr>
                <w:rFonts w:hint="eastAsia"/>
              </w:rPr>
              <w:t>.8%)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13/429 (3.0</w:t>
            </w:r>
            <w:r w:rsidR="00136074" w:rsidRPr="00136074">
              <w:rPr>
                <w:rFonts w:hint="eastAsia"/>
              </w:rPr>
              <w:t>%)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260/432 (60.2</w:t>
            </w:r>
            <w:r w:rsidR="00136074" w:rsidRPr="00136074">
              <w:rPr>
                <w:rFonts w:hint="eastAsia"/>
              </w:rPr>
              <w:t>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171/429 (39.8</w:t>
            </w:r>
            <w:r w:rsidR="00136074" w:rsidRPr="00136074">
              <w:rPr>
                <w:rFonts w:hint="eastAsia"/>
              </w:rPr>
              <w:t>%)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287/429 (66.9</w:t>
            </w:r>
            <w:r w:rsidR="00136074" w:rsidRPr="00136074">
              <w:rPr>
                <w:rFonts w:hint="eastAsia"/>
              </w:rPr>
              <w:t>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B64218" w:rsidP="00136074">
            <w:r>
              <w:rPr>
                <w:rFonts w:hint="eastAsia"/>
              </w:rPr>
              <w:t>265/429 (62.4</w:t>
            </w:r>
            <w:r w:rsidR="00136074" w:rsidRPr="00136074">
              <w:rPr>
                <w:rFonts w:hint="eastAsia"/>
              </w:rPr>
              <w:t>%)</w:t>
            </w:r>
          </w:p>
        </w:tc>
      </w:tr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Motzer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2019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Nivolumab plus ipilimumab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NRE/37.9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9.7/9.7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58/550 (10.5%)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10/546 (1.8%)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227/550 (41.3%)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186/546 (34.1%)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250/547 (45.7%)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335/535 (62.6%)</w:t>
            </w:r>
          </w:p>
        </w:tc>
      </w:tr>
      <w:tr w:rsidR="00136074" w:rsidRPr="00136074" w:rsidTr="00B64218">
        <w:trPr>
          <w:trHeight w:val="270"/>
        </w:trPr>
        <w:tc>
          <w:tcPr>
            <w:tcW w:w="134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Motzer</w:t>
            </w:r>
          </w:p>
        </w:tc>
        <w:tc>
          <w:tcPr>
            <w:tcW w:w="791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2019</w:t>
            </w:r>
          </w:p>
        </w:tc>
        <w:tc>
          <w:tcPr>
            <w:tcW w:w="246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Avelumab plus axitinib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NRE/NRE</w:t>
            </w:r>
          </w:p>
        </w:tc>
        <w:tc>
          <w:tcPr>
            <w:tcW w:w="132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13.8/8.4</w:t>
            </w:r>
          </w:p>
        </w:tc>
        <w:tc>
          <w:tcPr>
            <w:tcW w:w="170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15/442 (3.4%)</w:t>
            </w:r>
          </w:p>
        </w:tc>
        <w:tc>
          <w:tcPr>
            <w:tcW w:w="88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8/444 (1.8%)</w:t>
            </w:r>
          </w:p>
        </w:tc>
        <w:tc>
          <w:tcPr>
            <w:tcW w:w="1876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227/442 (51.4%)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114/444 (25.7%)</w:t>
            </w:r>
          </w:p>
        </w:tc>
        <w:tc>
          <w:tcPr>
            <w:tcW w:w="1835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309/434 (71.2%)</w:t>
            </w:r>
          </w:p>
        </w:tc>
        <w:tc>
          <w:tcPr>
            <w:tcW w:w="1028" w:type="dxa"/>
            <w:noWrap/>
            <w:hideMark/>
          </w:tcPr>
          <w:p w:rsidR="00136074" w:rsidRPr="00136074" w:rsidRDefault="00136074" w:rsidP="00136074">
            <w:r w:rsidRPr="00136074">
              <w:rPr>
                <w:rFonts w:hint="eastAsia"/>
              </w:rPr>
              <w:t>314/439 (71.5%)</w:t>
            </w:r>
          </w:p>
        </w:tc>
      </w:tr>
      <w:tr w:rsidR="00136074" w:rsidRPr="00136074" w:rsidTr="00136074">
        <w:trPr>
          <w:trHeight w:val="270"/>
        </w:trPr>
        <w:tc>
          <w:tcPr>
            <w:tcW w:w="15614" w:type="dxa"/>
            <w:gridSpan w:val="11"/>
            <w:noWrap/>
            <w:hideMark/>
          </w:tcPr>
          <w:p w:rsidR="00136074" w:rsidRPr="00136074" w:rsidRDefault="00136074">
            <w:r w:rsidRPr="00136074">
              <w:rPr>
                <w:rFonts w:hint="eastAsia"/>
              </w:rPr>
              <w:t>Abbreviation: AE (adverse event), C (control), CR (complete response), OR (objective response), OS (overall survival), PFS (progression free survival), NR (not reported), NRE (not reached), T(treatment)</w:t>
            </w:r>
          </w:p>
        </w:tc>
      </w:tr>
    </w:tbl>
    <w:p w:rsidR="00AA2DAB" w:rsidRPr="00136074" w:rsidRDefault="00AA2DAB"/>
    <w:sectPr w:rsidR="00AA2DAB" w:rsidRPr="00136074" w:rsidSect="00AA2DA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74F" w:rsidRDefault="009C574F" w:rsidP="00832F8F">
      <w:r>
        <w:separator/>
      </w:r>
    </w:p>
  </w:endnote>
  <w:endnote w:type="continuationSeparator" w:id="0">
    <w:p w:rsidR="009C574F" w:rsidRDefault="009C574F" w:rsidP="0083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74F" w:rsidRDefault="009C574F" w:rsidP="00832F8F">
      <w:r>
        <w:separator/>
      </w:r>
    </w:p>
  </w:footnote>
  <w:footnote w:type="continuationSeparator" w:id="0">
    <w:p w:rsidR="009C574F" w:rsidRDefault="009C574F" w:rsidP="00832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B"/>
    <w:rsid w:val="00136074"/>
    <w:rsid w:val="00832F8F"/>
    <w:rsid w:val="009C574F"/>
    <w:rsid w:val="009C72A7"/>
    <w:rsid w:val="00AA2DAB"/>
    <w:rsid w:val="00B34E11"/>
    <w:rsid w:val="00B64218"/>
    <w:rsid w:val="00BA5026"/>
    <w:rsid w:val="00E0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C617957-60FD-4328-B655-6C92B10B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DAB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2F8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32F8F"/>
  </w:style>
  <w:style w:type="paragraph" w:styleId="Footer">
    <w:name w:val="footer"/>
    <w:basedOn w:val="Normal"/>
    <w:link w:val="FooterChar"/>
    <w:uiPriority w:val="99"/>
    <w:unhideWhenUsed/>
    <w:rsid w:val="00832F8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32F8F"/>
  </w:style>
  <w:style w:type="table" w:styleId="TableGrid">
    <w:name w:val="Table Grid"/>
    <w:basedOn w:val="TableNormal"/>
    <w:uiPriority w:val="59"/>
    <w:rsid w:val="00B3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Saranya M.</cp:lastModifiedBy>
  <cp:revision>4</cp:revision>
  <dcterms:created xsi:type="dcterms:W3CDTF">2020-03-03T21:10:00Z</dcterms:created>
  <dcterms:modified xsi:type="dcterms:W3CDTF">2020-07-31T05:43:00Z</dcterms:modified>
</cp:coreProperties>
</file>