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52D" w:rsidRPr="00BE075F" w:rsidRDefault="0043552D" w:rsidP="0043552D">
      <w:pPr>
        <w:spacing w:line="360" w:lineRule="auto"/>
        <w:jc w:val="both"/>
        <w:rPr>
          <w:rFonts w:ascii="Times New Roman" w:hAnsi="Times New Roman" w:cs="Times New Roman"/>
          <w:sz w:val="24"/>
          <w:szCs w:val="24"/>
        </w:rPr>
      </w:pPr>
      <w:bookmarkStart w:id="0" w:name="_GoBack"/>
      <w:bookmarkEnd w:id="0"/>
    </w:p>
    <w:p w:rsidR="0043552D" w:rsidRPr="00BE075F" w:rsidRDefault="0043552D" w:rsidP="0043552D">
      <w:pPr>
        <w:spacing w:line="360" w:lineRule="auto"/>
        <w:jc w:val="both"/>
        <w:rPr>
          <w:rFonts w:ascii="Times New Roman" w:hAnsi="Times New Roman" w:cs="Times New Roman"/>
          <w:sz w:val="24"/>
          <w:szCs w:val="24"/>
        </w:rPr>
      </w:pPr>
    </w:p>
    <w:p w:rsidR="0043552D" w:rsidRPr="00BA2C92" w:rsidRDefault="0043552D" w:rsidP="0043552D">
      <w:pPr>
        <w:spacing w:line="360" w:lineRule="auto"/>
        <w:jc w:val="both"/>
        <w:rPr>
          <w:rFonts w:ascii="Times New Roman" w:hAnsi="Times New Roman" w:cs="Times New Roman"/>
          <w:sz w:val="24"/>
          <w:szCs w:val="24"/>
        </w:rPr>
      </w:pPr>
      <w:r w:rsidRPr="00BA2C92">
        <w:rPr>
          <w:rFonts w:ascii="Times New Roman" w:hAnsi="Times New Roman" w:cs="Times New Roman"/>
          <w:noProof/>
          <w:lang w:eastAsia="en-IN"/>
        </w:rPr>
        <w:drawing>
          <wp:anchor distT="0" distB="0" distL="114300" distR="114300" simplePos="0" relativeHeight="251660288" behindDoc="1" locked="0" layoutInCell="1" allowOverlap="1" wp14:anchorId="58ECFC1E" wp14:editId="169102B6">
            <wp:simplePos x="0" y="0"/>
            <wp:positionH relativeFrom="page">
              <wp:posOffset>656590</wp:posOffset>
            </wp:positionH>
            <wp:positionV relativeFrom="paragraph">
              <wp:posOffset>273685</wp:posOffset>
            </wp:positionV>
            <wp:extent cx="6304915" cy="1027430"/>
            <wp:effectExtent l="0" t="0" r="635" b="1270"/>
            <wp:wrapTight wrapText="bothSides">
              <wp:wrapPolygon edited="0">
                <wp:start x="0" y="0"/>
                <wp:lineTo x="0" y="21226"/>
                <wp:lineTo x="21537" y="21226"/>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4915"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b/>
          <w:bCs/>
          <w:noProof/>
          <w:lang w:eastAsia="en-IN"/>
        </w:rPr>
        <w:drawing>
          <wp:anchor distT="0" distB="0" distL="114300" distR="114300" simplePos="0" relativeHeight="251663360" behindDoc="1" locked="0" layoutInCell="1" allowOverlap="1" wp14:anchorId="5421C49A" wp14:editId="2E802289">
            <wp:simplePos x="0" y="0"/>
            <wp:positionH relativeFrom="page">
              <wp:posOffset>612775</wp:posOffset>
            </wp:positionH>
            <wp:positionV relativeFrom="paragraph">
              <wp:posOffset>1418590</wp:posOffset>
            </wp:positionV>
            <wp:extent cx="4216400" cy="1899920"/>
            <wp:effectExtent l="0" t="0" r="0" b="5080"/>
            <wp:wrapTight wrapText="bothSides">
              <wp:wrapPolygon edited="0">
                <wp:start x="0" y="0"/>
                <wp:lineTo x="0" y="21441"/>
                <wp:lineTo x="21470" y="21441"/>
                <wp:lineTo x="21470" y="0"/>
                <wp:lineTo x="0" y="0"/>
              </wp:wrapPolygon>
            </wp:wrapTight>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6400" cy="1899920"/>
                    </a:xfrm>
                    <a:prstGeom prst="rect">
                      <a:avLst/>
                    </a:prstGeom>
                  </pic:spPr>
                </pic:pic>
              </a:graphicData>
            </a:graphic>
          </wp:anchor>
        </w:drawing>
      </w:r>
      <w:r w:rsidRPr="00BA2C92">
        <w:rPr>
          <w:rFonts w:ascii="Times New Roman" w:hAnsi="Times New Roman" w:cs="Times New Roman"/>
          <w:b/>
          <w:bCs/>
          <w:noProof/>
          <w:lang w:eastAsia="en-IN"/>
        </w:rPr>
        <w:drawing>
          <wp:anchor distT="0" distB="0" distL="114300" distR="114300" simplePos="0" relativeHeight="251662336" behindDoc="1" locked="0" layoutInCell="1" allowOverlap="1" wp14:anchorId="04B9AC67" wp14:editId="62179B98">
            <wp:simplePos x="0" y="0"/>
            <wp:positionH relativeFrom="column">
              <wp:posOffset>-321310</wp:posOffset>
            </wp:positionH>
            <wp:positionV relativeFrom="paragraph">
              <wp:posOffset>3303270</wp:posOffset>
            </wp:positionV>
            <wp:extent cx="4184015" cy="1908810"/>
            <wp:effectExtent l="0" t="0" r="6985" b="0"/>
            <wp:wrapTight wrapText="bothSides">
              <wp:wrapPolygon edited="0">
                <wp:start x="0" y="0"/>
                <wp:lineTo x="0" y="21341"/>
                <wp:lineTo x="21538" y="21341"/>
                <wp:lineTo x="21538" y="0"/>
                <wp:lineTo x="0" y="0"/>
              </wp:wrapPolygon>
            </wp:wrapTight>
            <wp:docPr id="3" name="Picture 3" descr="Chart, diagram, engineering draw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engineering drawing, 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4015" cy="1908810"/>
                    </a:xfrm>
                    <a:prstGeom prst="rect">
                      <a:avLst/>
                    </a:prstGeom>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b/>
          <w:bCs/>
          <w:noProof/>
          <w:lang w:eastAsia="en-IN"/>
        </w:rPr>
        <w:drawing>
          <wp:anchor distT="0" distB="0" distL="114300" distR="114300" simplePos="0" relativeHeight="251661312" behindDoc="1" locked="0" layoutInCell="1" allowOverlap="1" wp14:anchorId="3EB90E8E" wp14:editId="5C702C7C">
            <wp:simplePos x="0" y="0"/>
            <wp:positionH relativeFrom="margin">
              <wp:posOffset>3971925</wp:posOffset>
            </wp:positionH>
            <wp:positionV relativeFrom="paragraph">
              <wp:posOffset>1402715</wp:posOffset>
            </wp:positionV>
            <wp:extent cx="1995170" cy="1939925"/>
            <wp:effectExtent l="0" t="0" r="5080" b="3175"/>
            <wp:wrapTight wrapText="bothSides">
              <wp:wrapPolygon edited="0">
                <wp:start x="0" y="0"/>
                <wp:lineTo x="0" y="21423"/>
                <wp:lineTo x="21449" y="21423"/>
                <wp:lineTo x="21449" y="0"/>
                <wp:lineTo x="0" y="0"/>
              </wp:wrapPolygon>
            </wp:wrapTight>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rotWithShape="1">
                    <a:blip r:embed="rId9" cstate="print">
                      <a:extLst>
                        <a:ext uri="{28A0092B-C50C-407E-A947-70E740481C1C}">
                          <a14:useLocalDpi xmlns:a14="http://schemas.microsoft.com/office/drawing/2010/main" val="0"/>
                        </a:ext>
                      </a:extLst>
                    </a:blip>
                    <a:srcRect l="15604"/>
                    <a:stretch/>
                  </pic:blipFill>
                  <pic:spPr bwMode="auto">
                    <a:xfrm>
                      <a:off x="0" y="0"/>
                      <a:ext cx="1995170" cy="1939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sz w:val="24"/>
          <w:szCs w:val="24"/>
        </w:rPr>
        <w:t>Supplemental</w:t>
      </w:r>
    </w:p>
    <w:p w:rsidR="0043552D" w:rsidRPr="00BA2C92" w:rsidRDefault="0043552D" w:rsidP="0043552D">
      <w:pPr>
        <w:spacing w:line="360" w:lineRule="auto"/>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bookmarkStart w:id="1" w:name="_Hlk79155346"/>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b/>
          <w:bCs/>
        </w:rPr>
        <w:t>Figure S1:</w:t>
      </w:r>
      <w:r w:rsidRPr="00BA2C92">
        <w:rPr>
          <w:rFonts w:ascii="Times New Roman" w:hAnsi="Times New Roman" w:cs="Times New Roman"/>
        </w:rPr>
        <w:t xml:space="preserve"> </w:t>
      </w:r>
      <w:r w:rsidRPr="00BA2C92">
        <w:rPr>
          <w:rFonts w:ascii="Times New Roman" w:hAnsi="Times New Roman" w:cs="Times New Roman"/>
          <w:b/>
          <w:bCs/>
        </w:rPr>
        <w:t xml:space="preserve">Gating strategy for assessing expression of ICs on T cells surfaces by flow </w:t>
      </w:r>
      <w:proofErr w:type="spellStart"/>
      <w:r w:rsidRPr="00BA2C92">
        <w:rPr>
          <w:rFonts w:ascii="Times New Roman" w:hAnsi="Times New Roman" w:cs="Times New Roman"/>
          <w:b/>
          <w:bCs/>
        </w:rPr>
        <w:t>cytometry</w:t>
      </w:r>
      <w:proofErr w:type="spellEnd"/>
      <w:r w:rsidRPr="00BA2C92">
        <w:rPr>
          <w:rFonts w:ascii="Times New Roman" w:hAnsi="Times New Roman" w:cs="Times New Roman"/>
          <w:b/>
          <w:bCs/>
        </w:rPr>
        <w:t>.</w:t>
      </w:r>
      <w:r w:rsidRPr="00BA2C92">
        <w:rPr>
          <w:rFonts w:ascii="Times New Roman" w:hAnsi="Times New Roman" w:cs="Times New Roman"/>
        </w:rPr>
        <w:t xml:space="preserve"> Gate 1 included all cells in the FSC versus SSCA plot, doublet cells were then excluded using FSC-H versus FSC-A plot, </w:t>
      </w:r>
      <w:proofErr w:type="gramStart"/>
      <w:r w:rsidRPr="00BA2C92">
        <w:rPr>
          <w:rFonts w:ascii="Times New Roman" w:hAnsi="Times New Roman" w:cs="Times New Roman"/>
        </w:rPr>
        <w:t>dead</w:t>
      </w:r>
      <w:proofErr w:type="gramEnd"/>
      <w:r w:rsidRPr="00BA2C92">
        <w:rPr>
          <w:rFonts w:ascii="Times New Roman" w:hAnsi="Times New Roman" w:cs="Times New Roman"/>
        </w:rPr>
        <w:t xml:space="preserve"> cells were excluded using zombie viability dye. The surface expression of PD-L1, PD-L2, CD160, PD-1, TIM-3, KLRG-1, LAG-3, A2aR, CTLA-4 and TIGIT was assessed on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cells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cells. Representative dot plots are shown for each gated on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cells following 48h culture of PBMCs in pH 7.4 </w:t>
      </w:r>
      <w:proofErr w:type="spellStart"/>
      <w:r w:rsidRPr="00BA2C92">
        <w:rPr>
          <w:rFonts w:ascii="Times New Roman" w:hAnsi="Times New Roman" w:cs="Times New Roman"/>
        </w:rPr>
        <w:t>cRPMI</w:t>
      </w:r>
      <w:proofErr w:type="spellEnd"/>
      <w:r w:rsidRPr="00BA2C92">
        <w:rPr>
          <w:rFonts w:ascii="Times New Roman" w:hAnsi="Times New Roman" w:cs="Times New Roman"/>
        </w:rPr>
        <w:t xml:space="preserve"> and pH 5.5 </w:t>
      </w:r>
      <w:proofErr w:type="spellStart"/>
      <w:r w:rsidRPr="00BA2C92">
        <w:rPr>
          <w:rFonts w:ascii="Times New Roman" w:hAnsi="Times New Roman" w:cs="Times New Roman"/>
        </w:rPr>
        <w:t>cRPMI</w:t>
      </w:r>
      <w:proofErr w:type="spellEnd"/>
      <w:r w:rsidRPr="00BA2C92">
        <w:rPr>
          <w:rFonts w:ascii="Times New Roman" w:hAnsi="Times New Roman" w:cs="Times New Roman"/>
        </w:rPr>
        <w:t>.</w:t>
      </w:r>
    </w:p>
    <w:bookmarkEnd w:id="1"/>
    <w:p w:rsidR="0043552D" w:rsidRPr="00BA2C92" w:rsidRDefault="0043552D" w:rsidP="0043552D">
      <w:pPr>
        <w:spacing w:line="360" w:lineRule="auto"/>
        <w:jc w:val="both"/>
        <w:rPr>
          <w:rFonts w:ascii="Times New Roman" w:hAnsi="Times New Roman" w:cs="Times New Roman"/>
        </w:rPr>
      </w:pP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b/>
          <w:bCs/>
          <w:noProof/>
          <w:lang w:eastAsia="en-IN"/>
        </w:rPr>
        <w:lastRenderedPageBreak/>
        <w:drawing>
          <wp:anchor distT="0" distB="0" distL="114300" distR="114300" simplePos="0" relativeHeight="251666432" behindDoc="1" locked="0" layoutInCell="1" allowOverlap="1" wp14:anchorId="56677526" wp14:editId="5A06266B">
            <wp:simplePos x="0" y="0"/>
            <wp:positionH relativeFrom="column">
              <wp:posOffset>302309</wp:posOffset>
            </wp:positionH>
            <wp:positionV relativeFrom="paragraph">
              <wp:posOffset>1293788</wp:posOffset>
            </wp:positionV>
            <wp:extent cx="5823585" cy="2243455"/>
            <wp:effectExtent l="0" t="0" r="0" b="0"/>
            <wp:wrapTight wrapText="bothSides">
              <wp:wrapPolygon edited="0">
                <wp:start x="919" y="183"/>
                <wp:lineTo x="707" y="1284"/>
                <wp:lineTo x="707" y="3485"/>
                <wp:lineTo x="71" y="4035"/>
                <wp:lineTo x="71" y="5319"/>
                <wp:lineTo x="848" y="6419"/>
                <wp:lineTo x="565" y="7703"/>
                <wp:lineTo x="707" y="8437"/>
                <wp:lineTo x="1413" y="9354"/>
                <wp:lineTo x="636" y="12289"/>
                <wp:lineTo x="353" y="13756"/>
                <wp:lineTo x="0" y="15040"/>
                <wp:lineTo x="495" y="18158"/>
                <wp:lineTo x="495" y="18525"/>
                <wp:lineTo x="2120" y="21276"/>
                <wp:lineTo x="20137" y="21276"/>
                <wp:lineTo x="20561" y="20909"/>
                <wp:lineTo x="21339" y="19075"/>
                <wp:lineTo x="21268" y="183"/>
                <wp:lineTo x="919" y="183"/>
              </wp:wrapPolygon>
            </wp:wrapTight>
            <wp:docPr id="5" name="Picture 5" descr="A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 shot of a computer&#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l="12395" t="34415" r="6272"/>
                    <a:stretch/>
                  </pic:blipFill>
                  <pic:spPr bwMode="auto">
                    <a:xfrm>
                      <a:off x="0" y="0"/>
                      <a:ext cx="5823585" cy="2243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b/>
          <w:bCs/>
          <w:noProof/>
          <w:lang w:eastAsia="en-IN"/>
        </w:rPr>
        <w:drawing>
          <wp:anchor distT="0" distB="0" distL="114300" distR="114300" simplePos="0" relativeHeight="251664384" behindDoc="1" locked="0" layoutInCell="1" allowOverlap="1" wp14:anchorId="38FCBB20" wp14:editId="52A395D0">
            <wp:simplePos x="0" y="0"/>
            <wp:positionH relativeFrom="margin">
              <wp:posOffset>-161730</wp:posOffset>
            </wp:positionH>
            <wp:positionV relativeFrom="paragraph">
              <wp:posOffset>1203667</wp:posOffset>
            </wp:positionV>
            <wp:extent cx="449580" cy="2442210"/>
            <wp:effectExtent l="0" t="0" r="7620" b="0"/>
            <wp:wrapTight wrapText="bothSides">
              <wp:wrapPolygon edited="0">
                <wp:start x="0" y="0"/>
                <wp:lineTo x="0" y="21398"/>
                <wp:lineTo x="21051" y="21398"/>
                <wp:lineTo x="21051" y="0"/>
                <wp:lineTo x="0" y="0"/>
              </wp:wrapPolygon>
            </wp:wrapTight>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rotWithShape="1">
                    <a:blip r:embed="rId11" cstate="print">
                      <a:extLst>
                        <a:ext uri="{28A0092B-C50C-407E-A947-70E740481C1C}">
                          <a14:useLocalDpi xmlns:a14="http://schemas.microsoft.com/office/drawing/2010/main" val="0"/>
                        </a:ext>
                      </a:extLst>
                    </a:blip>
                    <a:srcRect r="90812"/>
                    <a:stretch/>
                  </pic:blipFill>
                  <pic:spPr bwMode="auto">
                    <a:xfrm>
                      <a:off x="0" y="0"/>
                      <a:ext cx="449580" cy="2442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b/>
          <w:bCs/>
          <w:noProof/>
          <w:lang w:eastAsia="en-IN"/>
        </w:rPr>
        <w:drawing>
          <wp:anchor distT="0" distB="0" distL="114300" distR="114300" simplePos="0" relativeHeight="251665408" behindDoc="1" locked="0" layoutInCell="1" allowOverlap="1" wp14:anchorId="68B72893" wp14:editId="559C6B57">
            <wp:simplePos x="0" y="0"/>
            <wp:positionH relativeFrom="column">
              <wp:posOffset>4360545</wp:posOffset>
            </wp:positionH>
            <wp:positionV relativeFrom="paragraph">
              <wp:posOffset>27940</wp:posOffset>
            </wp:positionV>
            <wp:extent cx="2184400" cy="1075690"/>
            <wp:effectExtent l="0" t="0" r="0" b="0"/>
            <wp:wrapTight wrapText="bothSides">
              <wp:wrapPolygon edited="0">
                <wp:start x="2260" y="765"/>
                <wp:lineTo x="1695" y="3060"/>
                <wp:lineTo x="1695" y="6503"/>
                <wp:lineTo x="188" y="7651"/>
                <wp:lineTo x="188" y="11858"/>
                <wp:lineTo x="2072" y="13771"/>
                <wp:lineTo x="1507" y="16066"/>
                <wp:lineTo x="2072" y="17214"/>
                <wp:lineTo x="5463" y="19891"/>
                <wp:lineTo x="5651" y="21039"/>
                <wp:lineTo x="17895" y="21039"/>
                <wp:lineTo x="19779" y="19891"/>
                <wp:lineTo x="21286" y="16831"/>
                <wp:lineTo x="21286" y="765"/>
                <wp:lineTo x="2260" y="765"/>
              </wp:wrapPolygon>
            </wp:wrapTight>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4400" cy="1075690"/>
                    </a:xfrm>
                    <a:prstGeom prst="rect">
                      <a:avLst/>
                    </a:prstGeom>
                  </pic:spPr>
                </pic:pic>
              </a:graphicData>
            </a:graphic>
            <wp14:sizeRelH relativeFrom="margin">
              <wp14:pctWidth>0</wp14:pctWidth>
            </wp14:sizeRelH>
            <wp14:sizeRelV relativeFrom="margin">
              <wp14:pctHeight>0</wp14:pctHeight>
            </wp14:sizeRelV>
          </wp:anchor>
        </w:drawing>
      </w:r>
      <w:r w:rsidRPr="00BA2C92">
        <w:rPr>
          <w:rFonts w:ascii="Times New Roman" w:hAnsi="Times New Roman" w:cs="Times New Roman"/>
          <w:noProof/>
          <w:lang w:eastAsia="en-IN"/>
        </w:rPr>
        <w:drawing>
          <wp:anchor distT="0" distB="0" distL="114300" distR="114300" simplePos="0" relativeHeight="251659264" behindDoc="1" locked="0" layoutInCell="1" allowOverlap="1" wp14:anchorId="6CCEBD92" wp14:editId="524B897E">
            <wp:simplePos x="0" y="0"/>
            <wp:positionH relativeFrom="margin">
              <wp:posOffset>-506730</wp:posOffset>
            </wp:positionH>
            <wp:positionV relativeFrom="paragraph">
              <wp:posOffset>0</wp:posOffset>
            </wp:positionV>
            <wp:extent cx="4895215" cy="1126490"/>
            <wp:effectExtent l="0" t="0" r="635" b="0"/>
            <wp:wrapTight wrapText="bothSides">
              <wp:wrapPolygon edited="0">
                <wp:start x="0" y="0"/>
                <wp:lineTo x="0" y="21186"/>
                <wp:lineTo x="21519" y="21186"/>
                <wp:lineTo x="215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9160"/>
                    <a:stretch/>
                  </pic:blipFill>
                  <pic:spPr bwMode="auto">
                    <a:xfrm>
                      <a:off x="0" y="0"/>
                      <a:ext cx="4895215" cy="112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rPr>
      </w:pPr>
      <w:bookmarkStart w:id="2" w:name="_Hlk79155361"/>
      <w:r w:rsidRPr="00BA2C92">
        <w:rPr>
          <w:rFonts w:ascii="Times New Roman" w:hAnsi="Times New Roman" w:cs="Times New Roman"/>
          <w:b/>
          <w:bCs/>
        </w:rPr>
        <w:t xml:space="preserve">Figure S2: Gating strategy for assessing expression of T cell activation markers and T cell differentiation states by flow </w:t>
      </w:r>
      <w:proofErr w:type="spellStart"/>
      <w:r w:rsidRPr="00BA2C92">
        <w:rPr>
          <w:rFonts w:ascii="Times New Roman" w:hAnsi="Times New Roman" w:cs="Times New Roman"/>
          <w:b/>
          <w:bCs/>
        </w:rPr>
        <w:t>cytometry</w:t>
      </w:r>
      <w:proofErr w:type="spellEnd"/>
      <w:r w:rsidRPr="00BA2C92">
        <w:rPr>
          <w:rFonts w:ascii="Times New Roman" w:hAnsi="Times New Roman" w:cs="Times New Roman"/>
          <w:b/>
          <w:bCs/>
        </w:rPr>
        <w:t>.</w:t>
      </w:r>
      <w:r w:rsidRPr="00BA2C92">
        <w:rPr>
          <w:rFonts w:ascii="Times New Roman" w:hAnsi="Times New Roman" w:cs="Times New Roman"/>
        </w:rPr>
        <w:t xml:space="preserve"> Gate 1 included all cells in the FSC versus SSCA plot, doublet cells were then excluded using FSC-H versus FSC-A plot, </w:t>
      </w:r>
      <w:proofErr w:type="gramStart"/>
      <w:r w:rsidRPr="00BA2C92">
        <w:rPr>
          <w:rFonts w:ascii="Times New Roman" w:hAnsi="Times New Roman" w:cs="Times New Roman"/>
        </w:rPr>
        <w:t>dead</w:t>
      </w:r>
      <w:proofErr w:type="gramEnd"/>
      <w:r w:rsidRPr="00BA2C92">
        <w:rPr>
          <w:rFonts w:ascii="Times New Roman" w:hAnsi="Times New Roman" w:cs="Times New Roman"/>
        </w:rPr>
        <w:t xml:space="preserve"> cells were excluded using zombie viability dye. The surface expression of CD62L, CD69, CD45RA and CD27 as well as T cell differentiation states was assessed on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cells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cells. Representative dot plots are shown for each marker gated on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cells following 48h culture of PBMCs in pH 7.4 </w:t>
      </w:r>
      <w:proofErr w:type="spellStart"/>
      <w:r w:rsidRPr="00BA2C92">
        <w:rPr>
          <w:rFonts w:ascii="Times New Roman" w:hAnsi="Times New Roman" w:cs="Times New Roman"/>
        </w:rPr>
        <w:t>cRPMI</w:t>
      </w:r>
      <w:proofErr w:type="spellEnd"/>
      <w:r w:rsidRPr="00BA2C92">
        <w:rPr>
          <w:rFonts w:ascii="Times New Roman" w:hAnsi="Times New Roman" w:cs="Times New Roman"/>
        </w:rPr>
        <w:t xml:space="preserve"> and pH 5.5 </w:t>
      </w:r>
      <w:proofErr w:type="spellStart"/>
      <w:r w:rsidRPr="00BA2C92">
        <w:rPr>
          <w:rFonts w:ascii="Times New Roman" w:hAnsi="Times New Roman" w:cs="Times New Roman"/>
        </w:rPr>
        <w:t>cRPMI</w:t>
      </w:r>
      <w:proofErr w:type="spellEnd"/>
      <w:r w:rsidRPr="00BA2C92">
        <w:rPr>
          <w:rFonts w:ascii="Times New Roman" w:hAnsi="Times New Roman" w:cs="Times New Roman"/>
        </w:rPr>
        <w:t>. Representative dot plots also shown depicting viable naïve (CD27</w:t>
      </w:r>
      <w:r w:rsidRPr="00BA2C92">
        <w:rPr>
          <w:rFonts w:ascii="Times New Roman" w:hAnsi="Times New Roman" w:cs="Times New Roman"/>
          <w:vertAlign w:val="superscript"/>
        </w:rPr>
        <w:t>+</w:t>
      </w:r>
      <w:r w:rsidRPr="00BA2C92">
        <w:rPr>
          <w:rFonts w:ascii="Times New Roman" w:hAnsi="Times New Roman" w:cs="Times New Roman"/>
        </w:rPr>
        <w:t>CD45RA</w:t>
      </w:r>
      <w:r w:rsidRPr="00BA2C92">
        <w:rPr>
          <w:rFonts w:ascii="Times New Roman" w:hAnsi="Times New Roman" w:cs="Times New Roman"/>
          <w:vertAlign w:val="superscript"/>
        </w:rPr>
        <w:t>+</w:t>
      </w:r>
      <w:r w:rsidRPr="00BA2C92">
        <w:rPr>
          <w:rFonts w:ascii="Times New Roman" w:hAnsi="Times New Roman" w:cs="Times New Roman"/>
        </w:rPr>
        <w:t>), central memory (CD27</w:t>
      </w:r>
      <w:r w:rsidRPr="00BA2C92">
        <w:rPr>
          <w:rFonts w:ascii="Times New Roman" w:hAnsi="Times New Roman" w:cs="Times New Roman"/>
          <w:vertAlign w:val="superscript"/>
        </w:rPr>
        <w:t>+</w:t>
      </w:r>
      <w:r w:rsidRPr="00BA2C92">
        <w:rPr>
          <w:rFonts w:ascii="Times New Roman" w:hAnsi="Times New Roman" w:cs="Times New Roman"/>
        </w:rPr>
        <w:t>CD45RA</w:t>
      </w:r>
      <w:r w:rsidRPr="00BA2C92">
        <w:rPr>
          <w:rFonts w:ascii="Times New Roman" w:hAnsi="Times New Roman" w:cs="Times New Roman"/>
          <w:vertAlign w:val="superscript"/>
        </w:rPr>
        <w:t>-</w:t>
      </w:r>
      <w:r w:rsidRPr="00BA2C92">
        <w:rPr>
          <w:rFonts w:ascii="Times New Roman" w:hAnsi="Times New Roman" w:cs="Times New Roman"/>
        </w:rPr>
        <w:t>), effector memory (CD27</w:t>
      </w:r>
      <w:r w:rsidRPr="00BA2C92">
        <w:rPr>
          <w:rFonts w:ascii="Times New Roman" w:hAnsi="Times New Roman" w:cs="Times New Roman"/>
          <w:vertAlign w:val="superscript"/>
        </w:rPr>
        <w:t>-</w:t>
      </w:r>
      <w:r w:rsidRPr="00BA2C92">
        <w:rPr>
          <w:rFonts w:ascii="Times New Roman" w:hAnsi="Times New Roman" w:cs="Times New Roman"/>
        </w:rPr>
        <w:t>CD45RA</w:t>
      </w:r>
      <w:r w:rsidRPr="00BA2C92">
        <w:rPr>
          <w:rFonts w:ascii="Times New Roman" w:hAnsi="Times New Roman" w:cs="Times New Roman"/>
          <w:vertAlign w:val="superscript"/>
        </w:rPr>
        <w:t>-</w:t>
      </w:r>
      <w:r w:rsidRPr="00BA2C92">
        <w:rPr>
          <w:rFonts w:ascii="Times New Roman" w:hAnsi="Times New Roman" w:cs="Times New Roman"/>
        </w:rPr>
        <w:t>) and terminally differentiated effector memory (CD27</w:t>
      </w:r>
      <w:r w:rsidRPr="00BA2C92">
        <w:rPr>
          <w:rFonts w:ascii="Times New Roman" w:hAnsi="Times New Roman" w:cs="Times New Roman"/>
          <w:vertAlign w:val="superscript"/>
        </w:rPr>
        <w:t>-</w:t>
      </w:r>
      <w:r w:rsidRPr="00BA2C92">
        <w:rPr>
          <w:rFonts w:ascii="Times New Roman" w:hAnsi="Times New Roman" w:cs="Times New Roman"/>
        </w:rPr>
        <w:t>CD45RA</w:t>
      </w:r>
      <w:r w:rsidRPr="00BA2C92">
        <w:rPr>
          <w:rFonts w:ascii="Times New Roman" w:hAnsi="Times New Roman" w:cs="Times New Roman"/>
          <w:vertAlign w:val="superscript"/>
        </w:rPr>
        <w:t>+</w:t>
      </w:r>
      <w:r w:rsidRPr="00BA2C92">
        <w:rPr>
          <w:rFonts w:ascii="Times New Roman" w:hAnsi="Times New Roman" w:cs="Times New Roman"/>
        </w:rPr>
        <w:t>)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cells.</w:t>
      </w:r>
      <w:bookmarkEnd w:id="2"/>
    </w:p>
    <w:p w:rsidR="0043552D" w:rsidRPr="00BA2C92" w:rsidRDefault="0043552D" w:rsidP="0043552D">
      <w:pPr>
        <w:spacing w:line="360" w:lineRule="auto"/>
        <w:jc w:val="both"/>
        <w:rPr>
          <w:rFonts w:ascii="Times New Roman" w:hAnsi="Times New Roman" w:cs="Times New Roman"/>
        </w:rPr>
      </w:pPr>
    </w:p>
    <w:p w:rsidR="0043552D" w:rsidRPr="00BA2C92" w:rsidRDefault="0043552D" w:rsidP="0043552D">
      <w:pPr>
        <w:spacing w:line="360" w:lineRule="auto"/>
        <w:jc w:val="both"/>
        <w:rPr>
          <w:rFonts w:ascii="Times New Roman" w:hAnsi="Times New Roman" w:cs="Times New Roman"/>
        </w:rPr>
      </w:pPr>
      <w:bookmarkStart w:id="3" w:name="OLE_LINK4"/>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rPr>
        <w:object w:dxaOrig="11885" w:dyaOrig="7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275.1pt" o:ole="" filled="t">
            <v:imagedata r:id="rId14" o:title=""/>
          </v:shape>
          <o:OLEObject Type="Embed" ProgID="Prism9.Document" ShapeID="_x0000_i1025" DrawAspect="Content" ObjectID="_1715876245" r:id="rId15"/>
        </w:object>
      </w: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b/>
          <w:bCs/>
        </w:rPr>
        <w:t>Figure S3: Effect of acidic conditions on the co-expression of ICs on the surface of OAC patient-derived T cells.</w:t>
      </w:r>
      <w:r w:rsidRPr="00BA2C92">
        <w:rPr>
          <w:rFonts w:ascii="Times New Roman" w:hAnsi="Times New Roman" w:cs="Times New Roman"/>
        </w:rPr>
        <w:t xml:space="preserve"> PBMCs were isolated from peripheral blood of treatment-naïve OAC patients (n=6) and expanded </w:t>
      </w:r>
      <w:r w:rsidRPr="00BA2C92">
        <w:rPr>
          <w:rFonts w:ascii="Times New Roman" w:hAnsi="Times New Roman" w:cs="Times New Roman"/>
          <w:i/>
          <w:iCs/>
        </w:rPr>
        <w:t>ex vivo</w:t>
      </w:r>
      <w:r w:rsidRPr="00BA2C92">
        <w:rPr>
          <w:rFonts w:ascii="Times New Roman" w:hAnsi="Times New Roman" w:cs="Times New Roman"/>
        </w:rPr>
        <w:t xml:space="preserve"> for 7 days in the presence of plate bound anti-CD3/anti-CD28 and recombinant human IL-2. Following a 7-day expansion, PBMCs were cultured for 48h in media with increasing levels of acidity (pH 7.4, pH 6.6 and pH 5.5).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cells were stained with zombie viability dye and antibodies specific for IC ligands and receptors and co-expression of multiple ICs was assessed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xml:space="preserve">. Non-significant changes are shown in A-E. Significant changes are outlined in </w:t>
      </w:r>
      <w:r w:rsidRPr="00BA2C92">
        <w:rPr>
          <w:rFonts w:ascii="Times New Roman" w:hAnsi="Times New Roman" w:cs="Times New Roman"/>
          <w:b/>
          <w:bCs/>
        </w:rPr>
        <w:t>Figure 2</w:t>
      </w:r>
      <w:r w:rsidRPr="00BA2C92">
        <w:rPr>
          <w:rFonts w:ascii="Times New Roman" w:hAnsi="Times New Roman" w:cs="Times New Roman"/>
        </w:rPr>
        <w:t>. Expression presented as percentages ± SEM. Paired, non-parametric t test for PBMCs (n=6) and paired parametric t-test for OE33 cells (n=3).</w:t>
      </w:r>
    </w:p>
    <w:p w:rsidR="0043552D" w:rsidRPr="00BA2C92" w:rsidRDefault="0043552D" w:rsidP="0043552D">
      <w:pPr>
        <w:spacing w:line="360" w:lineRule="auto"/>
        <w:jc w:val="both"/>
        <w:rPr>
          <w:rFonts w:ascii="Times New Roman" w:hAnsi="Times New Roman" w:cs="Times New Roman"/>
          <w:b/>
          <w:bCs/>
        </w:rPr>
      </w:pPr>
    </w:p>
    <w:p w:rsidR="0043552D" w:rsidRPr="00BA2C92" w:rsidRDefault="0043552D" w:rsidP="0043552D">
      <w:pPr>
        <w:spacing w:line="360" w:lineRule="auto"/>
        <w:jc w:val="both"/>
        <w:rPr>
          <w:rFonts w:ascii="Times New Roman" w:hAnsi="Times New Roman" w:cs="Times New Roman"/>
          <w:b/>
          <w:bCs/>
        </w:rPr>
      </w:pPr>
      <w:r w:rsidRPr="00BA2C92">
        <w:rPr>
          <w:rFonts w:ascii="Times New Roman" w:hAnsi="Times New Roman" w:cs="Times New Roman"/>
          <w:b/>
          <w:bCs/>
        </w:rPr>
        <w:object w:dxaOrig="12063" w:dyaOrig="9456">
          <v:shape id="_x0000_i1026" type="#_x0000_t75" style="width:451.9pt;height:354.1pt" o:ole="">
            <v:imagedata r:id="rId16" o:title=""/>
          </v:shape>
          <o:OLEObject Type="Embed" ProgID="Prism9.Document" ShapeID="_x0000_i1026" DrawAspect="Content" ObjectID="_1715876246" r:id="rId17"/>
        </w:object>
      </w: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b/>
          <w:bCs/>
        </w:rPr>
        <w:t xml:space="preserve">Figure S4: Effect of acidosis on activation marker expression in the absence and presence of ICB. </w:t>
      </w:r>
      <w:r w:rsidRPr="00BA2C92">
        <w:rPr>
          <w:rFonts w:ascii="Times New Roman" w:hAnsi="Times New Roman" w:cs="Times New Roman"/>
        </w:rPr>
        <w:t xml:space="preserve">PBMCs were isolated from peripheral blood of treatment-naïve OAC patients (n=6) and expanded </w:t>
      </w:r>
      <w:r w:rsidRPr="00BA2C92">
        <w:rPr>
          <w:rFonts w:ascii="Times New Roman" w:hAnsi="Times New Roman" w:cs="Times New Roman"/>
          <w:i/>
          <w:iCs/>
        </w:rPr>
        <w:t>ex vivo</w:t>
      </w:r>
      <w:r w:rsidRPr="00BA2C92">
        <w:rPr>
          <w:rFonts w:ascii="Times New Roman" w:hAnsi="Times New Roman" w:cs="Times New Roman"/>
        </w:rPr>
        <w:t xml:space="preserve"> for 7 days in the presence of plate bound anti-CD3/anti-CD28 and recombinant human IL-2. Following a 7-day expansion, PBMCs were cultured for 48h in media with increasing levels of acidity (pH 7.4, pH 6.6 and pH 5.5) in the absence or presence of ICB. ICB included </w:t>
      </w:r>
      <w:proofErr w:type="spellStart"/>
      <w:r w:rsidRPr="00BA2C92">
        <w:rPr>
          <w:rFonts w:ascii="Times New Roman" w:hAnsi="Times New Roman" w:cs="Times New Roman"/>
        </w:rPr>
        <w:t>nivolumab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niv</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ipilimumab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ipi</w:t>
      </w:r>
      <w:proofErr w:type="spellEnd"/>
      <w:r w:rsidRPr="00BA2C92">
        <w:rPr>
          <w:rFonts w:ascii="Times New Roman" w:hAnsi="Times New Roman" w:cs="Times New Roman"/>
        </w:rPr>
        <w:t xml:space="preserve">) or dual </w:t>
      </w:r>
      <w:proofErr w:type="spellStart"/>
      <w:r w:rsidRPr="00BA2C92">
        <w:rPr>
          <w:rFonts w:ascii="Times New Roman" w:hAnsi="Times New Roman" w:cs="Times New Roman"/>
        </w:rPr>
        <w:t>nivolumab-ipilimumab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niv</w:t>
      </w:r>
      <w:proofErr w:type="spellEnd"/>
      <w:r w:rsidRPr="00BA2C92">
        <w:rPr>
          <w:rFonts w:ascii="Times New Roman" w:hAnsi="Times New Roman" w:cs="Times New Roman"/>
        </w:rPr>
        <w:t xml:space="preserve"> + </w:t>
      </w:r>
      <w:proofErr w:type="spellStart"/>
      <w:r w:rsidRPr="00BA2C92">
        <w:rPr>
          <w:rFonts w:ascii="Times New Roman" w:hAnsi="Times New Roman" w:cs="Times New Roman"/>
        </w:rPr>
        <w:t>ipi</w:t>
      </w:r>
      <w:proofErr w:type="spellEnd"/>
      <w:r w:rsidRPr="00BA2C92">
        <w:rPr>
          <w:rFonts w:ascii="Times New Roman" w:hAnsi="Times New Roman" w:cs="Times New Roman"/>
        </w:rPr>
        <w:t>). Expression of markers reflective of T cell activation status was assessed on viable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cells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xml:space="preserve"> (n=6). Markers assessed included: CD62L, CD69, CD27 and CD45RA. The percentage of viable naïve (CD45RA</w:t>
      </w:r>
      <w:r w:rsidRPr="00BA2C92">
        <w:rPr>
          <w:rFonts w:ascii="Times New Roman" w:hAnsi="Times New Roman" w:cs="Times New Roman"/>
          <w:vertAlign w:val="superscript"/>
        </w:rPr>
        <w:t>+</w:t>
      </w:r>
      <w:r w:rsidRPr="00BA2C92">
        <w:rPr>
          <w:rFonts w:ascii="Times New Roman" w:hAnsi="Times New Roman" w:cs="Times New Roman"/>
        </w:rPr>
        <w:t>CD27</w:t>
      </w:r>
      <w:r w:rsidRPr="00BA2C92">
        <w:rPr>
          <w:rFonts w:ascii="Times New Roman" w:hAnsi="Times New Roman" w:cs="Times New Roman"/>
          <w:vertAlign w:val="superscript"/>
        </w:rPr>
        <w:t>+</w:t>
      </w:r>
      <w:r w:rsidRPr="00BA2C92">
        <w:rPr>
          <w:rFonts w:ascii="Times New Roman" w:hAnsi="Times New Roman" w:cs="Times New Roman"/>
        </w:rPr>
        <w:t>), central memory (CD45RA</w:t>
      </w:r>
      <w:r w:rsidRPr="00BA2C92">
        <w:rPr>
          <w:rFonts w:ascii="Times New Roman" w:hAnsi="Times New Roman" w:cs="Times New Roman"/>
          <w:vertAlign w:val="superscript"/>
        </w:rPr>
        <w:t>-</w:t>
      </w:r>
      <w:r w:rsidRPr="00BA2C92">
        <w:rPr>
          <w:rFonts w:ascii="Times New Roman" w:hAnsi="Times New Roman" w:cs="Times New Roman"/>
        </w:rPr>
        <w:t>CD27</w:t>
      </w:r>
      <w:r w:rsidRPr="00BA2C92">
        <w:rPr>
          <w:rFonts w:ascii="Times New Roman" w:hAnsi="Times New Roman" w:cs="Times New Roman"/>
          <w:vertAlign w:val="superscript"/>
        </w:rPr>
        <w:t>+</w:t>
      </w:r>
      <w:r w:rsidRPr="00BA2C92">
        <w:rPr>
          <w:rFonts w:ascii="Times New Roman" w:hAnsi="Times New Roman" w:cs="Times New Roman"/>
        </w:rPr>
        <w:t>), effector memory (CD45RA</w:t>
      </w:r>
      <w:r w:rsidRPr="00BA2C92">
        <w:rPr>
          <w:rFonts w:ascii="Times New Roman" w:hAnsi="Times New Roman" w:cs="Times New Roman"/>
          <w:vertAlign w:val="superscript"/>
        </w:rPr>
        <w:t>-</w:t>
      </w:r>
      <w:r w:rsidRPr="00BA2C92">
        <w:rPr>
          <w:rFonts w:ascii="Times New Roman" w:hAnsi="Times New Roman" w:cs="Times New Roman"/>
        </w:rPr>
        <w:t>CD27</w:t>
      </w:r>
      <w:r w:rsidRPr="00BA2C92">
        <w:rPr>
          <w:rFonts w:ascii="Times New Roman" w:hAnsi="Times New Roman" w:cs="Times New Roman"/>
          <w:vertAlign w:val="superscript"/>
        </w:rPr>
        <w:t>-</w:t>
      </w:r>
      <w:r w:rsidRPr="00BA2C92">
        <w:rPr>
          <w:rFonts w:ascii="Times New Roman" w:hAnsi="Times New Roman" w:cs="Times New Roman"/>
        </w:rPr>
        <w:t>) and terminally differentiated effector memory (CD45RA</w:t>
      </w:r>
      <w:r w:rsidRPr="00BA2C92">
        <w:rPr>
          <w:rFonts w:ascii="Times New Roman" w:hAnsi="Times New Roman" w:cs="Times New Roman"/>
          <w:vertAlign w:val="superscript"/>
        </w:rPr>
        <w:t>+</w:t>
      </w:r>
      <w:r w:rsidRPr="00BA2C92">
        <w:rPr>
          <w:rFonts w:ascii="Times New Roman" w:hAnsi="Times New Roman" w:cs="Times New Roman"/>
        </w:rPr>
        <w:t>CD27</w:t>
      </w:r>
      <w:r w:rsidRPr="00BA2C92">
        <w:rPr>
          <w:rFonts w:ascii="Times New Roman" w:hAnsi="Times New Roman" w:cs="Times New Roman"/>
          <w:vertAlign w:val="superscript"/>
        </w:rPr>
        <w:t>-</w:t>
      </w:r>
      <w:r w:rsidRPr="00BA2C92">
        <w:rPr>
          <w:rFonts w:ascii="Times New Roman" w:hAnsi="Times New Roman" w:cs="Times New Roman"/>
        </w:rPr>
        <w:t>)</w:t>
      </w:r>
      <w:r w:rsidRPr="00BA2C92">
        <w:rPr>
          <w:rFonts w:ascii="Times New Roman" w:hAnsi="Times New Roman" w:cs="Times New Roman"/>
          <w:b/>
          <w:bCs/>
        </w:rPr>
        <w:t xml:space="preserve"> </w:t>
      </w:r>
      <w:r w:rsidRPr="00BA2C92">
        <w:rPr>
          <w:rFonts w:ascii="Times New Roman" w:hAnsi="Times New Roman" w:cs="Times New Roman"/>
        </w:rPr>
        <w:t>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cells was also determined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xml:space="preserve">. Only non-significant changes are shown in this figure and the significant changes are outlined in </w:t>
      </w:r>
      <w:r w:rsidRPr="00BA2C92">
        <w:rPr>
          <w:rFonts w:ascii="Times New Roman" w:hAnsi="Times New Roman" w:cs="Times New Roman"/>
          <w:b/>
          <w:bCs/>
        </w:rPr>
        <w:t xml:space="preserve">Figure 3 </w:t>
      </w:r>
      <w:r w:rsidRPr="00BA2C92">
        <w:rPr>
          <w:rFonts w:ascii="Times New Roman" w:hAnsi="Times New Roman" w:cs="Times New Roman"/>
        </w:rPr>
        <w:t>and</w:t>
      </w:r>
      <w:r w:rsidRPr="00BA2C92">
        <w:rPr>
          <w:rFonts w:ascii="Times New Roman" w:hAnsi="Times New Roman" w:cs="Times New Roman"/>
          <w:b/>
          <w:bCs/>
        </w:rPr>
        <w:t xml:space="preserve"> Figure 4</w:t>
      </w:r>
      <w:r w:rsidRPr="00BA2C92">
        <w:rPr>
          <w:rFonts w:ascii="Times New Roman" w:hAnsi="Times New Roman" w:cs="Times New Roman"/>
        </w:rPr>
        <w:t>. Dead cells were excluded using a zombie viability dye. Paired, non-parametric t test, *p&lt;0.05. Expression presented as percentages ± SEM.</w:t>
      </w:r>
    </w:p>
    <w:p w:rsidR="0043552D" w:rsidRPr="00BA2C92" w:rsidRDefault="0043552D" w:rsidP="0043552D">
      <w:pPr>
        <w:spacing w:line="360" w:lineRule="auto"/>
        <w:jc w:val="both"/>
        <w:rPr>
          <w:rFonts w:ascii="Times New Roman" w:hAnsi="Times New Roman" w:cs="Times New Roman"/>
        </w:rPr>
      </w:pP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rPr>
        <w:object w:dxaOrig="12000" w:dyaOrig="8035">
          <v:shape id="_x0000_i1027" type="#_x0000_t75" style="width:451.9pt;height:301.45pt" o:ole="">
            <v:imagedata r:id="rId18" o:title=""/>
          </v:shape>
          <o:OLEObject Type="Embed" ProgID="Prism9.Document" ShapeID="_x0000_i1027" DrawAspect="Content" ObjectID="_1715876247" r:id="rId19"/>
        </w:object>
      </w: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rPr>
        <w:object w:dxaOrig="11991" w:dyaOrig="7918">
          <v:shape id="_x0000_i1028" type="#_x0000_t75" style="width:450.25pt;height:297.15pt" o:ole="">
            <v:imagedata r:id="rId20" o:title=""/>
          </v:shape>
          <o:OLEObject Type="Embed" ProgID="Prism9.Document" ShapeID="_x0000_i1028" DrawAspect="Content" ObjectID="_1715876248" r:id="rId21"/>
        </w:object>
      </w:r>
    </w:p>
    <w:p w:rsidR="0043552D" w:rsidRPr="00BA2C92" w:rsidRDefault="0043552D" w:rsidP="0043552D">
      <w:pPr>
        <w:spacing w:line="360" w:lineRule="auto"/>
        <w:jc w:val="both"/>
        <w:rPr>
          <w:rFonts w:ascii="Times New Roman" w:hAnsi="Times New Roman" w:cs="Times New Roman"/>
        </w:rPr>
      </w:pPr>
      <w:bookmarkStart w:id="4" w:name="OLE_LINK6"/>
      <w:r w:rsidRPr="00BA2C92">
        <w:rPr>
          <w:rFonts w:ascii="Times New Roman" w:hAnsi="Times New Roman" w:cs="Times New Roman"/>
          <w:b/>
          <w:bCs/>
        </w:rPr>
        <w:t xml:space="preserve">Figure S5: </w:t>
      </w:r>
      <w:bookmarkEnd w:id="4"/>
      <w:r w:rsidRPr="00BA2C92">
        <w:rPr>
          <w:rFonts w:ascii="Times New Roman" w:hAnsi="Times New Roman" w:cs="Times New Roman"/>
          <w:b/>
          <w:bCs/>
        </w:rPr>
        <w:t xml:space="preserve">Effect of acidity on T cell production of cytokines in the absence and presence of ICB. </w:t>
      </w:r>
      <w:r w:rsidRPr="00BA2C92">
        <w:rPr>
          <w:rFonts w:ascii="Times New Roman" w:hAnsi="Times New Roman" w:cs="Times New Roman"/>
        </w:rPr>
        <w:t xml:space="preserve">PBMCs were isolated from peripheral blood of treatment-naïve OAC patients (n=6) and expanded </w:t>
      </w:r>
      <w:r w:rsidRPr="00BA2C92">
        <w:rPr>
          <w:rFonts w:ascii="Times New Roman" w:hAnsi="Times New Roman" w:cs="Times New Roman"/>
          <w:i/>
          <w:iCs/>
        </w:rPr>
        <w:t>ex vivo</w:t>
      </w:r>
      <w:r w:rsidRPr="00BA2C92">
        <w:rPr>
          <w:rFonts w:ascii="Times New Roman" w:hAnsi="Times New Roman" w:cs="Times New Roman"/>
        </w:rPr>
        <w:t xml:space="preserve"> for 7 days in the presence of plate bound anti-CD3/anti-CD28 and recombinant human IL-2. </w:t>
      </w:r>
      <w:r w:rsidRPr="00BA2C92">
        <w:rPr>
          <w:rFonts w:ascii="Times New Roman" w:hAnsi="Times New Roman" w:cs="Times New Roman"/>
        </w:rPr>
        <w:lastRenderedPageBreak/>
        <w:t>Following a 7-day expansion, PBMCs were cultured for 48h in media with increasing levels of acidity (pH 7.4, pH 6.6 and pH 5.5). Intracellular staining was conducted to assess CD3</w:t>
      </w:r>
      <w:r w:rsidRPr="00BA2C92">
        <w:rPr>
          <w:rFonts w:ascii="Times New Roman" w:hAnsi="Times New Roman" w:cs="Times New Roman"/>
          <w:vertAlign w:val="superscript"/>
        </w:rPr>
        <w:t>+</w:t>
      </w:r>
      <w:r w:rsidRPr="00BA2C92">
        <w:rPr>
          <w:rFonts w:ascii="Times New Roman" w:hAnsi="Times New Roman" w:cs="Times New Roman"/>
        </w:rPr>
        <w:t>,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 production of IFN-γ (</w:t>
      </w:r>
      <w:r w:rsidRPr="00BA2C92">
        <w:rPr>
          <w:rFonts w:ascii="Times New Roman" w:hAnsi="Times New Roman" w:cs="Times New Roman"/>
          <w:b/>
          <w:bCs/>
        </w:rPr>
        <w:t>A</w:t>
      </w:r>
      <w:r w:rsidRPr="00BA2C92">
        <w:rPr>
          <w:rFonts w:ascii="Times New Roman" w:hAnsi="Times New Roman" w:cs="Times New Roman"/>
        </w:rPr>
        <w:t>), IL-10 (</w:t>
      </w:r>
      <w:r w:rsidRPr="00BA2C92">
        <w:rPr>
          <w:rFonts w:ascii="Times New Roman" w:hAnsi="Times New Roman" w:cs="Times New Roman"/>
          <w:b/>
          <w:bCs/>
        </w:rPr>
        <w:t>B</w:t>
      </w:r>
      <w:r w:rsidRPr="00BA2C92">
        <w:rPr>
          <w:rFonts w:ascii="Times New Roman" w:hAnsi="Times New Roman" w:cs="Times New Roman"/>
        </w:rPr>
        <w:t>) and IL-4 (</w:t>
      </w:r>
      <w:r w:rsidRPr="00BA2C92">
        <w:rPr>
          <w:rFonts w:ascii="Times New Roman" w:hAnsi="Times New Roman" w:cs="Times New Roman"/>
          <w:b/>
          <w:bCs/>
        </w:rPr>
        <w:t>C</w:t>
      </w:r>
      <w:r w:rsidRPr="00BA2C92">
        <w:rPr>
          <w:rFonts w:ascii="Times New Roman" w:hAnsi="Times New Roman" w:cs="Times New Roman"/>
        </w:rPr>
        <w:t xml:space="preserve">) cytokines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The cytotoxic potential of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T cells was also assessed using a CD107a degranulation assay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xml:space="preserve"> (</w:t>
      </w:r>
      <w:r w:rsidRPr="00BA2C92">
        <w:rPr>
          <w:rFonts w:ascii="Times New Roman" w:hAnsi="Times New Roman" w:cs="Times New Roman"/>
          <w:b/>
          <w:bCs/>
        </w:rPr>
        <w:t>D</w:t>
      </w:r>
      <w:r w:rsidRPr="00BA2C92">
        <w:rPr>
          <w:rFonts w:ascii="Times New Roman" w:hAnsi="Times New Roman" w:cs="Times New Roman"/>
        </w:rPr>
        <w:t xml:space="preserve">). To assess effect of acidity on the ability of ICB to alter cytokine profiles – following a 7-day T cell activation protocol PBMCs were cultured for 48h in media with increasing levels of acidity (pH 7.4, pH 6.6 and pH 5.5) in the absence or presence of ICB. ICB included </w:t>
      </w:r>
      <w:proofErr w:type="spellStart"/>
      <w:r w:rsidRPr="00BA2C92">
        <w:rPr>
          <w:rFonts w:ascii="Times New Roman" w:hAnsi="Times New Roman" w:cs="Times New Roman"/>
        </w:rPr>
        <w:t>nivolumab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niv</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ipilimumab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ipi</w:t>
      </w:r>
      <w:proofErr w:type="spellEnd"/>
      <w:r w:rsidRPr="00BA2C92">
        <w:rPr>
          <w:rFonts w:ascii="Times New Roman" w:hAnsi="Times New Roman" w:cs="Times New Roman"/>
        </w:rPr>
        <w:t xml:space="preserve">) or dual </w:t>
      </w:r>
      <w:proofErr w:type="spellStart"/>
      <w:r w:rsidRPr="00BA2C92">
        <w:rPr>
          <w:rFonts w:ascii="Times New Roman" w:hAnsi="Times New Roman" w:cs="Times New Roman"/>
        </w:rPr>
        <w:t>nivolumab-ipilimumab</w:t>
      </w:r>
      <w:proofErr w:type="spellEnd"/>
      <w:r w:rsidRPr="00BA2C92">
        <w:rPr>
          <w:rFonts w:ascii="Times New Roman" w:hAnsi="Times New Roman" w:cs="Times New Roman"/>
        </w:rPr>
        <w:t xml:space="preserve"> (</w:t>
      </w:r>
      <w:proofErr w:type="spellStart"/>
      <w:r w:rsidRPr="00BA2C92">
        <w:rPr>
          <w:rFonts w:ascii="Times New Roman" w:hAnsi="Times New Roman" w:cs="Times New Roman"/>
        </w:rPr>
        <w:t>niv+ipi</w:t>
      </w:r>
      <w:proofErr w:type="spellEnd"/>
      <w:r w:rsidRPr="00BA2C92">
        <w:rPr>
          <w:rFonts w:ascii="Times New Roman" w:hAnsi="Times New Roman" w:cs="Times New Roman"/>
        </w:rPr>
        <w:t>). Intracellular staining was conducted to assess CD3</w:t>
      </w:r>
      <w:r w:rsidRPr="00BA2C92">
        <w:rPr>
          <w:rFonts w:ascii="Times New Roman" w:hAnsi="Times New Roman" w:cs="Times New Roman"/>
          <w:vertAlign w:val="superscript"/>
        </w:rPr>
        <w:t>+</w:t>
      </w:r>
      <w:r w:rsidRPr="00BA2C92">
        <w:rPr>
          <w:rFonts w:ascii="Times New Roman" w:hAnsi="Times New Roman" w:cs="Times New Roman"/>
        </w:rPr>
        <w:t>CD4</w:t>
      </w:r>
      <w:r w:rsidRPr="00BA2C92">
        <w:rPr>
          <w:rFonts w:ascii="Times New Roman" w:hAnsi="Times New Roman" w:cs="Times New Roman"/>
          <w:vertAlign w:val="superscript"/>
        </w:rPr>
        <w:t>+</w:t>
      </w:r>
      <w:r w:rsidRPr="00BA2C92">
        <w:rPr>
          <w:rFonts w:ascii="Times New Roman" w:hAnsi="Times New Roman" w:cs="Times New Roman"/>
        </w:rPr>
        <w:t xml:space="preserve"> cell production of IL-4 (E) and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 production of IL-10 (F) and IL-4 (G) cytokines by flow </w:t>
      </w:r>
      <w:proofErr w:type="spellStart"/>
      <w:r w:rsidRPr="00BA2C92">
        <w:rPr>
          <w:rFonts w:ascii="Times New Roman" w:hAnsi="Times New Roman" w:cs="Times New Roman"/>
        </w:rPr>
        <w:t>cytometry</w:t>
      </w:r>
      <w:proofErr w:type="spellEnd"/>
      <w:r w:rsidRPr="00BA2C92">
        <w:rPr>
          <w:rFonts w:ascii="Times New Roman" w:hAnsi="Times New Roman" w:cs="Times New Roman"/>
        </w:rPr>
        <w:t>. CD3</w:t>
      </w:r>
      <w:r w:rsidRPr="00BA2C92">
        <w:rPr>
          <w:rFonts w:ascii="Times New Roman" w:hAnsi="Times New Roman" w:cs="Times New Roman"/>
          <w:vertAlign w:val="superscript"/>
        </w:rPr>
        <w:t>+</w:t>
      </w:r>
      <w:r w:rsidRPr="00BA2C92">
        <w:rPr>
          <w:rFonts w:ascii="Times New Roman" w:hAnsi="Times New Roman" w:cs="Times New Roman"/>
        </w:rPr>
        <w:t>CD8</w:t>
      </w:r>
      <w:r w:rsidRPr="00BA2C92">
        <w:rPr>
          <w:rFonts w:ascii="Times New Roman" w:hAnsi="Times New Roman" w:cs="Times New Roman"/>
          <w:vertAlign w:val="superscript"/>
        </w:rPr>
        <w:t>+</w:t>
      </w:r>
      <w:r w:rsidRPr="00BA2C92">
        <w:rPr>
          <w:rFonts w:ascii="Times New Roman" w:hAnsi="Times New Roman" w:cs="Times New Roman"/>
        </w:rPr>
        <w:t xml:space="preserve"> cell cytotoxicity was also assessed in the absence and presence of ICB (H). Only non-significant changes are shown in the figure and significant changes are outlined in </w:t>
      </w:r>
      <w:r w:rsidRPr="00BA2C92">
        <w:rPr>
          <w:rFonts w:ascii="Times New Roman" w:hAnsi="Times New Roman" w:cs="Times New Roman"/>
          <w:b/>
          <w:bCs/>
        </w:rPr>
        <w:t xml:space="preserve">Figure 5 </w:t>
      </w:r>
      <w:r w:rsidRPr="00BA2C92">
        <w:rPr>
          <w:rFonts w:ascii="Times New Roman" w:hAnsi="Times New Roman" w:cs="Times New Roman"/>
        </w:rPr>
        <w:t>and</w:t>
      </w:r>
      <w:r w:rsidRPr="00BA2C92">
        <w:rPr>
          <w:rFonts w:ascii="Times New Roman" w:hAnsi="Times New Roman" w:cs="Times New Roman"/>
          <w:b/>
          <w:bCs/>
        </w:rPr>
        <w:t xml:space="preserve"> Figure 6</w:t>
      </w:r>
      <w:r w:rsidRPr="00BA2C92">
        <w:rPr>
          <w:rFonts w:ascii="Times New Roman" w:hAnsi="Times New Roman" w:cs="Times New Roman"/>
        </w:rPr>
        <w:t>. Paired, non-parametric t test, *p&lt;0.05. Expression presented as percentages ± SEM.</w:t>
      </w: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rPr>
        <w:object w:dxaOrig="12051" w:dyaOrig="12521">
          <v:shape id="_x0000_i1029" type="#_x0000_t75" style="width:449.75pt;height:468.55pt" o:ole="" filled="t">
            <v:imagedata r:id="rId22" o:title=""/>
          </v:shape>
          <o:OLEObject Type="Embed" ProgID="Prism9.Document" ShapeID="_x0000_i1029" DrawAspect="Content" ObjectID="_1715876249" r:id="rId23"/>
        </w:object>
      </w:r>
    </w:p>
    <w:p w:rsidR="0043552D" w:rsidRPr="00BA2C92" w:rsidRDefault="0043552D" w:rsidP="0043552D">
      <w:pPr>
        <w:spacing w:line="360" w:lineRule="auto"/>
        <w:jc w:val="both"/>
        <w:rPr>
          <w:rFonts w:ascii="Times New Roman" w:hAnsi="Times New Roman" w:cs="Times New Roman"/>
        </w:rPr>
      </w:pPr>
      <w:r w:rsidRPr="00BA2C92">
        <w:rPr>
          <w:rFonts w:ascii="Times New Roman" w:hAnsi="Times New Roman" w:cs="Times New Roman"/>
          <w:b/>
          <w:bCs/>
        </w:rPr>
        <w:t xml:space="preserve">Figure S6: </w:t>
      </w:r>
      <w:proofErr w:type="spellStart"/>
      <w:r w:rsidRPr="00BA2C92">
        <w:rPr>
          <w:rFonts w:ascii="Times New Roman" w:hAnsi="Times New Roman" w:cs="Times New Roman"/>
          <w:b/>
          <w:bCs/>
        </w:rPr>
        <w:t>Corograms</w:t>
      </w:r>
      <w:proofErr w:type="spellEnd"/>
      <w:r w:rsidRPr="00BA2C92">
        <w:rPr>
          <w:rFonts w:ascii="Times New Roman" w:hAnsi="Times New Roman" w:cs="Times New Roman"/>
          <w:b/>
          <w:bCs/>
        </w:rPr>
        <w:t xml:space="preserve"> illustrating correlation values between serum lactate levels in OAC patients and the frequency of circulating T cells expressing ICs, T cell activation markers and specific T cell differentiation states.</w:t>
      </w:r>
      <w:r w:rsidRPr="00BA2C92">
        <w:rPr>
          <w:rFonts w:ascii="Times New Roman" w:hAnsi="Times New Roman" w:cs="Times New Roman"/>
        </w:rPr>
        <w:t xml:space="preserve"> Significant correlations indicated with a star, the size of the circle reflects the magnitude of the correlation value R. The R values are depicted in the lower portion of the </w:t>
      </w:r>
      <w:proofErr w:type="spellStart"/>
      <w:r w:rsidRPr="00BA2C92">
        <w:rPr>
          <w:rFonts w:ascii="Times New Roman" w:hAnsi="Times New Roman" w:cs="Times New Roman"/>
        </w:rPr>
        <w:t>corograms</w:t>
      </w:r>
      <w:proofErr w:type="spellEnd"/>
      <w:r w:rsidRPr="00BA2C92">
        <w:rPr>
          <w:rFonts w:ascii="Times New Roman" w:hAnsi="Times New Roman" w:cs="Times New Roman"/>
        </w:rPr>
        <w:t xml:space="preserve"> for significant correlations only. Blue depicts positive correlations and red depicts negative correlations. Spearman correlation analysis used.</w:t>
      </w:r>
    </w:p>
    <w:p w:rsidR="0043552D" w:rsidRPr="00BA2C92" w:rsidRDefault="0043552D" w:rsidP="0043552D">
      <w:pPr>
        <w:spacing w:line="360" w:lineRule="auto"/>
        <w:jc w:val="both"/>
        <w:rPr>
          <w:rFonts w:ascii="Times New Roman" w:hAnsi="Times New Roman" w:cs="Times New Roman"/>
        </w:rPr>
      </w:pPr>
    </w:p>
    <w:p w:rsidR="0043552D" w:rsidRPr="00BA2C92" w:rsidRDefault="0043552D" w:rsidP="0043552D">
      <w:pPr>
        <w:spacing w:line="360" w:lineRule="auto"/>
        <w:jc w:val="both"/>
        <w:rPr>
          <w:rFonts w:ascii="Times New Roman" w:hAnsi="Times New Roman" w:cs="Times New Roman"/>
        </w:rPr>
      </w:pPr>
    </w:p>
    <w:bookmarkEnd w:id="3"/>
    <w:p w:rsidR="0043552D" w:rsidRPr="00BA2C92" w:rsidRDefault="0043552D" w:rsidP="0043552D">
      <w:pPr>
        <w:spacing w:line="360" w:lineRule="auto"/>
        <w:jc w:val="both"/>
        <w:rPr>
          <w:rFonts w:ascii="Times New Roman" w:hAnsi="Times New Roman" w:cs="Times New Roman"/>
        </w:rPr>
      </w:pPr>
    </w:p>
    <w:p w:rsidR="0043552D" w:rsidRPr="00BA2C92" w:rsidRDefault="0043552D" w:rsidP="0043552D">
      <w:pPr>
        <w:spacing w:line="360" w:lineRule="auto"/>
        <w:jc w:val="both"/>
        <w:rPr>
          <w:rFonts w:ascii="Times New Roman" w:hAnsi="Times New Roman" w:cs="Times New Roman"/>
          <w:b/>
          <w:bCs/>
        </w:rPr>
      </w:pPr>
      <w:r w:rsidRPr="00BA2C92">
        <w:rPr>
          <w:rFonts w:ascii="Times New Roman" w:hAnsi="Times New Roman" w:cs="Times New Roman"/>
          <w:b/>
          <w:bCs/>
        </w:rPr>
        <w:lastRenderedPageBreak/>
        <w:t xml:space="preserve">Supplemental Table 1: Flow </w:t>
      </w:r>
      <w:proofErr w:type="spellStart"/>
      <w:r w:rsidRPr="00BA2C92">
        <w:rPr>
          <w:rFonts w:ascii="Times New Roman" w:hAnsi="Times New Roman" w:cs="Times New Roman"/>
          <w:b/>
          <w:bCs/>
        </w:rPr>
        <w:t>cytometry</w:t>
      </w:r>
      <w:proofErr w:type="spellEnd"/>
      <w:r w:rsidRPr="00BA2C92">
        <w:rPr>
          <w:rFonts w:ascii="Times New Roman" w:hAnsi="Times New Roman" w:cs="Times New Roman"/>
          <w:b/>
          <w:bCs/>
        </w:rPr>
        <w:t xml:space="preserve"> panels.</w:t>
      </w:r>
    </w:p>
    <w:tbl>
      <w:tblPr>
        <w:tblStyle w:val="TableGrid"/>
        <w:tblW w:w="0" w:type="auto"/>
        <w:tblLook w:val="04A0" w:firstRow="1" w:lastRow="0" w:firstColumn="1" w:lastColumn="0" w:noHBand="0" w:noVBand="1"/>
      </w:tblPr>
      <w:tblGrid>
        <w:gridCol w:w="1494"/>
        <w:gridCol w:w="1497"/>
        <w:gridCol w:w="1549"/>
        <w:gridCol w:w="1494"/>
        <w:gridCol w:w="1491"/>
        <w:gridCol w:w="1491"/>
      </w:tblGrid>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Immune checkpoint panel 1</w:t>
            </w:r>
          </w:p>
        </w:tc>
        <w:tc>
          <w:tcPr>
            <w:tcW w:w="1497"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Immune checkpoint panel 1</w:t>
            </w:r>
          </w:p>
        </w:tc>
        <w:tc>
          <w:tcPr>
            <w:tcW w:w="1549"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Immune checkpoint panel 1</w:t>
            </w:r>
          </w:p>
        </w:tc>
        <w:tc>
          <w:tcPr>
            <w:tcW w:w="1494"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Activation marker panel 1</w:t>
            </w:r>
          </w:p>
        </w:tc>
        <w:tc>
          <w:tcPr>
            <w:tcW w:w="1491"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Cytokine panel 1</w:t>
            </w:r>
          </w:p>
        </w:tc>
        <w:tc>
          <w:tcPr>
            <w:tcW w:w="1491" w:type="dxa"/>
          </w:tcPr>
          <w:p w:rsidR="0043552D" w:rsidRPr="00BA2C92" w:rsidRDefault="0043552D" w:rsidP="00F94370">
            <w:pPr>
              <w:spacing w:line="360" w:lineRule="auto"/>
              <w:jc w:val="both"/>
              <w:rPr>
                <w:rFonts w:ascii="Times New Roman" w:hAnsi="Times New Roman" w:cs="Times New Roman"/>
                <w:b/>
                <w:bCs/>
              </w:rPr>
            </w:pPr>
            <w:r w:rsidRPr="00BA2C92">
              <w:rPr>
                <w:rFonts w:ascii="Times New Roman" w:hAnsi="Times New Roman" w:cs="Times New Roman"/>
                <w:b/>
                <w:bCs/>
              </w:rPr>
              <w:t>Cytokine panel 2</w:t>
            </w: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LAG-3-FITC</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PD-L1-FITC</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TIM-3-ViobrightFITC</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CD62L-FITC</w:t>
            </w:r>
          </w:p>
        </w:tc>
        <w:tc>
          <w:tcPr>
            <w:tcW w:w="1491" w:type="dxa"/>
          </w:tcPr>
          <w:p w:rsidR="0043552D" w:rsidRPr="00BA2C92" w:rsidRDefault="0043552D" w:rsidP="00F94370">
            <w:pPr>
              <w:spacing w:line="360" w:lineRule="auto"/>
              <w:jc w:val="both"/>
              <w:rPr>
                <w:rFonts w:ascii="Times New Roman" w:hAnsi="Times New Roman" w:cs="Times New Roman"/>
              </w:rPr>
            </w:pPr>
          </w:p>
        </w:tc>
        <w:tc>
          <w:tcPr>
            <w:tcW w:w="1491" w:type="dxa"/>
          </w:tcPr>
          <w:p w:rsidR="0043552D" w:rsidRPr="00BA2C92" w:rsidRDefault="0043552D" w:rsidP="00F94370">
            <w:pPr>
              <w:spacing w:line="360" w:lineRule="auto"/>
              <w:jc w:val="both"/>
              <w:rPr>
                <w:rFonts w:ascii="Times New Roman" w:hAnsi="Times New Roman" w:cs="Times New Roman"/>
              </w:rPr>
            </w:pP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A2aR-PE</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PD-L2-PE</w:t>
            </w:r>
          </w:p>
        </w:tc>
        <w:tc>
          <w:tcPr>
            <w:tcW w:w="1549" w:type="dxa"/>
          </w:tcPr>
          <w:p w:rsidR="0043552D" w:rsidRPr="00BA2C92" w:rsidRDefault="0043552D" w:rsidP="00F94370">
            <w:pPr>
              <w:spacing w:line="360" w:lineRule="auto"/>
              <w:jc w:val="both"/>
              <w:rPr>
                <w:rFonts w:ascii="Times New Roman" w:hAnsi="Times New Roman" w:cs="Times New Roman"/>
              </w:rPr>
            </w:pP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CD69-PE</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IL-10-PE</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CD107a-PE</w:t>
            </w: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CTAL-4-PE/Cy5</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CD160-PerCPCy5.5</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CD3-PerCPCy5.5</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CD8-PerCP</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CD3-PerCPCy5.5</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CD3-PerCPCy5.5</w:t>
            </w: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TIGIT-PE/Cy7</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PD-1-PE/Cy7</w:t>
            </w:r>
          </w:p>
        </w:tc>
        <w:tc>
          <w:tcPr>
            <w:tcW w:w="1549" w:type="dxa"/>
          </w:tcPr>
          <w:p w:rsidR="0043552D" w:rsidRPr="00BA2C92" w:rsidRDefault="0043552D" w:rsidP="00F94370">
            <w:pPr>
              <w:spacing w:line="360" w:lineRule="auto"/>
              <w:jc w:val="both"/>
              <w:rPr>
                <w:rFonts w:ascii="Times New Roman" w:hAnsi="Times New Roman" w:cs="Times New Roman"/>
              </w:rPr>
            </w:pP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CD45RA-PE/cy7</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IL-4-PE/Cy7</w:t>
            </w:r>
          </w:p>
        </w:tc>
        <w:tc>
          <w:tcPr>
            <w:tcW w:w="1491" w:type="dxa"/>
          </w:tcPr>
          <w:p w:rsidR="0043552D" w:rsidRPr="00BA2C92" w:rsidRDefault="0043552D" w:rsidP="00F94370">
            <w:pPr>
              <w:spacing w:line="360" w:lineRule="auto"/>
              <w:jc w:val="both"/>
              <w:rPr>
                <w:rFonts w:ascii="Times New Roman" w:hAnsi="Times New Roman" w:cs="Times New Roman"/>
              </w:rPr>
            </w:pP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CD8-BV421</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CD8-BV421</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CD8-BV421</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Violet</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CD8-BV421</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CD8-BV421</w:t>
            </w: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CD4-BV510</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CD4-BV510</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CD4-BV510</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CD4-BV510</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CD4-BV510</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IFNγ-BV510</w:t>
            </w:r>
          </w:p>
        </w:tc>
      </w:tr>
      <w:tr w:rsidR="0043552D" w:rsidRPr="00BA2C92"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CD3-APC</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CD3-APC</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KLRG-1-APC</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CD3-APC</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TNF-α-APC</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CD4-APC</w:t>
            </w:r>
          </w:p>
        </w:tc>
      </w:tr>
      <w:tr w:rsidR="0043552D" w:rsidRPr="006314AF" w:rsidTr="00F94370">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NIR</w:t>
            </w:r>
          </w:p>
        </w:tc>
        <w:tc>
          <w:tcPr>
            <w:tcW w:w="1497"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NIR</w:t>
            </w:r>
          </w:p>
        </w:tc>
        <w:tc>
          <w:tcPr>
            <w:tcW w:w="1549"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NIR</w:t>
            </w:r>
          </w:p>
        </w:tc>
        <w:tc>
          <w:tcPr>
            <w:tcW w:w="1494"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CD27-APC/Cy7</w:t>
            </w:r>
          </w:p>
        </w:tc>
        <w:tc>
          <w:tcPr>
            <w:tcW w:w="1491" w:type="dxa"/>
          </w:tcPr>
          <w:p w:rsidR="0043552D" w:rsidRPr="00BA2C92"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NIR</w:t>
            </w:r>
          </w:p>
        </w:tc>
        <w:tc>
          <w:tcPr>
            <w:tcW w:w="1491" w:type="dxa"/>
          </w:tcPr>
          <w:p w:rsidR="0043552D" w:rsidRPr="006314AF" w:rsidRDefault="0043552D" w:rsidP="00F94370">
            <w:pPr>
              <w:spacing w:line="360" w:lineRule="auto"/>
              <w:jc w:val="both"/>
              <w:rPr>
                <w:rFonts w:ascii="Times New Roman" w:hAnsi="Times New Roman" w:cs="Times New Roman"/>
              </w:rPr>
            </w:pPr>
            <w:r w:rsidRPr="00BA2C92">
              <w:rPr>
                <w:rFonts w:ascii="Times New Roman" w:hAnsi="Times New Roman" w:cs="Times New Roman"/>
              </w:rPr>
              <w:t>Zombie NIR</w:t>
            </w:r>
          </w:p>
        </w:tc>
      </w:tr>
    </w:tbl>
    <w:p w:rsidR="0043552D" w:rsidRPr="004D003D" w:rsidRDefault="0043552D" w:rsidP="0043552D">
      <w:pPr>
        <w:spacing w:line="360" w:lineRule="auto"/>
        <w:jc w:val="both"/>
        <w:rPr>
          <w:rFonts w:ascii="Times New Roman" w:hAnsi="Times New Roman" w:cs="Times New Roman"/>
        </w:rPr>
      </w:pPr>
    </w:p>
    <w:p w:rsidR="00751F6C" w:rsidRDefault="00751F6C"/>
    <w:sectPr w:rsidR="00751F6C">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A2C92">
      <w:pPr>
        <w:spacing w:after="0" w:line="240" w:lineRule="auto"/>
      </w:pPr>
      <w:r>
        <w:separator/>
      </w:r>
    </w:p>
  </w:endnote>
  <w:endnote w:type="continuationSeparator" w:id="0">
    <w:p w:rsidR="00000000" w:rsidRDefault="00BA2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A2C92">
      <w:pPr>
        <w:spacing w:after="0" w:line="240" w:lineRule="auto"/>
      </w:pPr>
      <w:r>
        <w:separator/>
      </w:r>
    </w:p>
  </w:footnote>
  <w:footnote w:type="continuationSeparator" w:id="0">
    <w:p w:rsidR="00000000" w:rsidRDefault="00BA2C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621994"/>
      <w:docPartObj>
        <w:docPartGallery w:val="Page Numbers (Top of Page)"/>
        <w:docPartUnique/>
      </w:docPartObj>
    </w:sdtPr>
    <w:sdtEndPr>
      <w:rPr>
        <w:noProof/>
      </w:rPr>
    </w:sdtEndPr>
    <w:sdtContent>
      <w:p w:rsidR="00963DD1" w:rsidRDefault="0043552D">
        <w:pPr>
          <w:pStyle w:val="Header"/>
          <w:jc w:val="right"/>
        </w:pPr>
        <w:r>
          <w:fldChar w:fldCharType="begin"/>
        </w:r>
        <w:r>
          <w:instrText xml:space="preserve"> PAGE   \* MERGEFORMAT </w:instrText>
        </w:r>
        <w:r>
          <w:fldChar w:fldCharType="separate"/>
        </w:r>
        <w:r w:rsidR="00BA2C92">
          <w:rPr>
            <w:noProof/>
          </w:rPr>
          <w:t>4</w:t>
        </w:r>
        <w:r>
          <w:rPr>
            <w:noProof/>
          </w:rPr>
          <w:fldChar w:fldCharType="end"/>
        </w:r>
      </w:p>
    </w:sdtContent>
  </w:sdt>
  <w:p w:rsidR="00963DD1" w:rsidRDefault="00BA2C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2D"/>
    <w:rsid w:val="000C4090"/>
    <w:rsid w:val="000E579D"/>
    <w:rsid w:val="00103FF2"/>
    <w:rsid w:val="00107614"/>
    <w:rsid w:val="0014770B"/>
    <w:rsid w:val="00161E27"/>
    <w:rsid w:val="001A42E6"/>
    <w:rsid w:val="001C727D"/>
    <w:rsid w:val="001F64E2"/>
    <w:rsid w:val="00206782"/>
    <w:rsid w:val="00222530"/>
    <w:rsid w:val="0024025A"/>
    <w:rsid w:val="00245A7F"/>
    <w:rsid w:val="00266BFD"/>
    <w:rsid w:val="00271011"/>
    <w:rsid w:val="002B113F"/>
    <w:rsid w:val="002E5452"/>
    <w:rsid w:val="003253D5"/>
    <w:rsid w:val="00331A0E"/>
    <w:rsid w:val="00335F78"/>
    <w:rsid w:val="0039011B"/>
    <w:rsid w:val="0039538C"/>
    <w:rsid w:val="003964A1"/>
    <w:rsid w:val="003E339F"/>
    <w:rsid w:val="003F403D"/>
    <w:rsid w:val="00401C72"/>
    <w:rsid w:val="00413D0A"/>
    <w:rsid w:val="00432572"/>
    <w:rsid w:val="0043552D"/>
    <w:rsid w:val="00462ECF"/>
    <w:rsid w:val="004643C7"/>
    <w:rsid w:val="00487A7F"/>
    <w:rsid w:val="00492678"/>
    <w:rsid w:val="004D3CD3"/>
    <w:rsid w:val="004D4C44"/>
    <w:rsid w:val="004F21BA"/>
    <w:rsid w:val="004F477E"/>
    <w:rsid w:val="00502757"/>
    <w:rsid w:val="0054552D"/>
    <w:rsid w:val="00575614"/>
    <w:rsid w:val="005A6AF4"/>
    <w:rsid w:val="005E1CD2"/>
    <w:rsid w:val="005E236C"/>
    <w:rsid w:val="00630574"/>
    <w:rsid w:val="00685437"/>
    <w:rsid w:val="00710448"/>
    <w:rsid w:val="00712DEF"/>
    <w:rsid w:val="00751F6C"/>
    <w:rsid w:val="007F4973"/>
    <w:rsid w:val="00800406"/>
    <w:rsid w:val="00807190"/>
    <w:rsid w:val="00892308"/>
    <w:rsid w:val="0091625B"/>
    <w:rsid w:val="009645E0"/>
    <w:rsid w:val="0098653A"/>
    <w:rsid w:val="009A1258"/>
    <w:rsid w:val="009A22AB"/>
    <w:rsid w:val="009D1139"/>
    <w:rsid w:val="00A06DE0"/>
    <w:rsid w:val="00A3068C"/>
    <w:rsid w:val="00A50348"/>
    <w:rsid w:val="00A511DC"/>
    <w:rsid w:val="00A9566E"/>
    <w:rsid w:val="00AA26C2"/>
    <w:rsid w:val="00B17F5E"/>
    <w:rsid w:val="00BA2C92"/>
    <w:rsid w:val="00BD36F0"/>
    <w:rsid w:val="00C11A51"/>
    <w:rsid w:val="00C13F8A"/>
    <w:rsid w:val="00C1612E"/>
    <w:rsid w:val="00C22E7C"/>
    <w:rsid w:val="00C308A1"/>
    <w:rsid w:val="00C72BDD"/>
    <w:rsid w:val="00C87EB9"/>
    <w:rsid w:val="00D006AD"/>
    <w:rsid w:val="00D352B2"/>
    <w:rsid w:val="00D566C3"/>
    <w:rsid w:val="00D83489"/>
    <w:rsid w:val="00DC2B61"/>
    <w:rsid w:val="00DC4C79"/>
    <w:rsid w:val="00DE5B66"/>
    <w:rsid w:val="00E31ED8"/>
    <w:rsid w:val="00E46CD0"/>
    <w:rsid w:val="00E54A2A"/>
    <w:rsid w:val="00E64B7D"/>
    <w:rsid w:val="00EF5B25"/>
    <w:rsid w:val="00FB0657"/>
    <w:rsid w:val="00FC3067"/>
    <w:rsid w:val="00FC581E"/>
    <w:rsid w:val="00FD4B8C"/>
    <w:rsid w:val="00FE37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DC6FA797-9EC0-450C-9314-8894B2A0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52D"/>
    <w:pPr>
      <w:tabs>
        <w:tab w:val="center" w:pos="4513"/>
        <w:tab w:val="right" w:pos="9026"/>
      </w:tabs>
      <w:spacing w:after="0" w:line="240" w:lineRule="auto"/>
    </w:pPr>
    <w:rPr>
      <w:lang w:val="en-IE"/>
    </w:rPr>
  </w:style>
  <w:style w:type="character" w:customStyle="1" w:styleId="HeaderChar">
    <w:name w:val="Header Char"/>
    <w:basedOn w:val="DefaultParagraphFont"/>
    <w:link w:val="Header"/>
    <w:uiPriority w:val="99"/>
    <w:rsid w:val="0043552D"/>
    <w:rPr>
      <w:lang w:val="en-IE"/>
    </w:rPr>
  </w:style>
  <w:style w:type="table" w:styleId="TableGrid">
    <w:name w:val="Table Grid"/>
    <w:basedOn w:val="TableNormal"/>
    <w:uiPriority w:val="39"/>
    <w:rsid w:val="0043552D"/>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oleObject" Target="embeddings/oleObject4.bin"/><Relationship Id="rId7" Type="http://schemas.openxmlformats.org/officeDocument/2006/relationships/image" Target="media/image2.jpeg"/><Relationship Id="rId12" Type="http://schemas.openxmlformats.org/officeDocument/2006/relationships/image" Target="media/image7.tiff"/><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image" Target="media/image12.e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image" Target="media/image5.tiff"/><Relationship Id="rId19" Type="http://schemas.openxmlformats.org/officeDocument/2006/relationships/oleObject" Target="embeddings/oleObject3.bin"/><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946</Words>
  <Characters>5394</Characters>
  <Application>Microsoft Office Word</Application>
  <DocSecurity>0</DocSecurity>
  <Lines>44</Lines>
  <Paragraphs>12</Paragraphs>
  <ScaleCrop>false</ScaleCrop>
  <Company>HP Inc.</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Kiruthika S.</dc:creator>
  <cp:keywords/>
  <dc:description/>
  <cp:lastModifiedBy>Kiruthika S.</cp:lastModifiedBy>
  <cp:revision>2</cp:revision>
  <dcterms:created xsi:type="dcterms:W3CDTF">2022-06-04T10:51:00Z</dcterms:created>
  <dcterms:modified xsi:type="dcterms:W3CDTF">2022-06-04T14:01:00Z</dcterms:modified>
</cp:coreProperties>
</file>