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96122" w14:textId="6BD72755" w:rsidR="005E7C5B" w:rsidRPr="00542749" w:rsidRDefault="005E7C5B" w:rsidP="00B8200D">
      <w:pPr>
        <w:spacing w:line="360" w:lineRule="auto"/>
        <w:jc w:val="center"/>
        <w:rPr>
          <w:rFonts w:ascii="Times New Roman" w:hAnsi="Times New Roman" w:cs="Times New Roman"/>
          <w:b/>
          <w:bCs/>
          <w:lang w:val="en-US"/>
        </w:rPr>
      </w:pPr>
      <w:r w:rsidRPr="00542749">
        <w:rPr>
          <w:rFonts w:ascii="Times New Roman" w:hAnsi="Times New Roman" w:cs="Times New Roman"/>
          <w:b/>
          <w:bCs/>
          <w:sz w:val="20"/>
          <w:szCs w:val="20"/>
          <w:lang w:val="en-US"/>
        </w:rPr>
        <w:t>SUMMARY</w:t>
      </w:r>
    </w:p>
    <w:p w14:paraId="5D73D1B0" w14:textId="62A9155E" w:rsidR="00167C22" w:rsidRPr="00542749" w:rsidRDefault="00167C22">
      <w:pPr>
        <w:pStyle w:val="TOC1"/>
        <w:tabs>
          <w:tab w:val="right" w:leader="dot" w:pos="9016"/>
        </w:tabs>
        <w:rPr>
          <w:rFonts w:ascii="Times New Roman" w:eastAsiaTheme="minorEastAsia" w:hAnsi="Times New Roman" w:cs="Times New Roman"/>
          <w:b w:val="0"/>
          <w:bCs w:val="0"/>
          <w:caps w:val="0"/>
          <w:noProof/>
          <w:sz w:val="24"/>
          <w:szCs w:val="24"/>
          <w:lang w:eastAsia="it-IT"/>
        </w:rPr>
      </w:pPr>
      <w:r w:rsidRPr="00542749">
        <w:rPr>
          <w:rFonts w:ascii="Times New Roman" w:hAnsi="Times New Roman" w:cs="Times New Roman"/>
          <w:b w:val="0"/>
          <w:bCs w:val="0"/>
          <w:lang w:val="en-US"/>
        </w:rPr>
        <w:fldChar w:fldCharType="begin"/>
      </w:r>
      <w:r w:rsidRPr="00542749">
        <w:rPr>
          <w:rFonts w:ascii="Times New Roman" w:hAnsi="Times New Roman" w:cs="Times New Roman"/>
          <w:b w:val="0"/>
          <w:bCs w:val="0"/>
          <w:lang w:val="en-US"/>
        </w:rPr>
        <w:instrText xml:space="preserve"> TOC \o "1-3" \h \z \u </w:instrText>
      </w:r>
      <w:r w:rsidRPr="00542749">
        <w:rPr>
          <w:rFonts w:ascii="Times New Roman" w:hAnsi="Times New Roman" w:cs="Times New Roman"/>
          <w:b w:val="0"/>
          <w:bCs w:val="0"/>
          <w:lang w:val="en-US"/>
        </w:rPr>
        <w:fldChar w:fldCharType="separate"/>
      </w:r>
      <w:hyperlink w:anchor="_Toc121843842" w:history="1">
        <w:r w:rsidRPr="00542749">
          <w:rPr>
            <w:rStyle w:val="Hyperlink"/>
            <w:rFonts w:ascii="Times New Roman" w:hAnsi="Times New Roman" w:cs="Times New Roman"/>
            <w:noProof/>
            <w:lang w:val="en-US"/>
          </w:rPr>
          <w:t>Supplementary methods</w:t>
        </w:r>
        <w:r w:rsidRPr="00542749">
          <w:rPr>
            <w:rFonts w:ascii="Times New Roman" w:hAnsi="Times New Roman" w:cs="Times New Roman"/>
            <w:noProof/>
            <w:webHidden/>
          </w:rPr>
          <w:tab/>
        </w:r>
        <w:r w:rsidRPr="00542749">
          <w:rPr>
            <w:rFonts w:ascii="Times New Roman" w:hAnsi="Times New Roman" w:cs="Times New Roman"/>
            <w:noProof/>
            <w:webHidden/>
          </w:rPr>
          <w:fldChar w:fldCharType="begin"/>
        </w:r>
        <w:r w:rsidRPr="00542749">
          <w:rPr>
            <w:rFonts w:ascii="Times New Roman" w:hAnsi="Times New Roman" w:cs="Times New Roman"/>
            <w:noProof/>
            <w:webHidden/>
          </w:rPr>
          <w:instrText xml:space="preserve"> PAGEREF _Toc121843842 \h </w:instrText>
        </w:r>
        <w:r w:rsidRPr="00542749">
          <w:rPr>
            <w:rFonts w:ascii="Times New Roman" w:hAnsi="Times New Roman" w:cs="Times New Roman"/>
            <w:noProof/>
            <w:webHidden/>
          </w:rPr>
        </w:r>
        <w:r w:rsidRPr="00542749">
          <w:rPr>
            <w:rFonts w:ascii="Times New Roman" w:hAnsi="Times New Roman" w:cs="Times New Roman"/>
            <w:noProof/>
            <w:webHidden/>
          </w:rPr>
          <w:fldChar w:fldCharType="separate"/>
        </w:r>
        <w:r w:rsidRPr="00542749">
          <w:rPr>
            <w:rFonts w:ascii="Times New Roman" w:hAnsi="Times New Roman" w:cs="Times New Roman"/>
            <w:noProof/>
            <w:webHidden/>
          </w:rPr>
          <w:t>2</w:t>
        </w:r>
        <w:r w:rsidRPr="00542749">
          <w:rPr>
            <w:rFonts w:ascii="Times New Roman" w:hAnsi="Times New Roman" w:cs="Times New Roman"/>
            <w:noProof/>
            <w:webHidden/>
          </w:rPr>
          <w:fldChar w:fldCharType="end"/>
        </w:r>
      </w:hyperlink>
    </w:p>
    <w:p w14:paraId="3F403A7C" w14:textId="6451237D"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43" w:history="1">
        <w:r w:rsidR="00167C22" w:rsidRPr="00542749">
          <w:rPr>
            <w:rStyle w:val="Hyperlink"/>
            <w:rFonts w:ascii="Times New Roman" w:hAnsi="Times New Roman" w:cs="Times New Roman"/>
            <w:noProof/>
            <w:lang w:val="en-US"/>
          </w:rPr>
          <w:t>Detailed study procedures</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_Toc121843843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2</w:t>
        </w:r>
        <w:r w:rsidR="00167C22" w:rsidRPr="00542749">
          <w:rPr>
            <w:rFonts w:ascii="Times New Roman" w:hAnsi="Times New Roman" w:cs="Times New Roman"/>
            <w:noProof/>
            <w:webHidden/>
          </w:rPr>
          <w:fldChar w:fldCharType="end"/>
        </w:r>
      </w:hyperlink>
    </w:p>
    <w:p w14:paraId="1E106FF4" w14:textId="10E4A1F8"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44" w:history="1">
        <w:r w:rsidR="00167C22" w:rsidRPr="00542749">
          <w:rPr>
            <w:rStyle w:val="Hyperlink"/>
            <w:rFonts w:ascii="Times New Roman" w:hAnsi="Times New Roman" w:cs="Times New Roman"/>
            <w:noProof/>
            <w:lang w:val="en-US"/>
          </w:rPr>
          <w:t>Study endpoints and outcomes - extended</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_Toc121843844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3</w:t>
        </w:r>
        <w:r w:rsidR="00167C22" w:rsidRPr="00542749">
          <w:rPr>
            <w:rFonts w:ascii="Times New Roman" w:hAnsi="Times New Roman" w:cs="Times New Roman"/>
            <w:noProof/>
            <w:webHidden/>
          </w:rPr>
          <w:fldChar w:fldCharType="end"/>
        </w:r>
      </w:hyperlink>
    </w:p>
    <w:p w14:paraId="77A3B35C" w14:textId="47408D36"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45" w:history="1">
        <w:r w:rsidR="00167C22" w:rsidRPr="00542749">
          <w:rPr>
            <w:rStyle w:val="Hyperlink"/>
            <w:rFonts w:ascii="Times New Roman" w:hAnsi="Times New Roman" w:cs="Times New Roman"/>
            <w:noProof/>
            <w:lang w:val="en-US"/>
          </w:rPr>
          <w:t>Supplementary Methods References</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_Toc121843845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5</w:t>
        </w:r>
        <w:r w:rsidR="00167C22" w:rsidRPr="00542749">
          <w:rPr>
            <w:rFonts w:ascii="Times New Roman" w:hAnsi="Times New Roman" w:cs="Times New Roman"/>
            <w:noProof/>
            <w:webHidden/>
          </w:rPr>
          <w:fldChar w:fldCharType="end"/>
        </w:r>
      </w:hyperlink>
    </w:p>
    <w:p w14:paraId="5E24DAD0" w14:textId="08CCE315" w:rsidR="00167C22" w:rsidRPr="00542749" w:rsidRDefault="00820C56">
      <w:pPr>
        <w:pStyle w:val="TOC1"/>
        <w:tabs>
          <w:tab w:val="right" w:leader="dot" w:pos="9016"/>
        </w:tabs>
        <w:rPr>
          <w:rFonts w:ascii="Times New Roman" w:eastAsiaTheme="minorEastAsia" w:hAnsi="Times New Roman" w:cs="Times New Roman"/>
          <w:b w:val="0"/>
          <w:bCs w:val="0"/>
          <w:caps w:val="0"/>
          <w:noProof/>
          <w:sz w:val="24"/>
          <w:szCs w:val="24"/>
          <w:lang w:eastAsia="it-IT"/>
        </w:rPr>
      </w:pPr>
      <w:hyperlink w:anchor="_Toc121843846" w:history="1">
        <w:r w:rsidR="00167C22" w:rsidRPr="00542749">
          <w:rPr>
            <w:rStyle w:val="Hyperlink"/>
            <w:rFonts w:ascii="Times New Roman" w:hAnsi="Times New Roman" w:cs="Times New Roman"/>
            <w:noProof/>
            <w:lang w:val="en-US"/>
          </w:rPr>
          <w:t>Supplementary figures</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_Toc121843846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6</w:t>
        </w:r>
        <w:r w:rsidR="00167C22" w:rsidRPr="00542749">
          <w:rPr>
            <w:rFonts w:ascii="Times New Roman" w:hAnsi="Times New Roman" w:cs="Times New Roman"/>
            <w:noProof/>
            <w:webHidden/>
          </w:rPr>
          <w:fldChar w:fldCharType="end"/>
        </w:r>
      </w:hyperlink>
    </w:p>
    <w:p w14:paraId="46EB4A49" w14:textId="5CD7F82E"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47" w:history="1">
        <w:r w:rsidR="00167C22" w:rsidRPr="00542749">
          <w:rPr>
            <w:rStyle w:val="Hyperlink"/>
            <w:rFonts w:ascii="Times New Roman" w:hAnsi="Times New Roman" w:cs="Times New Roman"/>
            <w:noProof/>
            <w:lang w:val="en-US"/>
          </w:rPr>
          <w:t>Supplementary figure 1. Kaplan-Meier survival curves for the overall population</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_Toc121843847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6</w:t>
        </w:r>
        <w:r w:rsidR="00167C22" w:rsidRPr="00542749">
          <w:rPr>
            <w:rFonts w:ascii="Times New Roman" w:hAnsi="Times New Roman" w:cs="Times New Roman"/>
            <w:noProof/>
            <w:webHidden/>
          </w:rPr>
          <w:fldChar w:fldCharType="end"/>
        </w:r>
      </w:hyperlink>
    </w:p>
    <w:p w14:paraId="4B8D9B80" w14:textId="61DA997F"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48" w:history="1">
        <w:r w:rsidR="00167C22" w:rsidRPr="00542749">
          <w:rPr>
            <w:rStyle w:val="Hyperlink"/>
            <w:rFonts w:ascii="Times New Roman" w:hAnsi="Times New Roman" w:cs="Times New Roman"/>
            <w:noProof/>
            <w:lang w:val="en-US"/>
          </w:rPr>
          <w:t>Supplementary figure 2. Waterfall plots for responses to immune-checkpoint inhibitors</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_Toc121843848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8</w:t>
        </w:r>
        <w:r w:rsidR="00167C22" w:rsidRPr="00542749">
          <w:rPr>
            <w:rFonts w:ascii="Times New Roman" w:hAnsi="Times New Roman" w:cs="Times New Roman"/>
            <w:noProof/>
            <w:webHidden/>
          </w:rPr>
          <w:fldChar w:fldCharType="end"/>
        </w:r>
      </w:hyperlink>
    </w:p>
    <w:p w14:paraId="12935432" w14:textId="4FF5411D" w:rsidR="00167C22" w:rsidRPr="00542749" w:rsidRDefault="00820C56">
      <w:pPr>
        <w:pStyle w:val="TOC1"/>
        <w:tabs>
          <w:tab w:val="right" w:leader="dot" w:pos="9016"/>
        </w:tabs>
        <w:rPr>
          <w:rFonts w:ascii="Times New Roman" w:eastAsiaTheme="minorEastAsia" w:hAnsi="Times New Roman" w:cs="Times New Roman"/>
          <w:b w:val="0"/>
          <w:bCs w:val="0"/>
          <w:caps w:val="0"/>
          <w:noProof/>
          <w:sz w:val="24"/>
          <w:szCs w:val="24"/>
          <w:lang w:eastAsia="it-IT"/>
        </w:rPr>
      </w:pPr>
      <w:hyperlink w:anchor="_Toc121843849" w:history="1">
        <w:r w:rsidR="00167C22" w:rsidRPr="00542749">
          <w:rPr>
            <w:rStyle w:val="Hyperlink"/>
            <w:rFonts w:ascii="Times New Roman" w:hAnsi="Times New Roman" w:cs="Times New Roman"/>
            <w:noProof/>
            <w:lang w:val="en-US"/>
          </w:rPr>
          <w:t>Supplementary tables</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_Toc121843849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9</w:t>
        </w:r>
        <w:r w:rsidR="00167C22" w:rsidRPr="00542749">
          <w:rPr>
            <w:rFonts w:ascii="Times New Roman" w:hAnsi="Times New Roman" w:cs="Times New Roman"/>
            <w:noProof/>
            <w:webHidden/>
          </w:rPr>
          <w:fldChar w:fldCharType="end"/>
        </w:r>
      </w:hyperlink>
    </w:p>
    <w:p w14:paraId="3911BBB6" w14:textId="2C8499CC"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50" w:history="1">
        <w:r w:rsidR="00167C22" w:rsidRPr="00542749">
          <w:rPr>
            <w:rStyle w:val="Hyperlink"/>
            <w:rFonts w:ascii="Times New Roman" w:hAnsi="Times New Roman" w:cs="Times New Roman"/>
            <w:noProof/>
            <w:lang w:val="en-US"/>
          </w:rPr>
          <w:t>Supplementary table 1. Univariate analyses of progression-free and overall survival</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_Toc121843850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9</w:t>
        </w:r>
        <w:r w:rsidR="00167C22" w:rsidRPr="00542749">
          <w:rPr>
            <w:rFonts w:ascii="Times New Roman" w:hAnsi="Times New Roman" w:cs="Times New Roman"/>
            <w:noProof/>
            <w:webHidden/>
          </w:rPr>
          <w:fldChar w:fldCharType="end"/>
        </w:r>
      </w:hyperlink>
    </w:p>
    <w:p w14:paraId="785AFBC5" w14:textId="005E1A68" w:rsidR="00167C22" w:rsidRPr="00542749" w:rsidRDefault="00820C56">
      <w:pPr>
        <w:pStyle w:val="TOC2"/>
        <w:tabs>
          <w:tab w:val="right" w:leader="dot" w:pos="9016"/>
        </w:tabs>
        <w:rPr>
          <w:rFonts w:ascii="Times New Roman" w:eastAsiaTheme="minorEastAsia" w:hAnsi="Times New Roman" w:cs="Times New Roman"/>
          <w:smallCaps w:val="0"/>
          <w:noProof/>
          <w:sz w:val="24"/>
          <w:szCs w:val="24"/>
          <w:lang w:eastAsia="it-IT"/>
        </w:rPr>
      </w:pPr>
      <w:hyperlink w:anchor="_Toc121843851" w:history="1">
        <w:r w:rsidR="00167C22" w:rsidRPr="00542749">
          <w:rPr>
            <w:rStyle w:val="Hyperlink"/>
            <w:rFonts w:ascii="Times New Roman" w:hAnsi="Times New Roman" w:cs="Times New Roman"/>
            <w:noProof/>
            <w:lang w:val="en-US"/>
          </w:rPr>
          <w:t>Supplementary table 2. Univariate analyses of overall response rates and durable clinical benefit</w:t>
        </w:r>
        <w:r w:rsidR="00167C22" w:rsidRPr="00542749">
          <w:rPr>
            <w:rFonts w:ascii="Times New Roman" w:hAnsi="Times New Roman" w:cs="Times New Roman"/>
            <w:noProof/>
            <w:webHidden/>
          </w:rPr>
          <w:tab/>
        </w:r>
        <w:r w:rsidR="00167C22" w:rsidRPr="00542749">
          <w:rPr>
            <w:rFonts w:ascii="Times New Roman" w:hAnsi="Times New Roman" w:cs="Times New Roman"/>
            <w:noProof/>
            <w:webHidden/>
          </w:rPr>
          <w:fldChar w:fldCharType="begin"/>
        </w:r>
        <w:r w:rsidR="00167C22" w:rsidRPr="00542749">
          <w:rPr>
            <w:rFonts w:ascii="Times New Roman" w:hAnsi="Times New Roman" w:cs="Times New Roman"/>
            <w:noProof/>
            <w:webHidden/>
          </w:rPr>
          <w:instrText xml:space="preserve"> PAGEREF _Toc121843851 \h </w:instrText>
        </w:r>
        <w:r w:rsidR="00167C22" w:rsidRPr="00542749">
          <w:rPr>
            <w:rFonts w:ascii="Times New Roman" w:hAnsi="Times New Roman" w:cs="Times New Roman"/>
            <w:noProof/>
            <w:webHidden/>
          </w:rPr>
        </w:r>
        <w:r w:rsidR="00167C22" w:rsidRPr="00542749">
          <w:rPr>
            <w:rFonts w:ascii="Times New Roman" w:hAnsi="Times New Roman" w:cs="Times New Roman"/>
            <w:noProof/>
            <w:webHidden/>
          </w:rPr>
          <w:fldChar w:fldCharType="separate"/>
        </w:r>
        <w:r w:rsidR="00167C22" w:rsidRPr="00542749">
          <w:rPr>
            <w:rFonts w:ascii="Times New Roman" w:hAnsi="Times New Roman" w:cs="Times New Roman"/>
            <w:noProof/>
            <w:webHidden/>
          </w:rPr>
          <w:t>10</w:t>
        </w:r>
        <w:r w:rsidR="00167C22" w:rsidRPr="00542749">
          <w:rPr>
            <w:rFonts w:ascii="Times New Roman" w:hAnsi="Times New Roman" w:cs="Times New Roman"/>
            <w:noProof/>
            <w:webHidden/>
          </w:rPr>
          <w:fldChar w:fldCharType="end"/>
        </w:r>
      </w:hyperlink>
    </w:p>
    <w:p w14:paraId="40FE5340" w14:textId="5579BFC8" w:rsidR="005E7C5B" w:rsidRPr="00542749" w:rsidRDefault="00167C22" w:rsidP="00561189">
      <w:pPr>
        <w:spacing w:line="360" w:lineRule="auto"/>
        <w:jc w:val="both"/>
        <w:rPr>
          <w:rFonts w:ascii="Times New Roman" w:hAnsi="Times New Roman" w:cs="Times New Roman"/>
          <w:b/>
          <w:bCs/>
          <w:lang w:val="en-US"/>
        </w:rPr>
        <w:sectPr w:rsidR="005E7C5B" w:rsidRPr="00542749" w:rsidSect="00820C56">
          <w:footerReference w:type="even" r:id="rId8"/>
          <w:footerReference w:type="default" r:id="rId9"/>
          <w:type w:val="continuous"/>
          <w:pgSz w:w="11906" w:h="16838"/>
          <w:pgMar w:top="1440" w:right="1440" w:bottom="1440" w:left="1440" w:header="708" w:footer="708" w:gutter="0"/>
          <w:cols w:space="708"/>
          <w:docGrid w:linePitch="360"/>
        </w:sectPr>
      </w:pPr>
      <w:r w:rsidRPr="00542749">
        <w:rPr>
          <w:rFonts w:ascii="Times New Roman" w:hAnsi="Times New Roman" w:cs="Times New Roman"/>
          <w:b/>
          <w:bCs/>
          <w:sz w:val="20"/>
          <w:szCs w:val="20"/>
          <w:lang w:val="en-US"/>
        </w:rPr>
        <w:fldChar w:fldCharType="end"/>
      </w:r>
    </w:p>
    <w:p w14:paraId="3722A5D5" w14:textId="11212E6A" w:rsidR="001909FB" w:rsidRPr="00542749" w:rsidRDefault="00B90741" w:rsidP="00B8200D">
      <w:pPr>
        <w:pStyle w:val="Heading1"/>
        <w:spacing w:before="0" w:beforeAutospacing="0" w:after="0" w:afterAutospacing="0" w:line="360" w:lineRule="auto"/>
        <w:jc w:val="both"/>
        <w:rPr>
          <w:color w:val="000000" w:themeColor="text1"/>
          <w:sz w:val="24"/>
          <w:szCs w:val="24"/>
          <w:lang w:val="en-US"/>
        </w:rPr>
      </w:pPr>
      <w:bookmarkStart w:id="0" w:name="_Toc121843842"/>
      <w:r w:rsidRPr="00542749">
        <w:rPr>
          <w:color w:val="000000" w:themeColor="text1"/>
          <w:sz w:val="24"/>
          <w:szCs w:val="24"/>
          <w:lang w:val="en-US"/>
        </w:rPr>
        <w:t>Supplementary methods</w:t>
      </w:r>
      <w:bookmarkEnd w:id="0"/>
    </w:p>
    <w:p w14:paraId="282580E8" w14:textId="3220F86C" w:rsidR="00B90741" w:rsidRPr="00542749" w:rsidRDefault="00B90741" w:rsidP="00B8200D">
      <w:pPr>
        <w:pStyle w:val="Heading2"/>
        <w:spacing w:before="0" w:line="360" w:lineRule="auto"/>
        <w:jc w:val="both"/>
        <w:rPr>
          <w:rFonts w:ascii="Times New Roman" w:hAnsi="Times New Roman" w:cs="Times New Roman"/>
          <w:b/>
          <w:bCs/>
          <w:color w:val="000000" w:themeColor="text1"/>
          <w:sz w:val="24"/>
          <w:szCs w:val="24"/>
          <w:lang w:val="en-US"/>
        </w:rPr>
      </w:pPr>
      <w:bookmarkStart w:id="1" w:name="_Toc121843843"/>
      <w:r w:rsidRPr="00542749">
        <w:rPr>
          <w:rFonts w:ascii="Times New Roman" w:hAnsi="Times New Roman" w:cs="Times New Roman"/>
          <w:b/>
          <w:bCs/>
          <w:color w:val="000000" w:themeColor="text1"/>
          <w:sz w:val="24"/>
          <w:szCs w:val="24"/>
          <w:lang w:val="en-US"/>
        </w:rPr>
        <w:t>Detailed study procedures</w:t>
      </w:r>
      <w:bookmarkEnd w:id="1"/>
    </w:p>
    <w:p w14:paraId="2CB6D391" w14:textId="0146901F" w:rsidR="00B90741" w:rsidRPr="00542749" w:rsidRDefault="00B90741" w:rsidP="00B8200D">
      <w:pPr>
        <w:spacing w:line="360" w:lineRule="auto"/>
        <w:jc w:val="both"/>
        <w:rPr>
          <w:rFonts w:ascii="Times New Roman" w:eastAsia="Times New Roman" w:hAnsi="Times New Roman" w:cs="Times New Roman"/>
          <w:lang w:eastAsia="it-IT"/>
        </w:rPr>
      </w:pPr>
      <w:r w:rsidRPr="00542749">
        <w:rPr>
          <w:rFonts w:ascii="Times New Roman" w:hAnsi="Times New Roman" w:cs="Times New Roman"/>
          <w:color w:val="000000" w:themeColor="text1"/>
          <w:lang w:val="en-US"/>
        </w:rPr>
        <w:t xml:space="preserve">A blood sample was collected from each patient at </w:t>
      </w:r>
      <w:r w:rsidR="00215DDF" w:rsidRPr="00542749">
        <w:rPr>
          <w:rFonts w:ascii="Times New Roman" w:hAnsi="Times New Roman" w:cs="Times New Roman"/>
          <w:color w:val="000000" w:themeColor="text1"/>
          <w:lang w:val="en-US"/>
        </w:rPr>
        <w:t>cycle 1 day 1 (</w:t>
      </w:r>
      <w:r w:rsidRPr="00542749">
        <w:rPr>
          <w:rFonts w:ascii="Times New Roman" w:hAnsi="Times New Roman" w:cs="Times New Roman"/>
          <w:color w:val="000000" w:themeColor="text1"/>
          <w:lang w:val="en-US"/>
        </w:rPr>
        <w:t>C1D1</w:t>
      </w:r>
      <w:r w:rsidR="00215DDF" w:rsidRPr="00542749">
        <w:rPr>
          <w:rFonts w:ascii="Times New Roman" w:hAnsi="Times New Roman" w:cs="Times New Roman"/>
          <w:color w:val="000000" w:themeColor="text1"/>
          <w:lang w:val="en-US"/>
        </w:rPr>
        <w:t>)</w:t>
      </w:r>
      <w:r w:rsidRPr="00542749">
        <w:rPr>
          <w:rFonts w:ascii="Times New Roman" w:hAnsi="Times New Roman" w:cs="Times New Roman"/>
          <w:color w:val="000000" w:themeColor="text1"/>
          <w:lang w:val="en-US"/>
        </w:rPr>
        <w:t xml:space="preserve">, </w:t>
      </w:r>
      <w:r w:rsidR="00215DDF" w:rsidRPr="00542749">
        <w:rPr>
          <w:rFonts w:ascii="Times New Roman" w:hAnsi="Times New Roman" w:cs="Times New Roman"/>
          <w:color w:val="000000" w:themeColor="text1"/>
          <w:lang w:val="en-US"/>
        </w:rPr>
        <w:t>cycle 2 day 1 (</w:t>
      </w:r>
      <w:r w:rsidRPr="00542749">
        <w:rPr>
          <w:rFonts w:ascii="Times New Roman" w:hAnsi="Times New Roman" w:cs="Times New Roman"/>
          <w:color w:val="000000" w:themeColor="text1"/>
          <w:lang w:val="en-US"/>
        </w:rPr>
        <w:t>C2D1</w:t>
      </w:r>
      <w:r w:rsidR="00215DDF" w:rsidRPr="00542749">
        <w:rPr>
          <w:rFonts w:ascii="Times New Roman" w:hAnsi="Times New Roman" w:cs="Times New Roman"/>
          <w:color w:val="000000" w:themeColor="text1"/>
          <w:lang w:val="en-US"/>
        </w:rPr>
        <w:t>)</w:t>
      </w:r>
      <w:r w:rsidRPr="00542749">
        <w:rPr>
          <w:rFonts w:ascii="Times New Roman" w:hAnsi="Times New Roman" w:cs="Times New Roman"/>
          <w:color w:val="000000" w:themeColor="text1"/>
          <w:lang w:val="en-US"/>
        </w:rPr>
        <w:t xml:space="preserve"> and at each radiological evaluation of response until progression. For the purpose of this analysis only basal samples were considered. Common blood chemistry tests were carried out, including the evaluation of albumin, LDH and standard leukocyte populations according to the </w:t>
      </w:r>
      <w:r w:rsidR="00215DDF" w:rsidRPr="00542749">
        <w:rPr>
          <w:rFonts w:ascii="Times New Roman" w:hAnsi="Times New Roman" w:cs="Times New Roman"/>
          <w:color w:val="000000" w:themeColor="text1"/>
          <w:lang w:val="en-US"/>
        </w:rPr>
        <w:t>Hospital Clinic of Barcelona (</w:t>
      </w:r>
      <w:r w:rsidRPr="00542749">
        <w:rPr>
          <w:rFonts w:ascii="Times New Roman" w:hAnsi="Times New Roman" w:cs="Times New Roman"/>
          <w:color w:val="000000" w:themeColor="text1"/>
          <w:lang w:val="en-US"/>
        </w:rPr>
        <w:t>HCB</w:t>
      </w:r>
      <w:r w:rsidR="00215DDF" w:rsidRPr="00542749">
        <w:rPr>
          <w:rFonts w:ascii="Times New Roman" w:hAnsi="Times New Roman" w:cs="Times New Roman"/>
          <w:color w:val="000000" w:themeColor="text1"/>
          <w:lang w:val="en-US"/>
        </w:rPr>
        <w:t>)</w:t>
      </w:r>
      <w:r w:rsidRPr="00542749">
        <w:rPr>
          <w:rFonts w:ascii="Times New Roman" w:hAnsi="Times New Roman" w:cs="Times New Roman"/>
          <w:color w:val="000000" w:themeColor="text1"/>
          <w:lang w:val="en-US"/>
        </w:rPr>
        <w:t xml:space="preserve"> standard clinical practice methodologies. We collected data on albumin (g/L) and hemoglobin (Hb) (g/dL) levels due to their potential prognostic significance in solid tumors</w:t>
      </w:r>
      <w:r w:rsidRPr="00542749">
        <w:rPr>
          <w:rFonts w:ascii="Times New Roman" w:hAnsi="Times New Roman" w:cs="Times New Roman"/>
          <w:color w:val="000000" w:themeColor="text1"/>
        </w:rPr>
        <w:fldChar w:fldCharType="begin"/>
      </w:r>
      <w:r w:rsidR="00942B18" w:rsidRPr="00542749">
        <w:rPr>
          <w:rFonts w:ascii="Times New Roman" w:hAnsi="Times New Roman" w:cs="Times New Roman"/>
          <w:color w:val="000000" w:themeColor="text1"/>
          <w:lang w:val="en-US"/>
        </w:rPr>
        <w:instrText xml:space="preserve"> ADDIN ZOTERO_ITEM CSL_CITATION {"citationID":"XugSpp4B","properties":{"formattedCitation":"\\super 1,2\\nosupersub{}","plainCitation":"1,2","noteIndex":0},"citationItems":[{"id":3251,"uris":["http://zotero.org/users/local/NnLPOo6K/items/UZ9W8PQF"],"itemData":{"id":3251,"type":"article-journal","abstract":"BACKGROUND: There are several methods of assessing nutritional status in cancer of which serum albumin is one of the most commonly used. In recent years, the role of malnutrition as a predictor of survival in cancer has received considerable attention. As a result, it is reasonable to investigate whether serum albumin has utility as a prognostic indicator of cancer survival in cancer. This review summarizes all available epidemiological literature on the association between pretreatment serum albumin levels and survival in different types of cancer.\nMETHODS: A systematic search of the literature using the MEDLINE database (January 1995 through June 2010) to identify epidemiologic studies on the relationship between serum albumin and cancer survival. To be included in the review, a study must have: been published in English, reported on data collected in humans with any type of cancer, had serum albumin as one of the or only predicting factor, had survival as one of the outcome measures (primary or secondary) and had any of the following study designs (case-control, cohort, cross-sectional, case-series prospective, retrospective, nested case-control, ecologic, clinical trial, meta-analysis).\nRESULTS: Of the 29 studies reviewed on cancers of the gastrointestinal tract, all except three found higher serum albumin levels to be associated with better survival in multivariate analysis. Of the 10 studies reviewed on lung cancer, all excepting one found higher serum albumin levels to be associated with better survival. In 6 studies reviewed on female cancers and multiple cancers each, lower levels of serum albumin were associated with poor survival. Finally, in all 8 studies reviewed on patients with other cancer sites, lower levels of serum albumin were associated with poor survival.\nCONCLUSIONS: Pretreatment serum albumin levels provide useful prognostic significance in cancer. Accordingly, serum albumin level could be used in clinical trials to better define the baseline risk in cancer patients. A critical gap for demonstrating causality, however, is the absence of clinical trials demonstrating that raising albumin levels by means of intravenous infusion or by hyperalimentation decreases the excess risk of mortality in cancer.","container-title":"Nutrition Journal","DOI":"10.1186/1475-2891-9-69","ISSN":"1475-2891","journalAbbreviation":"Nutr J","language":"eng","note":"PMID: 21176210\nPMCID: PMC3019132","page":"69","source":"PubMed","title":"Pretreatment serum albumin as a predictor of cancer survival: a systematic review of the epidemiological literature","title-short":"Pretreatment serum albumin as a predictor of cancer survival","volume":"9","author":[{"family":"Gupta","given":"Digant"},{"family":"Lis","given":"Christopher G."}],"issued":{"date-parts":[["2010",12,22]]}}},{"id":3249,"uris":["http://zotero.org/users/local/NnLPOo6K/items/DMJD2A65"],"itemData":{"id":3249,"type":"article-journal","abstract":"BACKGROUND: Anemia is common in cancer patients, although the prevalence is influenced both by the type of malignancy and the choice of treatment. Individual studies have compared the survival of patients with and without anemia and have shown reduced survival times in patients with various malignancies, including carcinoma of the lung, cervix, head and neck, prostate, lymphoma, and multiple myeloma. The objective of this study was to systematically review, to summarize, and to obtain an overall estimate of the effect of anemia on survival in patients with malignant disease.\nMETHODS: A comprehensive literature review was carried out using the MEDLINE data base and reviewing the reference lists from published studies. Two hundred papers were identified. Of these, 60 papers that reported the survival of cancer patients according to either hemoglobin levels or the presence of anemia were included. Among these papers, 25% related to patients with lung carcinoma, 17% related to patients with head and neck carcinoma, 12% related to patients with multiple myeloma, 10% related to patients with prostate carcinoma, 8% related to patients with cervicouterine carcinoma, 7% related to patients with leukemia, 5% related to patients with lymphoma, and 16% related to patients with other types of malignancies.\nRESULTS: The relative risk of death increased by 19% (95% confidence interval, 10-29%) in anemic patients with lung carcinoma, by 75% (37-123%) in anemic patients with head and neck carcinoma, by 47% (21-78%) in anemic patients with prostate carcinoma, and by 67% (30-113%) in anemic patients with lymphoma. The overall estimate increase in risk was 65% (54-77%).\nCONCLUSIONS: Anemia is associated with shorter survival times for patients with lung carcinoma, cervicouterine carcinoma, head and neck carcinoma, prostate carcinoma, lymphoma, and multiple myeloma.","container-title":"Cancer","ISSN":"0008-543X","issue":"12","journalAbbreviation":"Cancer","language":"eng","note":"PMID: 11413508","page":"2214-2221","source":"PubMed","title":"Anemia as an independent prognostic factor for survival in patients with cancer: a systemic, quantitative review","title-short":"Anemia as an independent prognostic factor for survival in patients with cancer","volume":"91","author":[{"family":"Caro","given":"J. J."},{"family":"Salas","given":"M."},{"family":"Ward","given":"A."},{"family":"Goss","given":"G."}],"issued":{"date-parts":[["2001",6,15]]}}}],"schema":"https://github.com/citation-style-language/schema/raw/master/csl-citation.json"} </w:instrText>
      </w:r>
      <w:r w:rsidRPr="00542749">
        <w:rPr>
          <w:rFonts w:ascii="Times New Roman" w:hAnsi="Times New Roman" w:cs="Times New Roman"/>
          <w:color w:val="000000" w:themeColor="text1"/>
        </w:rPr>
        <w:fldChar w:fldCharType="separate"/>
      </w:r>
      <w:r w:rsidR="00DC7E78" w:rsidRPr="00542749">
        <w:rPr>
          <w:rFonts w:ascii="Times New Roman" w:hAnsi="Times New Roman" w:cs="Times New Roman"/>
          <w:color w:val="000000" w:themeColor="text1"/>
          <w:vertAlign w:val="superscript"/>
          <w:lang w:val="en-US"/>
        </w:rPr>
        <w:t>1,2</w:t>
      </w:r>
      <w:r w:rsidRPr="00542749">
        <w:rPr>
          <w:rFonts w:ascii="Times New Roman" w:hAnsi="Times New Roman" w:cs="Times New Roman"/>
          <w:color w:val="000000" w:themeColor="text1"/>
        </w:rPr>
        <w:fldChar w:fldCharType="end"/>
      </w:r>
      <w:r w:rsidRPr="00542749">
        <w:rPr>
          <w:rFonts w:ascii="Times New Roman" w:hAnsi="Times New Roman" w:cs="Times New Roman"/>
          <w:color w:val="000000" w:themeColor="text1"/>
          <w:lang w:val="en-US"/>
        </w:rPr>
        <w:t>. LDH (U/L), leukocyte (cells/mm</w:t>
      </w:r>
      <w:r w:rsidRPr="00542749">
        <w:rPr>
          <w:rFonts w:ascii="Times New Roman" w:hAnsi="Times New Roman" w:cs="Times New Roman"/>
          <w:color w:val="000000" w:themeColor="text1"/>
          <w:vertAlign w:val="superscript"/>
          <w:lang w:val="en-US"/>
        </w:rPr>
        <w:t>3</w:t>
      </w:r>
      <w:r w:rsidRPr="00542749">
        <w:rPr>
          <w:rFonts w:ascii="Times New Roman" w:hAnsi="Times New Roman" w:cs="Times New Roman"/>
          <w:color w:val="000000" w:themeColor="text1"/>
          <w:lang w:val="en-US"/>
        </w:rPr>
        <w:t>), neutrophil (cells/mm</w:t>
      </w:r>
      <w:r w:rsidRPr="00542749">
        <w:rPr>
          <w:rFonts w:ascii="Times New Roman" w:hAnsi="Times New Roman" w:cs="Times New Roman"/>
          <w:color w:val="000000" w:themeColor="text1"/>
          <w:vertAlign w:val="superscript"/>
          <w:lang w:val="en-US"/>
        </w:rPr>
        <w:t>3</w:t>
      </w:r>
      <w:r w:rsidRPr="00542749">
        <w:rPr>
          <w:rFonts w:ascii="Times New Roman" w:hAnsi="Times New Roman" w:cs="Times New Roman"/>
          <w:color w:val="000000" w:themeColor="text1"/>
          <w:lang w:val="en-US"/>
        </w:rPr>
        <w:t>) and lymphocyte (cells/mm</w:t>
      </w:r>
      <w:r w:rsidRPr="00542749">
        <w:rPr>
          <w:rFonts w:ascii="Times New Roman" w:hAnsi="Times New Roman" w:cs="Times New Roman"/>
          <w:color w:val="000000" w:themeColor="text1"/>
          <w:vertAlign w:val="superscript"/>
          <w:lang w:val="en-US"/>
        </w:rPr>
        <w:t>3</w:t>
      </w:r>
      <w:r w:rsidRPr="00542749">
        <w:rPr>
          <w:rFonts w:ascii="Times New Roman" w:hAnsi="Times New Roman" w:cs="Times New Roman"/>
          <w:color w:val="000000" w:themeColor="text1"/>
          <w:lang w:val="en-US"/>
        </w:rPr>
        <w:t>) levels were also collected and the lung immune prognostic index (LIPI) score was then calculated</w:t>
      </w:r>
      <w:r w:rsidRPr="00542749">
        <w:rPr>
          <w:rFonts w:ascii="Times New Roman" w:hAnsi="Times New Roman" w:cs="Times New Roman"/>
          <w:color w:val="000000" w:themeColor="text1"/>
        </w:rPr>
        <w:fldChar w:fldCharType="begin"/>
      </w:r>
      <w:r w:rsidR="00942B18" w:rsidRPr="00542749">
        <w:rPr>
          <w:rFonts w:ascii="Times New Roman" w:hAnsi="Times New Roman" w:cs="Times New Roman"/>
          <w:color w:val="000000" w:themeColor="text1"/>
          <w:lang w:val="en-US"/>
        </w:rPr>
        <w:instrText xml:space="preserve"> ADDIN ZOTERO_ITEM CSL_CITATION {"citationID":"ochceUmE","properties":{"formattedCitation":"\\super 3\\nosupersub{}","plainCitation":"3","noteIndex":0},"citationItems":[{"id":3246,"uris":["http://zotero.org/users/local/NnLPOo6K/items/ZH7TCRBQ"],"itemData":{"id":3246,"type":"article-journal","container-title":"Translational Lung Cancer Research","DOI":"10.21037/tlcr.2020.04.14","ISSN":"2218-6751","issue":"4","journalAbbreviation":"Transl Lung Cancer Res","note":"PMID: 32953477\nPMCID: PMC7481630","page":"967-970","source":"PubMed Central","title":"The Lung Immune Prognostic Index (LIPI) stratifies prognostic groups in advanced non-small cell lung cancer (NSCLC) patients","volume":"9","author":[{"family":"Aldea","given":"Mihaela"},{"family":"Benitez","given":"Jose Carlos"},{"family":"Mezquita","given":"Laura"}],"issued":{"date-parts":[["2020",8]]}}}],"schema":"https://github.com/citation-style-language/schema/raw/master/csl-citation.json"} </w:instrText>
      </w:r>
      <w:r w:rsidRPr="00542749">
        <w:rPr>
          <w:rFonts w:ascii="Times New Roman" w:hAnsi="Times New Roman" w:cs="Times New Roman"/>
          <w:color w:val="000000" w:themeColor="text1"/>
        </w:rPr>
        <w:fldChar w:fldCharType="separate"/>
      </w:r>
      <w:r w:rsidR="00DC7E78" w:rsidRPr="00542749">
        <w:rPr>
          <w:rFonts w:ascii="Times New Roman" w:hAnsi="Times New Roman" w:cs="Times New Roman"/>
          <w:color w:val="000000" w:themeColor="text1"/>
          <w:vertAlign w:val="superscript"/>
          <w:lang w:val="en-US"/>
        </w:rPr>
        <w:t>3</w:t>
      </w:r>
      <w:r w:rsidRPr="00542749">
        <w:rPr>
          <w:rFonts w:ascii="Times New Roman" w:hAnsi="Times New Roman" w:cs="Times New Roman"/>
          <w:color w:val="000000" w:themeColor="text1"/>
        </w:rPr>
        <w:fldChar w:fldCharType="end"/>
      </w:r>
      <w:r w:rsidRPr="00542749">
        <w:rPr>
          <w:rFonts w:ascii="Times New Roman" w:hAnsi="Times New Roman" w:cs="Times New Roman"/>
          <w:color w:val="000000" w:themeColor="text1"/>
          <w:lang w:val="en-US"/>
        </w:rPr>
        <w:t xml:space="preserve">. Treatments and follow-up procedures were decided outside of this study by patients’ oncologists according to their clinical practice or study protocol, in case of patients included in interventional clinical trials. All data were retrieved from electronic patient charts. In case of availability and explicit patient consent, </w:t>
      </w:r>
      <w:r w:rsidRPr="00542749">
        <w:rPr>
          <w:rFonts w:ascii="Times New Roman" w:eastAsia="Times New Roman" w:hAnsi="Times New Roman" w:cs="Times New Roman"/>
          <w:color w:val="000000" w:themeColor="text1"/>
          <w:shd w:val="clear" w:color="auto" w:fill="FFFFFF"/>
          <w:lang w:val="en-US" w:eastAsia="it-IT"/>
        </w:rPr>
        <w:t xml:space="preserve">archived tumor sections from the primary </w:t>
      </w:r>
      <w:r w:rsidRPr="00542749">
        <w:rPr>
          <w:rFonts w:ascii="Times New Roman" w:hAnsi="Times New Roman" w:cs="Times New Roman"/>
          <w:color w:val="000000" w:themeColor="text1"/>
          <w:lang w:val="en-US"/>
        </w:rPr>
        <w:t xml:space="preserve">or the latest available metastatic lesion were collected. An expert pathologist from the HCB (ES) carried out an assessment of </w:t>
      </w:r>
      <w:r w:rsidR="00215DDF" w:rsidRPr="00542749">
        <w:rPr>
          <w:rFonts w:ascii="Times New Roman" w:hAnsi="Times New Roman" w:cs="Times New Roman"/>
          <w:color w:val="000000" w:themeColor="text1"/>
          <w:lang w:val="en-US"/>
        </w:rPr>
        <w:t>tumor-infiltrating lymphocytes (</w:t>
      </w:r>
      <w:r w:rsidRPr="00542749">
        <w:rPr>
          <w:rFonts w:ascii="Times New Roman" w:hAnsi="Times New Roman" w:cs="Times New Roman"/>
          <w:color w:val="000000" w:themeColor="text1"/>
          <w:lang w:val="en-US"/>
        </w:rPr>
        <w:t>TILs</w:t>
      </w:r>
      <w:r w:rsidR="00215DDF" w:rsidRPr="00542749">
        <w:rPr>
          <w:rFonts w:ascii="Times New Roman" w:hAnsi="Times New Roman" w:cs="Times New Roman"/>
          <w:color w:val="000000" w:themeColor="text1"/>
          <w:lang w:val="en-US"/>
        </w:rPr>
        <w:t>)</w:t>
      </w:r>
      <w:r w:rsidRPr="00542749">
        <w:rPr>
          <w:rFonts w:ascii="Times New Roman" w:hAnsi="Times New Roman" w:cs="Times New Roman"/>
          <w:color w:val="000000" w:themeColor="text1"/>
          <w:lang w:val="en-US"/>
        </w:rPr>
        <w:t xml:space="preserve"> </w:t>
      </w:r>
      <w:r w:rsidRPr="00542749">
        <w:rPr>
          <w:rFonts w:ascii="Times New Roman" w:eastAsia="Times New Roman" w:hAnsi="Times New Roman" w:cs="Times New Roman"/>
          <w:color w:val="000000" w:themeColor="text1"/>
          <w:shd w:val="clear" w:color="auto" w:fill="FFFFFF"/>
          <w:lang w:val="en-US" w:eastAsia="it-IT"/>
        </w:rPr>
        <w:t>through the evaluation of hematoxylin and eosin (H&amp;E)-stained formalin-fixed paraffin-embedded (FFPE) tumor sections (4-5um thick, ma</w:t>
      </w:r>
      <w:bookmarkStart w:id="2" w:name="_GoBack"/>
      <w:bookmarkEnd w:id="2"/>
      <w:r w:rsidRPr="00542749">
        <w:rPr>
          <w:rFonts w:ascii="Times New Roman" w:eastAsia="Times New Roman" w:hAnsi="Times New Roman" w:cs="Times New Roman"/>
          <w:color w:val="000000" w:themeColor="text1"/>
          <w:shd w:val="clear" w:color="auto" w:fill="FFFFFF"/>
          <w:lang w:val="en-US" w:eastAsia="it-IT"/>
        </w:rPr>
        <w:t>gnification x 200-400)</w:t>
      </w:r>
      <w:r w:rsidRPr="00542749">
        <w:rPr>
          <w:rFonts w:ascii="Times New Roman" w:hAnsi="Times New Roman" w:cs="Times New Roman"/>
          <w:color w:val="000000" w:themeColor="text1"/>
          <w:lang w:val="en-US"/>
        </w:rPr>
        <w:t xml:space="preserve">, according to the methodology proposed by </w:t>
      </w:r>
      <w:r w:rsidRPr="00542749">
        <w:rPr>
          <w:rFonts w:ascii="Times New Roman" w:eastAsia="Times New Roman" w:hAnsi="Times New Roman" w:cs="Times New Roman"/>
          <w:color w:val="000000" w:themeColor="text1"/>
          <w:kern w:val="36"/>
          <w:lang w:val="en-US" w:eastAsia="it-IT"/>
        </w:rPr>
        <w:t>the International Immuno-Oncology Biomarkers Working Group</w:t>
      </w:r>
      <w:r w:rsidRPr="00542749">
        <w:rPr>
          <w:rFonts w:ascii="Times New Roman" w:eastAsia="Times New Roman" w:hAnsi="Times New Roman" w:cs="Times New Roman"/>
          <w:color w:val="000000" w:themeColor="text1"/>
          <w:kern w:val="36"/>
          <w:lang w:eastAsia="it-IT"/>
        </w:rPr>
        <w:fldChar w:fldCharType="begin"/>
      </w:r>
      <w:r w:rsidR="00942B18" w:rsidRPr="00542749">
        <w:rPr>
          <w:rFonts w:ascii="Times New Roman" w:eastAsia="Times New Roman" w:hAnsi="Times New Roman" w:cs="Times New Roman"/>
          <w:color w:val="000000" w:themeColor="text1"/>
          <w:kern w:val="36"/>
          <w:lang w:val="en-US" w:eastAsia="it-IT"/>
        </w:rPr>
        <w:instrText xml:space="preserve"> ADDIN ZOTERO_ITEM CSL_CITATION {"citationID":"RYH9bz5A","properties":{"formattedCitation":"\\super 4\\nosupersub{}","plainCitation":"4","noteIndex":0},"citationItems":[{"id":3256,"uris":["http://zotero.org/users/local/NnLPOo6K/items/M4Y9QW8X"],"itemData":{"id":3256,"type":"article-journal","abstract":"Assessment of tumor infiltrating lymphocytes (TILs) in histopathological specimens can provide important prognostic information in diverse solid tumor types, and may also be of value in predicting response to treatments. However, implementation as a routine clinical biomarker has not yet been achieved. As successful use of immune checkpoint inhibitors and other forms of immunotherapy become a clinical reality, the need for widely applicable, accessible and reliable immuno-oncology biomarkers is clear. In Part 1 of this review we briefly discuss the host immune response to tumors and different approaches to TIL assessment. We propose a standardized methodology to assess TILs in solid tumors on H&amp;E sections, in both primary and metastatic settings, based on the International Immuno-Oncology Biomarker Working Group guidelines for TIL assessment in invasive breast carcinoma. A review of the literature regarding the value of TIL assessment in different solid tumor types follows in Part 2. The method we propose is reproducible, affordable, easily applied, and has demonstrated prognostic and predictive significance in invasive breast carcinoma. This standardized methodology may be used as a reference against which other methods are compared, and should be evaluated for clinical validity and utility. Standardization of TIL assessment will help to improve consistency and reproducibility in this field, enrich both the quality and quantity of comparable evidence, and help to thoroughly evaluate the utility of TILs assessment in this era of immunotherapy.","container-title":"Advances in anatomic pathology","DOI":"10.1097/PAP.0000000000000162","ISSN":"1072-4109","issue":"5","journalAbbreviation":"Adv Anat Pathol","note":"PMID: 28777142\nPMCID: PMC5564448","page":"235-251","source":"PubMed Central","title":"Assessing tumor infiltrating lymphocytes in solid tumors: a practical review for pathologists and proposal for a standardized method from the International Immuno-Oncology Biomarkers Working Group","title-short":"Assessing tumor infiltrating lymphocytes in solid tumors","volume":"24","author":[{"family":"Hendry","given":"Shona"},{"family":"Salgado","given":"Roberto"},{"family":"Gevaert","given":"Thomas"},{"family":"Russell","given":"Prudence A."},{"family":"John","given":"Tom"},{"family":"Thapa","given":"Bibhusal"},{"family":"Christie","given":"Michael"},{"family":"Vijver","given":"Koen","non-dropping-particle":"van de"},{"family":"Estrada","given":"M. Valeria"},{"family":"Gonzalez-Ericsson","given":"Paula I."},{"family":"Sanders","given":"Melinda"},{"family":"Solomon","given":"Benjamin"},{"family":"Solinas","given":"Cinzia"},{"family":"Van den Eynden","given":"Gert GGM"},{"family":"Allory","given":"Yves"},{"family":"Preusser","given":"Matthias"},{"family":"Hainfellner","given":"Johannes"},{"family":"Pruneri","given":"Giancarlo"},{"family":"Vingiani","given":"Andrea"},{"family":"Demaria","given":"Sandra"},{"family":"Symmans","given":"Fraser"},{"family":"Nuciforo","given":"Paolo"},{"family":"Comerma","given":"Laura"},{"family":"Thompson","given":"E. Aubrey"},{"family":"Lakhani","given":"Sunil"},{"family":"Kim","given":"Seong-Rim"},{"family":"Schnitt","given":"Stuart"},{"family":"Colpaert","given":"Cecile"},{"family":"Sotiriou","given":"Christos"},{"family":"Scherer","given":"Stefan J."},{"family":"Ignatiadis","given":"Michail"},{"family":"Badve","given":"Sunil"},{"family":"Pierce","given":"Robert H."},{"family":"Viale","given":"Giuseppe"},{"family":"Sirtaine","given":"Nicolas"},{"family":"Penault-Llorca","given":"Frederique"},{"family":"Sugie","given":"Tomohagu"},{"family":"Fineberg","given":"Susan"},{"family":"Paik","given":"Soonmyung"},{"family":"Srinivasan","given":"Ashok"},{"family":"Richardson","given":"Andrea"},{"family":"Wang","given":"Yihong"},{"family":"Chmielik","given":"Ewa"},{"family":"Brock","given":"Jane"},{"family":"Johnson","given":"Douglas B."},{"family":"Balko","given":"Justin"},{"family":"Wienert","given":"Stephan"},{"family":"Bossuyt","given":"Veerle"},{"family":"Michiels","given":"Stefan"},{"family":"Ternes","given":"Nils"},{"family":"Burchardi","given":"Nicole"},{"family":"Luen","given":"Stephen J."},{"family":"Savas","given":"Peter"},{"family":"Klauschen","given":"Frederick"},{"family":"Watson","given":"Peter H."},{"family":"Nelson","given":"Brad H."},{"family":"Criscitiello","given":"Carmen"},{"family":"O’Toole","given":"Sandra"},{"family":"Larsimont","given":"Denis"},{"family":"Wind","given":"Roland","non-dropping-particle":"de"},{"family":"Curigliano","given":"Giuseppe"},{"family":"André","given":"Fabrice"},{"family":"Lacroix-Triki","given":"Magali"},{"family":"Vijver","given":"Mark","non-dropping-particle":"van de"},{"family":"Rojo","given":"Federico"},{"family":"Floris","given":"Giuseppe"},{"family":"Bedri","given":"Shahinaz"},{"family":"Sparano","given":"Joseph"},{"family":"Rimm","given":"David"},{"family":"Nielsen","given":"Torsten"},{"family":"Kos","given":"Zuzana"},{"family":"Hewitt","given":"Stephen"},{"family":"Singh","given":"Baljit"},{"family":"Farshid","given":"Gelareh"},{"family":"Loibl","given":"Sibylle"},{"family":"Allison","given":"Kimberly H."},{"family":"Tung","given":"Nadine"},{"family":"Adams","given":"Sylvia"},{"family":"Willard-Gallo","given":"Karen"},{"family":"Horlings","given":"Hugo M."},{"family":"Gandhi","given":"Leena"},{"family":"Moreira","given":"Andre"},{"family":"Hirsch","given":"Fred"},{"family":"Dieci","given":"Maria Vittoria"},{"family":"Urbanowicz","given":"Maria"},{"family":"Brcic","given":"Iva"},{"family":"Korski","given":"Konstanty"},{"family":"Gaire","given":"Fabien"},{"family":"Koeppen","given":"Hartmut"},{"family":"Lo","given":"Amy"},{"family":"Giltnane","given":"Jennifer"},{"family":"Ziai","given":"James"},{"family":"Rebelatto","given":"Marlon C."},{"family":"Steele","given":"Keith E."},{"family":"Zha","given":"Jiping"},{"family":"Emancipator","given":"Kenneth"},{"family":"Juco","given":"Jonathan W."},{"family":"Denkert","given":"Carsten"},{"family":"Reis-Filho","given":"Jorge"},{"family":"Loi","given":"Sherene"},{"family":"Fox","given":"Stephen B."}],"issued":{"date-parts":[["2017",9]]}}}],"schema":"https://github.com/citation-style-language/schema/raw/master/csl-citation.json"} </w:instrText>
      </w:r>
      <w:r w:rsidRPr="00542749">
        <w:rPr>
          <w:rFonts w:ascii="Times New Roman" w:eastAsia="Times New Roman" w:hAnsi="Times New Roman" w:cs="Times New Roman"/>
          <w:color w:val="000000" w:themeColor="text1"/>
          <w:kern w:val="36"/>
          <w:lang w:eastAsia="it-IT"/>
        </w:rPr>
        <w:fldChar w:fldCharType="separate"/>
      </w:r>
      <w:r w:rsidR="00DC7E78" w:rsidRPr="00542749">
        <w:rPr>
          <w:rFonts w:ascii="Times New Roman" w:hAnsi="Times New Roman" w:cs="Times New Roman"/>
          <w:color w:val="000000" w:themeColor="text1"/>
          <w:vertAlign w:val="superscript"/>
          <w:lang w:val="en-US"/>
        </w:rPr>
        <w:t>4</w:t>
      </w:r>
      <w:r w:rsidRPr="00542749">
        <w:rPr>
          <w:rFonts w:ascii="Times New Roman" w:eastAsia="Times New Roman" w:hAnsi="Times New Roman" w:cs="Times New Roman"/>
          <w:color w:val="000000" w:themeColor="text1"/>
          <w:kern w:val="36"/>
          <w:lang w:eastAsia="it-IT"/>
        </w:rPr>
        <w:fldChar w:fldCharType="end"/>
      </w:r>
      <w:r w:rsidRPr="00542749">
        <w:rPr>
          <w:rFonts w:ascii="Times New Roman" w:eastAsia="Times New Roman" w:hAnsi="Times New Roman" w:cs="Times New Roman"/>
          <w:color w:val="000000" w:themeColor="text1"/>
          <w:kern w:val="36"/>
          <w:lang w:val="en-US" w:eastAsia="it-IT"/>
        </w:rPr>
        <w:t xml:space="preserve">. </w:t>
      </w:r>
      <w:r w:rsidR="00CB28A0" w:rsidRPr="00542749">
        <w:rPr>
          <w:rFonts w:ascii="Times New Roman" w:eastAsia="Times New Roman" w:hAnsi="Times New Roman" w:cs="Times New Roman"/>
          <w:color w:val="000000" w:themeColor="text1"/>
          <w:kern w:val="36"/>
          <w:lang w:val="en-US" w:eastAsia="it-IT"/>
        </w:rPr>
        <w:t>We previously demonstrated a correlation between PD1 mRNA levels and response to anti-PD1 ICI across cancer types</w:t>
      </w:r>
      <w:r w:rsidR="00CB28A0" w:rsidRPr="00542749">
        <w:rPr>
          <w:rFonts w:ascii="Times New Roman" w:eastAsia="Times New Roman" w:hAnsi="Times New Roman" w:cs="Times New Roman"/>
          <w:color w:val="000000" w:themeColor="text1"/>
          <w:kern w:val="36"/>
          <w:vertAlign w:val="superscript"/>
          <w:lang w:val="en-US" w:eastAsia="it-IT"/>
        </w:rPr>
        <w:t>5</w:t>
      </w:r>
      <w:r w:rsidR="00CB28A0" w:rsidRPr="00542749">
        <w:rPr>
          <w:rFonts w:ascii="Times New Roman" w:eastAsia="Times New Roman" w:hAnsi="Times New Roman" w:cs="Times New Roman"/>
          <w:color w:val="000000" w:themeColor="text1"/>
          <w:kern w:val="36"/>
          <w:lang w:val="en-US" w:eastAsia="it-IT"/>
        </w:rPr>
        <w:t>. For the present study, w</w:t>
      </w:r>
      <w:r w:rsidRPr="00542749">
        <w:rPr>
          <w:rFonts w:ascii="Times New Roman" w:eastAsia="Times New Roman" w:hAnsi="Times New Roman" w:cs="Times New Roman"/>
          <w:color w:val="000000" w:themeColor="text1"/>
          <w:kern w:val="36"/>
          <w:lang w:val="en-US" w:eastAsia="it-IT"/>
        </w:rPr>
        <w:t>e</w:t>
      </w:r>
      <w:r w:rsidRPr="00542749">
        <w:rPr>
          <w:rFonts w:ascii="Times New Roman" w:hAnsi="Times New Roman" w:cs="Times New Roman"/>
          <w:color w:val="000000" w:themeColor="text1"/>
          <w:lang w:val="en-US"/>
        </w:rPr>
        <w:t xml:space="preserve"> analyzed the expression of PD1 mRNA using the Nanostring</w:t>
      </w:r>
      <w:r w:rsidRPr="00542749">
        <w:rPr>
          <w:rFonts w:ascii="Times New Roman" w:eastAsia="Times New Roman" w:hAnsi="Times New Roman" w:cs="Times New Roman"/>
          <w:color w:val="000000" w:themeColor="text1"/>
          <w:shd w:val="clear" w:color="auto" w:fill="FFFFFF"/>
          <w:lang w:val="en-US" w:eastAsia="it-IT"/>
        </w:rPr>
        <w:t>®</w:t>
      </w:r>
      <w:r w:rsidRPr="00542749">
        <w:rPr>
          <w:rFonts w:ascii="Times New Roman" w:hAnsi="Times New Roman" w:cs="Times New Roman"/>
          <w:color w:val="000000" w:themeColor="text1"/>
          <w:lang w:val="en-US"/>
        </w:rPr>
        <w:t xml:space="preserve"> nCounter</w:t>
      </w:r>
      <w:r w:rsidRPr="00542749">
        <w:rPr>
          <w:rFonts w:ascii="Times New Roman" w:eastAsia="Times New Roman" w:hAnsi="Times New Roman" w:cs="Times New Roman"/>
          <w:color w:val="000000" w:themeColor="text1"/>
          <w:shd w:val="clear" w:color="auto" w:fill="FFFFFF"/>
          <w:lang w:val="en-US" w:eastAsia="it-IT"/>
        </w:rPr>
        <w:t>®</w:t>
      </w:r>
      <w:r w:rsidRPr="00542749">
        <w:rPr>
          <w:rFonts w:ascii="Times New Roman" w:hAnsi="Times New Roman" w:cs="Times New Roman"/>
          <w:color w:val="000000" w:themeColor="text1"/>
          <w:lang w:val="en-US"/>
        </w:rPr>
        <w:t xml:space="preserve"> platform in  FFPE tumor samples across cancer types</w:t>
      </w:r>
      <w:r w:rsidR="00CB28A0" w:rsidRPr="00542749">
        <w:rPr>
          <w:rFonts w:ascii="Times New Roman" w:hAnsi="Times New Roman" w:cs="Times New Roman"/>
          <w:color w:val="000000" w:themeColor="text1"/>
          <w:lang w:val="en-US"/>
        </w:rPr>
        <w:t>, as in our previous publication</w:t>
      </w:r>
      <w:r w:rsidR="00CB28A0" w:rsidRPr="00542749">
        <w:rPr>
          <w:rFonts w:ascii="Times New Roman" w:hAnsi="Times New Roman" w:cs="Times New Roman"/>
          <w:color w:val="000000" w:themeColor="text1"/>
          <w:vertAlign w:val="superscript"/>
          <w:lang w:val="en-US"/>
        </w:rPr>
        <w:t>5</w:t>
      </w:r>
      <w:r w:rsidRPr="00542749">
        <w:rPr>
          <w:rFonts w:ascii="Times New Roman" w:hAnsi="Times New Roman" w:cs="Times New Roman"/>
          <w:color w:val="000000" w:themeColor="text1"/>
          <w:lang w:val="en-US"/>
        </w:rPr>
        <w:t>. Methods for RNA extraction, quality assessment and gene expression analysis have been elsewhere described</w:t>
      </w:r>
      <w:r w:rsidRPr="00542749">
        <w:rPr>
          <w:rFonts w:ascii="Times New Roman" w:hAnsi="Times New Roman" w:cs="Times New Roman"/>
          <w:color w:val="000000" w:themeColor="text1"/>
        </w:rPr>
        <w:fldChar w:fldCharType="begin"/>
      </w:r>
      <w:r w:rsidR="00942B18" w:rsidRPr="00542749">
        <w:rPr>
          <w:rFonts w:ascii="Times New Roman" w:hAnsi="Times New Roman" w:cs="Times New Roman"/>
          <w:color w:val="000000" w:themeColor="text1"/>
          <w:lang w:val="en-US"/>
        </w:rPr>
        <w:instrText xml:space="preserve"> ADDIN ZOTERO_ITEM CSL_CITATION {"citationID":"D7yZfIoN","properties":{"formattedCitation":"\\super 5\\nosupersub{}","plainCitation":"5","noteIndex":0},"citationItems":[{"id":2193,"uris":["http://zotero.org/users/local/NnLPOo6K/items/KVN5LLUC"],"itemData":{"id":2193,"type":"article-journal","abstract":"Background: We hypothesized that the abundance of PD1 mRNA in tumor samples might explain the differences in overall response rates (ORR) observed following anti-PD1 monotherapy across cancer types.\nPatients and methods: RNASeqv2 data from 10 078 tumor samples representing 34 different cancer types was analyzed from TCGA. Eighteen immune-related gene signatures and 547 immune-related genes, including PD1, were explored. Correlations between each gene/signature and ORRs reported in the literature following anti-PD1 monotherapy were calculated. To translate the in silico findings to the clinical setting, we analyzed the expression of PD1 mRNA using the nCounter platform in 773 formalin-fixed paraffin embedded (FFPE) tumor samples across 17 cancer types. To test the direct relationship between PD1 mRNA, PDL1 immunohistochemistry (IHC), stromal tumor-infiltrating lymphocytes (sTILs) and ORR, we evaluated an independent FFPE-based dataset of 117 patients with advanced disease treated with anti-PD1 monotherapy.\nResults: In pan-cancer TCGA, PD1 mRNA expression was found strongly correlated (r &gt; 0.80) with CD8 T-cell genes and signatures and the proportion of PD1 mRNA-high tumors (80th percentile) within a given cancer type was variable (0%-84%). Strikingly, the PD1-high proportions across cancer types were found strongly correlated (r = 0.91) with the ORR following anti-PD1 monotherapy reported in the literature. Lower correlations were found with other immune-related genes/signatures, including PDL1. Using the same population-based cutoff (80th percentile), similar proportions of PD1-high disease in a given cancer type were identified in our in-house 773 tumor dataset as compared with TCGA. Finally, the pre-established PD1 mRNA FFPE-based cutoff was found significantly associated with anti-PD1 response in 117 patients with advanced disease (PD1-high 51.5%, PD1-intermediate 26.6% and PD1-low 15.0%; odds ratio between PD1-high and PD1-intermediate/low = 8.31; P &lt; 0.001). In this same dataset, PDL1 tumor expression by IHC or percentage of sTILs was not found associated with response.\nConclusions: Our study provides a clinically applicable assay that links PD1 mRNA abundance, activated CD8 T-cells and anti-PD1 efficacy.","container-title":"Annals of Oncology: Official Journal of the European Society for Medical Oncology","DOI":"10.1093/annonc/mdy335","ISSN":"1569-8041","issue":"10","journalAbbreviation":"Ann Oncol","language":"eng","note":"PMID: 30165419","page":"2121-2128","source":"PubMed","title":"Association between PD1 mRNA and response to anti-PD1 monotherapy across multiple cancer types","volume":"29","author":[{"family":"Paré","given":"L."},{"family":"Pascual","given":"T."},{"family":"Seguí","given":"E."},{"family":"Teixidó","given":"C."},{"family":"Gonzalez-Cao","given":"M."},{"family":"Galván","given":"P."},{"family":"Rodríguez","given":"A."},{"family":"González","given":"B."},{"family":"Cuatrecasas","given":"M."},{"family":"Pineda","given":"E."},{"family":"Torné","given":"A."},{"family":"Crespo","given":"G."},{"family":"Martin-Algarra","given":"S."},{"family":"Pérez-Ruiz","given":"E."},{"family":"Reig","given":"Ò"},{"family":"Viladot","given":"M."},{"family":"Font","given":"C."},{"family":"Adamo","given":"B."},{"family":"Vidal","given":"M."},{"family":"Gaba","given":"L."},{"family":"Muñoz","given":"M."},{"family":"Victoria","given":"I."},{"family":"Ruiz","given":"G."},{"family":"Viñolas","given":"N."},{"family":"Mellado","given":"B."},{"family":"Maurel","given":"J."},{"family":"Garcia-Corbacho","given":"J."},{"family":"Molina-Vila","given":"M. Á"},{"family":"Juan","given":"M."},{"family":"Llovet","given":"J. M."},{"family":"Reguart","given":"N."},{"family":"Arance","given":"A."},{"family":"Prat","given":"A."}],"issued":{"date-parts":[["2018",10,1]]}}}],"schema":"https://github.com/citation-style-language/schema/raw/master/csl-citation.json"} </w:instrText>
      </w:r>
      <w:r w:rsidRPr="00542749">
        <w:rPr>
          <w:rFonts w:ascii="Times New Roman" w:hAnsi="Times New Roman" w:cs="Times New Roman"/>
          <w:color w:val="000000" w:themeColor="text1"/>
        </w:rPr>
        <w:fldChar w:fldCharType="separate"/>
      </w:r>
      <w:r w:rsidR="00DC7E78" w:rsidRPr="00542749">
        <w:rPr>
          <w:rFonts w:ascii="Times New Roman" w:hAnsi="Times New Roman" w:cs="Times New Roman"/>
          <w:color w:val="000000" w:themeColor="text1"/>
          <w:vertAlign w:val="superscript"/>
          <w:lang w:val="en-US"/>
        </w:rPr>
        <w:t>5</w:t>
      </w:r>
      <w:r w:rsidRPr="00542749">
        <w:rPr>
          <w:rFonts w:ascii="Times New Roman" w:hAnsi="Times New Roman" w:cs="Times New Roman"/>
          <w:color w:val="000000" w:themeColor="text1"/>
        </w:rPr>
        <w:fldChar w:fldCharType="end"/>
      </w:r>
      <w:r w:rsidRPr="00542749">
        <w:rPr>
          <w:rFonts w:ascii="Times New Roman" w:hAnsi="Times New Roman" w:cs="Times New Roman"/>
          <w:color w:val="000000" w:themeColor="text1"/>
          <w:lang w:val="en-US"/>
        </w:rPr>
        <w:t>. PD-L1 in tumor tissues was analyzed</w:t>
      </w:r>
      <w:r w:rsidR="00942B18" w:rsidRPr="00542749">
        <w:rPr>
          <w:rFonts w:ascii="Times New Roman" w:hAnsi="Times New Roman" w:cs="Times New Roman"/>
          <w:color w:val="000000" w:themeColor="text1"/>
          <w:lang w:val="en-US"/>
        </w:rPr>
        <w:t xml:space="preserve"> in </w:t>
      </w:r>
      <w:r w:rsidR="00942B18" w:rsidRPr="00542749">
        <w:rPr>
          <w:rFonts w:ascii="Times New Roman" w:eastAsia="Times New Roman" w:hAnsi="Times New Roman" w:cs="Times New Roman"/>
          <w:color w:val="000000" w:themeColor="text1"/>
          <w:lang w:val="en-US" w:eastAsia="it-IT"/>
        </w:rPr>
        <w:t xml:space="preserve">FFPE tissue </w:t>
      </w:r>
      <w:r w:rsidR="00942B18" w:rsidRPr="00542749">
        <w:rPr>
          <w:rFonts w:ascii="Times New Roman" w:eastAsia="Times New Roman" w:hAnsi="Times New Roman" w:cs="Times New Roman"/>
          <w:color w:val="000000" w:themeColor="text1"/>
          <w:lang w:val="en-US" w:eastAsia="it-IT"/>
        </w:rPr>
        <w:lastRenderedPageBreak/>
        <w:t>sections</w:t>
      </w:r>
      <w:r w:rsidRPr="00542749">
        <w:rPr>
          <w:rFonts w:ascii="Times New Roman" w:hAnsi="Times New Roman" w:cs="Times New Roman"/>
          <w:color w:val="000000" w:themeColor="text1"/>
          <w:lang w:val="en-US"/>
        </w:rPr>
        <w:t xml:space="preserve"> at the HCB</w:t>
      </w:r>
      <w:r w:rsidR="00942B18" w:rsidRPr="00542749">
        <w:rPr>
          <w:rFonts w:ascii="Times New Roman" w:hAnsi="Times New Roman" w:cs="Times New Roman"/>
          <w:color w:val="000000" w:themeColor="text1"/>
          <w:lang w:val="en-US"/>
        </w:rPr>
        <w:t xml:space="preserve"> as </w:t>
      </w:r>
      <w:r w:rsidR="00942B18" w:rsidRPr="00542749">
        <w:rPr>
          <w:rFonts w:ascii="Times New Roman" w:hAnsi="Times New Roman" w:cs="Times New Roman"/>
          <w:i/>
          <w:iCs/>
          <w:color w:val="000000" w:themeColor="text1"/>
          <w:lang w:val="en-US"/>
        </w:rPr>
        <w:t>per</w:t>
      </w:r>
      <w:r w:rsidR="00942B18" w:rsidRPr="00542749">
        <w:rPr>
          <w:rFonts w:ascii="Times New Roman" w:hAnsi="Times New Roman" w:cs="Times New Roman"/>
          <w:color w:val="000000" w:themeColor="text1"/>
          <w:lang w:val="en-US"/>
        </w:rPr>
        <w:t xml:space="preserve"> clinical practice,</w:t>
      </w:r>
      <w:r w:rsidRPr="00542749">
        <w:rPr>
          <w:rFonts w:ascii="Times New Roman" w:hAnsi="Times New Roman" w:cs="Times New Roman"/>
          <w:color w:val="000000" w:themeColor="text1"/>
          <w:lang w:val="en-US"/>
        </w:rPr>
        <w:t xml:space="preserve"> </w:t>
      </w:r>
      <w:r w:rsidRPr="00542749">
        <w:rPr>
          <w:rFonts w:ascii="Times New Roman" w:eastAsia="Times New Roman" w:hAnsi="Times New Roman" w:cs="Times New Roman"/>
          <w:color w:val="000000" w:themeColor="text1"/>
          <w:lang w:val="en-US" w:eastAsia="it-IT"/>
        </w:rPr>
        <w:t xml:space="preserve">using the </w:t>
      </w:r>
      <w:r w:rsidR="0096421B" w:rsidRPr="00542749">
        <w:rPr>
          <w:rFonts w:ascii="Times New Roman" w:hAnsi="Times New Roman" w:cs="Times New Roman"/>
          <w:color w:val="000000" w:themeColor="text1"/>
          <w:lang w:val="en-US"/>
        </w:rPr>
        <w:t xml:space="preserve">mouse monoclonal antibody 22C3 (Dako) </w:t>
      </w:r>
      <w:r w:rsidRPr="00542749">
        <w:rPr>
          <w:rFonts w:ascii="Times New Roman" w:eastAsia="Times New Roman" w:hAnsi="Times New Roman" w:cs="Times New Roman"/>
          <w:color w:val="000000" w:themeColor="text1"/>
          <w:lang w:val="en-US" w:eastAsia="it-IT"/>
        </w:rPr>
        <w:t>anti-PD-L1 monoclonal antibody</w:t>
      </w:r>
      <w:r w:rsidR="0096421B" w:rsidRPr="00542749">
        <w:rPr>
          <w:rFonts w:ascii="Times New Roman" w:eastAsia="Times New Roman" w:hAnsi="Times New Roman" w:cs="Times New Roman"/>
          <w:color w:val="000000" w:themeColor="text1"/>
          <w:lang w:val="en-US" w:eastAsia="it-IT"/>
        </w:rPr>
        <w:t xml:space="preserve"> on a Dako Autostainer, </w:t>
      </w:r>
      <w:r w:rsidRPr="00542749">
        <w:rPr>
          <w:rFonts w:ascii="Times New Roman" w:eastAsia="Times New Roman" w:hAnsi="Times New Roman" w:cs="Times New Roman"/>
          <w:color w:val="000000" w:themeColor="text1"/>
          <w:lang w:val="en-US" w:eastAsia="it-IT"/>
        </w:rPr>
        <w:t xml:space="preserve">following manufacturer’s recommendations. PD-L1 immunohistochemical (IHC) expression </w:t>
      </w:r>
      <w:r w:rsidR="001E300D" w:rsidRPr="00542749">
        <w:rPr>
          <w:rFonts w:ascii="Times New Roman" w:eastAsia="Times New Roman" w:hAnsi="Times New Roman" w:cs="Times New Roman"/>
          <w:color w:val="000000" w:themeColor="text1"/>
          <w:lang w:val="en-US" w:eastAsia="it-IT"/>
        </w:rPr>
        <w:t>in non</w:t>
      </w:r>
      <w:r w:rsidR="000D0C0F" w:rsidRPr="00542749">
        <w:rPr>
          <w:rFonts w:ascii="Times New Roman" w:eastAsia="Times New Roman" w:hAnsi="Times New Roman" w:cs="Times New Roman"/>
          <w:color w:val="000000" w:themeColor="text1"/>
          <w:lang w:val="en-US" w:eastAsia="it-IT"/>
        </w:rPr>
        <w:t xml:space="preserve"> </w:t>
      </w:r>
      <w:r w:rsidR="001E300D" w:rsidRPr="00542749">
        <w:rPr>
          <w:rFonts w:ascii="Times New Roman" w:eastAsia="Times New Roman" w:hAnsi="Times New Roman" w:cs="Times New Roman"/>
          <w:color w:val="000000" w:themeColor="text1"/>
          <w:lang w:val="en-US" w:eastAsia="it-IT"/>
        </w:rPr>
        <w:t xml:space="preserve">small-cell lung cancer (NSCLC) </w:t>
      </w:r>
      <w:r w:rsidRPr="00542749">
        <w:rPr>
          <w:rFonts w:ascii="Times New Roman" w:eastAsia="Times New Roman" w:hAnsi="Times New Roman" w:cs="Times New Roman"/>
          <w:color w:val="000000" w:themeColor="text1"/>
          <w:lang w:val="en-US" w:eastAsia="it-IT"/>
        </w:rPr>
        <w:t>was evaluated in tumor cells</w:t>
      </w:r>
      <w:r w:rsidR="00897136" w:rsidRPr="00542749">
        <w:rPr>
          <w:rFonts w:ascii="Times New Roman" w:eastAsia="Times New Roman" w:hAnsi="Times New Roman" w:cs="Times New Roman"/>
          <w:color w:val="000000" w:themeColor="text1"/>
          <w:lang w:val="en-US" w:eastAsia="it-IT"/>
        </w:rPr>
        <w:t xml:space="preserve"> </w:t>
      </w:r>
      <w:r w:rsidR="001E300D" w:rsidRPr="00542749">
        <w:rPr>
          <w:rFonts w:ascii="Times New Roman" w:eastAsia="Times New Roman" w:hAnsi="Times New Roman" w:cs="Times New Roman"/>
          <w:color w:val="000000" w:themeColor="text1"/>
          <w:lang w:val="en-US" w:eastAsia="it-IT"/>
        </w:rPr>
        <w:t xml:space="preserve">to obtain a </w:t>
      </w:r>
      <w:r w:rsidRPr="00542749">
        <w:rPr>
          <w:rFonts w:ascii="Times New Roman" w:eastAsia="Times New Roman" w:hAnsi="Times New Roman" w:cs="Times New Roman"/>
          <w:color w:val="000000" w:themeColor="text1"/>
          <w:lang w:val="en-US" w:eastAsia="it-IT"/>
        </w:rPr>
        <w:t>tumor proportion score (TPS)</w:t>
      </w:r>
      <w:r w:rsidR="001E300D" w:rsidRPr="00542749">
        <w:rPr>
          <w:rFonts w:ascii="Times New Roman" w:eastAsia="Times New Roman" w:hAnsi="Times New Roman" w:cs="Times New Roman"/>
          <w:color w:val="000000" w:themeColor="text1"/>
          <w:lang w:val="en-US" w:eastAsia="it-IT"/>
        </w:rPr>
        <w:t xml:space="preserve"> identifying the % of tumor cells expressing PD-L1, as </w:t>
      </w:r>
      <w:r w:rsidR="001E300D" w:rsidRPr="00542749">
        <w:rPr>
          <w:rFonts w:ascii="Times New Roman" w:eastAsia="Times New Roman" w:hAnsi="Times New Roman" w:cs="Times New Roman"/>
          <w:i/>
          <w:iCs/>
          <w:color w:val="000000" w:themeColor="text1"/>
          <w:lang w:val="en-US" w:eastAsia="it-IT"/>
        </w:rPr>
        <w:t xml:space="preserve">per </w:t>
      </w:r>
      <w:r w:rsidR="001E300D" w:rsidRPr="00542749">
        <w:rPr>
          <w:rFonts w:ascii="Times New Roman" w:eastAsia="Times New Roman" w:hAnsi="Times New Roman" w:cs="Times New Roman"/>
          <w:color w:val="000000" w:themeColor="text1"/>
          <w:lang w:val="en-US" w:eastAsia="it-IT"/>
        </w:rPr>
        <w:t>clinical practice</w:t>
      </w:r>
      <w:r w:rsidRPr="00542749">
        <w:rPr>
          <w:rFonts w:ascii="Times New Roman" w:eastAsia="Times New Roman" w:hAnsi="Times New Roman" w:cs="Times New Roman"/>
          <w:color w:val="000000" w:themeColor="text1"/>
          <w:lang w:val="en-US" w:eastAsia="it-IT"/>
        </w:rPr>
        <w:fldChar w:fldCharType="begin"/>
      </w:r>
      <w:r w:rsidR="00942B18" w:rsidRPr="00542749">
        <w:rPr>
          <w:rFonts w:ascii="Times New Roman" w:eastAsia="Times New Roman" w:hAnsi="Times New Roman" w:cs="Times New Roman"/>
          <w:color w:val="000000" w:themeColor="text1"/>
          <w:lang w:val="en-US" w:eastAsia="it-IT"/>
        </w:rPr>
        <w:instrText xml:space="preserve"> ADDIN ZOTERO_ITEM CSL_CITATION {"citationID":"AlO3CpKx","properties":{"formattedCitation":"\\super 6\\nosupersub{}","plainCitation":"6","noteIndex":0},"citationItems":[{"id":3298,"uris":["http://zotero.org/users/local/NnLPOo6K/items/89FD2ZE7"],"itemData":{"id":3298,"type":"article-journal","abstract":"AIMS: Our laboratory is a centralised centre receiving routine non-small cell lung cancer (NSCLC) samples for programmed death ligand-1 (PD-L1) immunohistochemical (IHC) evaluation. Since literature data are not concordant here we review our clinical records to assess the rate of PD-L1 positive and negative NSCLC cases in real-world practice.\nMETHODS: PD-L1 expression was evaluated by a validated 22C3 IHC laboratory developed test on 211 prospectively collected routine NSCLC samples, received from 10 outside institutions. PD-L1 expression was assessed by the tumour proportion score (TPS) and reported by using a three cut-point system: TPS&lt;1, TPS 1%-49% and TPS≥50%.\nRESULTS: Overall, 193 out of 211 samples (91.5%) meet the criteria for adequacy (more than 100 viable neoplastic cells). In 62.7% (121/193) of samples TPS was &lt;1%; 17.6% of samples (34/193) expressed PD-L1 with a TPS of 1%-49% and 19.7% (38/193) with a TPS of &gt;50%. There was no significant difference in PD-L1 expression rates between different histotypes and site of sampling. Instead, a statistically significant difference was associated to the type of samples: in fact, cytological samples were more frequently negative for PD-L1 expression (TPS&lt;1%) and less often displayed PD-L1 expression at high levels (TPS&gt;50%) than surgical resections and biopsies.\nCONCLUSIONS: We present a referral laboratory experience on IHC PD-L1 expression of prospectively collected routine NSCLC samples. Data from the real-world practice can better clarify the percentage of PD-L1 positive and negative cases, to establish benchmarks for good practice standards.","container-title":"Journal of Clinical Pathology","DOI":"10.1136/jclinpath-2019-205732","ISSN":"1472-4146","issue":"6","journalAbbreviation":"J Clin Pathol","language":"eng","note":"PMID: 30846480","page":"412-417","source":"PubMed","title":"PD-L1 expression on routine samples of non-small cell lung cancer: results and critical issues from a 1-year experience of a centralised laboratory","title-short":"PD-L1 expression on routine samples of non-small cell lung cancer","volume":"72","author":[{"family":"Vigliar","given":"Elena"},{"family":"Malapelle","given":"Umberto"},{"family":"Iaccarino","given":"Antonino"},{"family":"Acanfora","given":"Gennaro"},{"family":"Pisapia","given":"Pasquale"},{"family":"Clery","given":"Eduardo"},{"family":"De Luca","given":"Caterina"},{"family":"Bellevicine","given":"Claudio"},{"family":"Troncone","given":"Giancarlo"}],"issued":{"date-parts":[["2019",6]]}}}],"schema":"https://github.com/citation-style-language/schema/raw/master/csl-citation.json"} </w:instrText>
      </w:r>
      <w:r w:rsidRPr="00542749">
        <w:rPr>
          <w:rFonts w:ascii="Times New Roman" w:eastAsia="Times New Roman" w:hAnsi="Times New Roman" w:cs="Times New Roman"/>
          <w:color w:val="000000" w:themeColor="text1"/>
          <w:lang w:val="en-US" w:eastAsia="it-IT"/>
        </w:rPr>
        <w:fldChar w:fldCharType="separate"/>
      </w:r>
      <w:r w:rsidR="00DC7E78" w:rsidRPr="00542749">
        <w:rPr>
          <w:rFonts w:ascii="Times New Roman" w:hAnsi="Times New Roman" w:cs="Times New Roman"/>
          <w:color w:val="000000" w:themeColor="text1"/>
          <w:vertAlign w:val="superscript"/>
          <w:lang w:val="en-US"/>
        </w:rPr>
        <w:t>6</w:t>
      </w:r>
      <w:r w:rsidRPr="00542749">
        <w:rPr>
          <w:rFonts w:ascii="Times New Roman" w:eastAsia="Times New Roman" w:hAnsi="Times New Roman" w:cs="Times New Roman"/>
          <w:color w:val="000000" w:themeColor="text1"/>
          <w:lang w:val="en-US" w:eastAsia="it-IT"/>
        </w:rPr>
        <w:fldChar w:fldCharType="end"/>
      </w:r>
      <w:r w:rsidRPr="00542749">
        <w:rPr>
          <w:rFonts w:ascii="Times New Roman" w:eastAsia="Times New Roman" w:hAnsi="Times New Roman" w:cs="Times New Roman"/>
          <w:color w:val="000000" w:themeColor="text1"/>
          <w:lang w:val="en-US" w:eastAsia="it-IT"/>
        </w:rPr>
        <w:t>.</w:t>
      </w:r>
      <w:r w:rsidR="001E300D" w:rsidRPr="00542749">
        <w:rPr>
          <w:rFonts w:ascii="Times New Roman" w:eastAsia="Times New Roman" w:hAnsi="Times New Roman" w:cs="Times New Roman"/>
          <w:color w:val="000000" w:themeColor="text1"/>
          <w:lang w:val="en-US" w:eastAsia="it-IT"/>
        </w:rPr>
        <w:t xml:space="preserve"> In all other tumors where PD-L1 positivity was tested</w:t>
      </w:r>
      <w:r w:rsidR="00AD3224" w:rsidRPr="00542749">
        <w:rPr>
          <w:rFonts w:ascii="Times New Roman" w:eastAsia="Times New Roman" w:hAnsi="Times New Roman" w:cs="Times New Roman"/>
          <w:color w:val="000000" w:themeColor="text1"/>
          <w:lang w:val="en-US" w:eastAsia="it-IT"/>
        </w:rPr>
        <w:t xml:space="preserve"> (14/46 cases, 30%)</w:t>
      </w:r>
      <w:r w:rsidR="001E300D" w:rsidRPr="00542749">
        <w:rPr>
          <w:rFonts w:ascii="Times New Roman" w:eastAsia="Times New Roman" w:hAnsi="Times New Roman" w:cs="Times New Roman"/>
          <w:color w:val="000000" w:themeColor="text1"/>
          <w:lang w:val="en-US" w:eastAsia="it-IT"/>
        </w:rPr>
        <w:t>,</w:t>
      </w:r>
      <w:r w:rsidR="00CB28A0" w:rsidRPr="00542749">
        <w:rPr>
          <w:rFonts w:ascii="Times New Roman" w:eastAsia="Times New Roman" w:hAnsi="Times New Roman" w:cs="Times New Roman"/>
          <w:color w:val="000000" w:themeColor="text1"/>
          <w:lang w:val="en-US" w:eastAsia="it-IT"/>
        </w:rPr>
        <w:t xml:space="preserve"> the combined positive score (CPS) was used</w:t>
      </w:r>
      <w:r w:rsidR="000B488E" w:rsidRPr="00542749">
        <w:rPr>
          <w:rFonts w:ascii="Times New Roman" w:eastAsia="Times New Roman" w:hAnsi="Times New Roman" w:cs="Times New Roman"/>
          <w:color w:val="000000" w:themeColor="text1"/>
          <w:lang w:val="en-US" w:eastAsia="it-IT"/>
        </w:rPr>
        <w:t xml:space="preserve"> to assess PD-L1 status,</w:t>
      </w:r>
      <w:r w:rsidR="00CB28A0" w:rsidRPr="00542749">
        <w:rPr>
          <w:rFonts w:ascii="Times New Roman" w:eastAsia="Times New Roman" w:hAnsi="Times New Roman" w:cs="Times New Roman"/>
          <w:color w:val="000000" w:themeColor="text1"/>
          <w:lang w:val="en-US" w:eastAsia="it-IT"/>
        </w:rPr>
        <w:t xml:space="preserve"> as </w:t>
      </w:r>
      <w:r w:rsidR="00CB28A0" w:rsidRPr="00542749">
        <w:rPr>
          <w:rFonts w:ascii="Times New Roman" w:eastAsia="Times New Roman" w:hAnsi="Times New Roman" w:cs="Times New Roman"/>
          <w:i/>
          <w:iCs/>
          <w:color w:val="000000" w:themeColor="text1"/>
          <w:lang w:val="en-US" w:eastAsia="it-IT"/>
        </w:rPr>
        <w:t>per</w:t>
      </w:r>
      <w:r w:rsidR="00CB28A0" w:rsidRPr="00542749">
        <w:rPr>
          <w:rFonts w:ascii="Times New Roman" w:eastAsia="Times New Roman" w:hAnsi="Times New Roman" w:cs="Times New Roman"/>
          <w:color w:val="000000" w:themeColor="text1"/>
          <w:lang w:val="en-US" w:eastAsia="it-IT"/>
        </w:rPr>
        <w:t xml:space="preserve"> clinical practice. The CPS is defined as the</w:t>
      </w:r>
      <w:r w:rsidR="00CB28A0" w:rsidRPr="00542749">
        <w:rPr>
          <w:rFonts w:ascii="Times New Roman" w:eastAsia="Times New Roman" w:hAnsi="Times New Roman" w:cs="Times New Roman"/>
          <w:color w:val="000000" w:themeColor="text1"/>
          <w:lang w:eastAsia="it-IT"/>
        </w:rPr>
        <w:t xml:space="preserve"> total number of tumor cells and immune cells stained with PD-L1</w:t>
      </w:r>
      <w:r w:rsidR="00CB28A0" w:rsidRPr="00542749">
        <w:rPr>
          <w:rFonts w:ascii="Times New Roman" w:eastAsia="Times New Roman" w:hAnsi="Times New Roman" w:cs="Times New Roman"/>
          <w:color w:val="000000" w:themeColor="text1"/>
          <w:lang w:val="en-US" w:eastAsia="it-IT"/>
        </w:rPr>
        <w:t>,</w:t>
      </w:r>
      <w:r w:rsidR="00CB28A0" w:rsidRPr="00542749">
        <w:rPr>
          <w:rFonts w:ascii="Times New Roman" w:eastAsia="Times New Roman" w:hAnsi="Times New Roman" w:cs="Times New Roman"/>
          <w:color w:val="000000" w:themeColor="text1"/>
          <w:lang w:eastAsia="it-IT"/>
        </w:rPr>
        <w:t xml:space="preserve"> divided by the number of all viable tumor cells, then multiplied by 100</w:t>
      </w:r>
      <w:r w:rsidR="00CB28A0" w:rsidRPr="00542749">
        <w:rPr>
          <w:rFonts w:ascii="Times New Roman" w:eastAsia="Times New Roman" w:hAnsi="Times New Roman" w:cs="Times New Roman"/>
          <w:color w:val="000000" w:themeColor="text1"/>
          <w:lang w:val="en-US" w:eastAsia="it-IT"/>
        </w:rPr>
        <w:fldChar w:fldCharType="begin"/>
      </w:r>
      <w:r w:rsidR="00CB28A0" w:rsidRPr="00542749">
        <w:rPr>
          <w:rFonts w:ascii="Times New Roman" w:eastAsia="Times New Roman" w:hAnsi="Times New Roman" w:cs="Times New Roman"/>
          <w:color w:val="000000" w:themeColor="text1"/>
          <w:lang w:val="en-US" w:eastAsia="it-IT"/>
        </w:rPr>
        <w:instrText xml:space="preserve"> ADDIN ZOTERO_ITEM CSL_CITATION {"citationID":"SdF5pSlJ","properties":{"formattedCitation":"\\super 6,7\\nosupersub{}","plainCitation":"6,7","noteIndex":0},"citationItems":[{"id":3298,"uris":["http://zotero.org/users/local/NnLPOo6K/items/89FD2ZE7"],"itemData":{"id":3298,"type":"article-journal","abstract":"AIMS: Our laboratory is a centralised centre receiving routine non-small cell lung cancer (NSCLC) samples for programmed death ligand-1 (PD-L1) immunohistochemical (IHC) evaluation. Since literature data are not concordant here we review our clinical records to assess the rate of PD-L1 positive and negative NSCLC cases in real-world practice.\nMETHODS: PD-L1 expression was evaluated by a validated 22C3 IHC laboratory developed test on 211 prospectively collected routine NSCLC samples, received from 10 outside institutions. PD-L1 expression was assessed by the tumour proportion score (TPS) and reported by using a three cut-point system: TPS&lt;1, TPS 1%-49% and TPS≥50%.\nRESULTS: Overall, 193 out of 211 samples (91.5%) meet the criteria for adequacy (more than 100 viable neoplastic cells). In 62.7% (121/193) of samples TPS was &lt;1%; 17.6% of samples (34/193) expressed PD-L1 with a TPS of 1%-49% and 19.7% (38/193) with a TPS of &gt;50%. There was no significant difference in PD-L1 expression rates between different histotypes and site of sampling. Instead, a statistically significant difference was associated to the type of samples: in fact, cytological samples were more frequently negative for PD-L1 expression (TPS&lt;1%) and less often displayed PD-L1 expression at high levels (TPS&gt;50%) than surgical resections and biopsies.\nCONCLUSIONS: We present a referral laboratory experience on IHC PD-L1 expression of prospectively collected routine NSCLC samples. Data from the real-world practice can better clarify the percentage of PD-L1 positive and negative cases, to establish benchmarks for good practice standards.","container-title":"Journal of Clinical Pathology","DOI":"10.1136/jclinpath-2019-205732","ISSN":"1472-4146","issue":"6","journalAbbreviation":"J Clin Pathol","language":"eng","note":"PMID: 30846480","page":"412-417","source":"PubMed","title":"PD-L1 expression on routine samples of non-small cell lung cancer: results and critical issues from a 1-year experience of a centralised laboratory","title-short":"PD-L1 expression on routine samples of non-small cell lung cancer","volume":"72","author":[{"family":"Vigliar","given":"Elena"},{"family":"Malapelle","given":"Umberto"},{"family":"Iaccarino","given":"Antonino"},{"family":"Acanfora","given":"Gennaro"},{"family":"Pisapia","given":"Pasquale"},{"family":"Clery","given":"Eduardo"},{"family":"De Luca","given":"Caterina"},{"family":"Bellevicine","given":"Claudio"},{"family":"Troncone","given":"Giancarlo"}],"issued":{"date-parts":[["2019",6]]}}},{"id":2996,"uris":["http://zotero.org/users/local/NnLPOo6K/items/MP8EWENL"],"itemData":{"id":2996,"type":"article-journal","abstract":"IntroductionOlaparib is effective in metastatic triple negative breast cancer (TNBC) carrying germline mutations in DNA damage repair (DDR) genes BRCA1/2 (gBRCA-mut). The OLTRE window-of-opportunity trial preliminarily investigated potential pathologic, radiometabolic and immune biomarkers of early-response to olaparib in gBRCA-wild-type (wt) TNBC and, as proof-of-concept in gBRCA-mut HER2-negative BC.MethodsPatients received olaparib for 3 weeks (3w) before standard neoadjuvant chemotherapy and underwent multiple FDG18-PET/CT scan (basal, after olaparib), clinical assessments (basal, every 3w), tumor biopsies and blood samplings (baseline, after olaparib). Clinical and radiometabolic responses were evaluated according to RECIST1.1 and PERCIST criteria.Results27 patients with gBRCA-wt TNBC and 8 with gBRCA-mut BC (6 TNBC, 2 HR+/HER2-negative) were enrolled. Three (11.1%) patients showed mutations in non-BRCA1/2 DDR genes and 4 (14.8%) in other genes. 3w olaparib induced 16/35 and 15/27 partial clinical and radiometabolic responses, including in 40.7% and 50.0% gBRCA-wt patients. gBRCA-mut tumors presented numerically higher tumor-infiltrating lymphocytes (TILs) levels and PD-L1 positive tumors. Clinical responders experienced a reduction in T-regs/T-eff ratio (p=0.05), B and NK lymphocytes (p=0.003 both), with an average increase in T-helpers rate (p&lt;0.001) and CD4/CD8 ratio (p=0.02). Ki67% and TILs did not vary significantly (p=0.67 and p=0.77). A numerical increase in PD-L1 positive cases after olaparib was observed, though non-significant (p=0.134). No differences were observed according to gBRCA status and type of response.ConclusionsEarly-stage TNBC might be a target population for olaparib, irrespective of gBRCA mutations. Future trials should combine TILs, PD-L1 and gBRCA status to better identify candidates for escalated/de-escalated treatment strategies including olaparib.","container-title":"Frontiers in Oncology","DOI":"10.3389/fonc.2021.686776","ISSN":"2234-943X","journalAbbreviation":"Frontiers in Oncology","page":"2496","title":"Clinical, Radiometabolic and Immunologic Effects of Olaparib in Locally Advanced Triple Negative Breast Cancer: The OLTRE Window of Opportunity Trial","volume":"11","author":[{"family":"Schettini","given":"Francesco"},{"family":"Corona","given":"Silvia Paola"},{"family":"Giudici","given":"Fabiola"},{"family":"Strina","given":"Carla"},{"family":"Sirico","given":"Marianna"},{"family":"Bernocchi","given":"Ottavia"},{"family":"Milani","given":"Manuela"},{"family":"Ziglioli","given":"Nicoletta"},{"family":"Aguggini","given":"Sergio"},{"family":"Azzini","given":"Carlo"},{"family":"Barbieri","given":"Giuseppina"},{"family":"Cervoni","given":"Valeria"},{"family":"Cappelletti","given":"Maria Rosa"},{"family":"Molteni","given":"Alfredo"},{"family":"Lazzari","given":"Maria Chiara"},{"family":"Ferrero","given":"Giuseppina"},{"family":"Ungari","given":"Marco"},{"family":"Marasco","given":"Elena"},{"family":"Bruson","given":"Alice"},{"family":"Xumerle","given":"Luciano"},{"family":"Zago","given":"Elisa"},{"family":"Cerra","given":"Davide"},{"family":"Loddo","given":"Marco"},{"family":"Williams","given":"Gareth H."},{"family":"Paris","given":"Ida"},{"family":"Scambia","given":"Giovanni"},{"family":"Generali","given":"Daniele"}],"issued":{"date-parts":[["2021"]]}}}],"schema":"https://github.com/citation-style-language/schema/raw/master/csl-citation.json"} </w:instrText>
      </w:r>
      <w:r w:rsidR="00CB28A0" w:rsidRPr="00542749">
        <w:rPr>
          <w:rFonts w:ascii="Times New Roman" w:eastAsia="Times New Roman" w:hAnsi="Times New Roman" w:cs="Times New Roman"/>
          <w:color w:val="000000" w:themeColor="text1"/>
          <w:lang w:val="en-US" w:eastAsia="it-IT"/>
        </w:rPr>
        <w:fldChar w:fldCharType="separate"/>
      </w:r>
      <w:r w:rsidR="00CB28A0" w:rsidRPr="00542749">
        <w:rPr>
          <w:rFonts w:ascii="Times New Roman" w:hAnsi="Times New Roman" w:cs="Times New Roman"/>
          <w:color w:val="000000" w:themeColor="text1"/>
          <w:vertAlign w:val="superscript"/>
          <w:lang w:val="en-US"/>
        </w:rPr>
        <w:t>7</w:t>
      </w:r>
      <w:r w:rsidR="00CB28A0" w:rsidRPr="00542749">
        <w:rPr>
          <w:rFonts w:ascii="Times New Roman" w:eastAsia="Times New Roman" w:hAnsi="Times New Roman" w:cs="Times New Roman"/>
          <w:color w:val="000000" w:themeColor="text1"/>
          <w:lang w:val="en-US" w:eastAsia="it-IT"/>
        </w:rPr>
        <w:fldChar w:fldCharType="end"/>
      </w:r>
      <w:r w:rsidR="00CB28A0" w:rsidRPr="00542749">
        <w:rPr>
          <w:rFonts w:ascii="Times New Roman" w:eastAsia="Times New Roman" w:hAnsi="Times New Roman" w:cs="Times New Roman"/>
          <w:color w:val="000000" w:themeColor="text1"/>
          <w:lang w:val="en-US" w:eastAsia="it-IT"/>
        </w:rPr>
        <w:t>.</w:t>
      </w:r>
      <w:r w:rsidR="00632445" w:rsidRPr="00542749">
        <w:rPr>
          <w:rFonts w:ascii="Times New Roman" w:eastAsia="Times New Roman" w:hAnsi="Times New Roman" w:cs="Times New Roman"/>
          <w:color w:val="000000" w:themeColor="text1"/>
          <w:lang w:val="en-US" w:eastAsia="it-IT"/>
        </w:rPr>
        <w:t xml:space="preserve"> It has been previously demonstrated that PD-L1 TPS and CPS are highly concordant in NSCLC</w:t>
      </w:r>
      <w:r w:rsidR="00632445" w:rsidRPr="00542749">
        <w:rPr>
          <w:rFonts w:ascii="Times New Roman" w:eastAsia="Times New Roman" w:hAnsi="Times New Roman" w:cs="Times New Roman"/>
          <w:color w:val="000000" w:themeColor="text1"/>
          <w:vertAlign w:val="superscript"/>
          <w:lang w:val="en-US" w:eastAsia="it-IT"/>
        </w:rPr>
        <w:t>8</w:t>
      </w:r>
      <w:r w:rsidR="000D0C0F" w:rsidRPr="00542749">
        <w:rPr>
          <w:rFonts w:ascii="Times New Roman" w:eastAsia="Times New Roman" w:hAnsi="Times New Roman" w:cs="Times New Roman"/>
          <w:color w:val="000000" w:themeColor="text1"/>
          <w:lang w:val="en-US" w:eastAsia="it-IT"/>
        </w:rPr>
        <w:t xml:space="preserve">, therefore we jointed PD-L1 scores for the purpose of this exploratory analysis. </w:t>
      </w:r>
    </w:p>
    <w:p w14:paraId="7CDF379D" w14:textId="77777777" w:rsidR="00B90741" w:rsidRPr="00542749" w:rsidRDefault="00B90741" w:rsidP="00B8200D">
      <w:pPr>
        <w:spacing w:line="360" w:lineRule="auto"/>
        <w:jc w:val="both"/>
        <w:rPr>
          <w:rFonts w:ascii="Times New Roman" w:hAnsi="Times New Roman" w:cs="Times New Roman"/>
          <w:color w:val="000000" w:themeColor="text1"/>
          <w:lang w:val="en-US"/>
        </w:rPr>
      </w:pPr>
    </w:p>
    <w:p w14:paraId="1A658F5A" w14:textId="71AC15FA" w:rsidR="00B90741" w:rsidRPr="00542749" w:rsidRDefault="00B90741" w:rsidP="00B8200D">
      <w:pPr>
        <w:pStyle w:val="Heading2"/>
        <w:spacing w:before="0" w:line="360" w:lineRule="auto"/>
        <w:jc w:val="both"/>
        <w:rPr>
          <w:rFonts w:ascii="Times New Roman" w:hAnsi="Times New Roman" w:cs="Times New Roman"/>
          <w:b/>
          <w:bCs/>
          <w:color w:val="000000" w:themeColor="text1"/>
          <w:sz w:val="24"/>
          <w:szCs w:val="24"/>
          <w:lang w:val="en-US"/>
        </w:rPr>
      </w:pPr>
      <w:bookmarkStart w:id="3" w:name="_Toc121843844"/>
      <w:r w:rsidRPr="00542749">
        <w:rPr>
          <w:rFonts w:ascii="Times New Roman" w:hAnsi="Times New Roman" w:cs="Times New Roman"/>
          <w:b/>
          <w:bCs/>
          <w:color w:val="000000" w:themeColor="text1"/>
          <w:sz w:val="24"/>
          <w:szCs w:val="24"/>
          <w:lang w:val="en-US"/>
        </w:rPr>
        <w:t xml:space="preserve">Study endpoints and outcomes </w:t>
      </w:r>
      <w:r w:rsidR="00234A56" w:rsidRPr="00542749">
        <w:rPr>
          <w:rFonts w:ascii="Times New Roman" w:hAnsi="Times New Roman" w:cs="Times New Roman"/>
          <w:b/>
          <w:bCs/>
          <w:color w:val="000000" w:themeColor="text1"/>
          <w:sz w:val="24"/>
          <w:szCs w:val="24"/>
          <w:lang w:val="en-US"/>
        </w:rPr>
        <w:t>- extended</w:t>
      </w:r>
      <w:bookmarkEnd w:id="3"/>
    </w:p>
    <w:p w14:paraId="7FBBDC6F" w14:textId="77777777" w:rsidR="00215DDF" w:rsidRPr="00542749" w:rsidRDefault="00215DDF" w:rsidP="00215DDF">
      <w:pPr>
        <w:spacing w:line="360" w:lineRule="auto"/>
        <w:jc w:val="both"/>
        <w:rPr>
          <w:rFonts w:ascii="Times New Roman" w:hAnsi="Times New Roman" w:cs="Times New Roman"/>
          <w:lang w:val="en-US"/>
        </w:rPr>
      </w:pPr>
      <w:r w:rsidRPr="00542749">
        <w:rPr>
          <w:rFonts w:ascii="Times New Roman" w:hAnsi="Times New Roman" w:cs="Times New Roman"/>
          <w:lang w:val="en-US"/>
        </w:rPr>
        <w:t xml:space="preserve">There was no prespecified sample size because of the exploratory nature of this study. The accrual was terminated after 4 years, and the clinical data cut-off was established when a minimum follow-up including at least one reassessment of the disease for every included patient was reached. </w:t>
      </w:r>
    </w:p>
    <w:p w14:paraId="57B86710" w14:textId="5108F587" w:rsidR="004E4F97" w:rsidRPr="00542749" w:rsidRDefault="00B90741" w:rsidP="00B8200D">
      <w:pPr>
        <w:spacing w:line="360" w:lineRule="auto"/>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 xml:space="preserve">This study was designed to explore the potential impact of several clinical characteristics on progression-free survival (PFS), as primary endpoint, overall response rates (ORR), </w:t>
      </w:r>
      <w:r w:rsidR="004E4F97" w:rsidRPr="00542749">
        <w:rPr>
          <w:rFonts w:ascii="Times New Roman" w:hAnsi="Times New Roman" w:cs="Times New Roman"/>
          <w:color w:val="000000" w:themeColor="text1"/>
          <w:lang w:val="en-US"/>
        </w:rPr>
        <w:t>durable clinical benefit (DCB)</w:t>
      </w:r>
      <w:r w:rsidRPr="00542749">
        <w:rPr>
          <w:rFonts w:ascii="Times New Roman" w:hAnsi="Times New Roman" w:cs="Times New Roman"/>
          <w:color w:val="000000" w:themeColor="text1"/>
          <w:lang w:val="en-US"/>
        </w:rPr>
        <w:t xml:space="preserve"> and OS, as secondary endpoints. </w:t>
      </w:r>
    </w:p>
    <w:p w14:paraId="00EBEC38" w14:textId="71D243AF" w:rsidR="00D04EE9" w:rsidRPr="00542749" w:rsidRDefault="00B90741" w:rsidP="00D04EE9">
      <w:pPr>
        <w:spacing w:line="360" w:lineRule="auto"/>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The prognostic role of time-to-best response (TTBR) and duration of response (DOR) in patients achieving at least a stability of the disease was investigated. The primary features of interest were treatment line at which an anti-PD1 or PD-L1 ICI is delivered (1</w:t>
      </w:r>
      <w:r w:rsidRPr="00542749">
        <w:rPr>
          <w:rFonts w:ascii="Times New Roman" w:hAnsi="Times New Roman" w:cs="Times New Roman"/>
          <w:color w:val="000000" w:themeColor="text1"/>
          <w:vertAlign w:val="superscript"/>
          <w:lang w:val="en-US"/>
        </w:rPr>
        <w:t>st</w:t>
      </w:r>
      <w:r w:rsidRPr="00542749">
        <w:rPr>
          <w:rFonts w:ascii="Times New Roman" w:hAnsi="Times New Roman" w:cs="Times New Roman"/>
          <w:color w:val="000000" w:themeColor="text1"/>
          <w:lang w:val="en-US"/>
        </w:rPr>
        <w:t xml:space="preserve"> vs. subsequent lines), patients’ immun</w:t>
      </w:r>
      <w:r w:rsidR="00D04EE9" w:rsidRPr="00542749">
        <w:rPr>
          <w:rFonts w:ascii="Times New Roman" w:hAnsi="Times New Roman" w:cs="Times New Roman"/>
          <w:color w:val="000000" w:themeColor="text1"/>
          <w:lang w:val="en-US"/>
        </w:rPr>
        <w:t>otherapy</w:t>
      </w:r>
      <w:r w:rsidRPr="00542749">
        <w:rPr>
          <w:rFonts w:ascii="Times New Roman" w:hAnsi="Times New Roman" w:cs="Times New Roman"/>
          <w:color w:val="000000" w:themeColor="text1"/>
          <w:lang w:val="en-US"/>
        </w:rPr>
        <w:t>-naïve status (yes vs. no), the regimen type (ICI monotherapy vs. ICI-based combination), the ICI target (anti-PD1 vs anti-PD-L1)</w:t>
      </w:r>
      <w:r w:rsidR="006B5F49" w:rsidRPr="00542749">
        <w:rPr>
          <w:rFonts w:ascii="Times New Roman" w:hAnsi="Times New Roman" w:cs="Times New Roman"/>
          <w:color w:val="000000" w:themeColor="text1"/>
          <w:lang w:val="en-US"/>
        </w:rPr>
        <w:t>,</w:t>
      </w:r>
      <w:r w:rsidRPr="00542749">
        <w:rPr>
          <w:rFonts w:ascii="Times New Roman" w:hAnsi="Times New Roman" w:cs="Times New Roman"/>
          <w:color w:val="000000" w:themeColor="text1"/>
          <w:lang w:val="en-US"/>
        </w:rPr>
        <w:t xml:space="preserve"> </w:t>
      </w:r>
      <w:r w:rsidR="006B5F49" w:rsidRPr="00542749">
        <w:rPr>
          <w:rFonts w:ascii="Times New Roman" w:hAnsi="Times New Roman" w:cs="Times New Roman"/>
          <w:color w:val="000000" w:themeColor="text1"/>
          <w:lang w:val="en-US"/>
        </w:rPr>
        <w:t>having received radiotherapy (RT), systemic antibiotics (ATB) or corticosteroids</w:t>
      </w:r>
      <w:r w:rsidR="004D0226" w:rsidRPr="00542749">
        <w:rPr>
          <w:rFonts w:ascii="Times New Roman" w:hAnsi="Times New Roman" w:cs="Times New Roman"/>
          <w:color w:val="000000" w:themeColor="text1"/>
          <w:lang w:val="en-US"/>
        </w:rPr>
        <w:t xml:space="preserve"> (&gt;10mg prednisone equivalent dose)</w:t>
      </w:r>
      <w:r w:rsidR="006B5F49" w:rsidRPr="00542749">
        <w:rPr>
          <w:rFonts w:ascii="Times New Roman" w:hAnsi="Times New Roman" w:cs="Times New Roman"/>
          <w:color w:val="000000" w:themeColor="text1"/>
          <w:lang w:val="en-US"/>
        </w:rPr>
        <w:t xml:space="preserve"> within 30 days before, or during ICI treatment, </w:t>
      </w:r>
      <w:r w:rsidR="00D04EE9" w:rsidRPr="00542749">
        <w:rPr>
          <w:rFonts w:ascii="Times New Roman" w:hAnsi="Times New Roman" w:cs="Times New Roman"/>
          <w:color w:val="000000" w:themeColor="text1"/>
          <w:lang w:val="en-US"/>
        </w:rPr>
        <w:t xml:space="preserve">visceral disease (yes vs. no), </w:t>
      </w:r>
      <w:r w:rsidR="006B5F49" w:rsidRPr="00542749">
        <w:rPr>
          <w:rFonts w:ascii="Times New Roman" w:hAnsi="Times New Roman" w:cs="Times New Roman"/>
          <w:color w:val="000000" w:themeColor="text1"/>
          <w:lang w:val="en-US"/>
        </w:rPr>
        <w:t>as well as</w:t>
      </w:r>
      <w:r w:rsidRPr="00542749">
        <w:rPr>
          <w:rFonts w:ascii="Times New Roman" w:hAnsi="Times New Roman" w:cs="Times New Roman"/>
          <w:color w:val="000000" w:themeColor="text1"/>
          <w:lang w:val="en-US"/>
        </w:rPr>
        <w:t xml:space="preserve"> cancer type according to the following groups: NSCLC, genitourinary (GU) tumors (prostate, kidney and urothelial bladder cancer), gastrointestinal (GI) tumors (colorectal, gastric, esophageal, pancreatic cancer and colangiocarcinoma), breast cancer + gynecological tumors, other tumors (head &amp; neck [H&amp;N], glioblastoma [GB], melanoma, rare tumors).</w:t>
      </w:r>
      <w:r w:rsidR="00D04EE9" w:rsidRPr="00542749">
        <w:rPr>
          <w:rFonts w:ascii="Times New Roman" w:hAnsi="Times New Roman" w:cs="Times New Roman"/>
          <w:color w:val="000000" w:themeColor="text1"/>
          <w:lang w:val="en-US"/>
        </w:rPr>
        <w:t xml:space="preserve"> Visceral disease was defined by the presence of metastases in at least one of the following sites: liver, lung</w:t>
      </w:r>
      <w:r w:rsidR="00636509" w:rsidRPr="00542749">
        <w:rPr>
          <w:rFonts w:ascii="Times New Roman" w:hAnsi="Times New Roman" w:cs="Times New Roman"/>
          <w:color w:val="000000" w:themeColor="text1"/>
          <w:lang w:val="en-US"/>
        </w:rPr>
        <w:t xml:space="preserve"> (excluding NSCLC)</w:t>
      </w:r>
      <w:r w:rsidR="00D04EE9" w:rsidRPr="00542749">
        <w:rPr>
          <w:rFonts w:ascii="Times New Roman" w:hAnsi="Times New Roman" w:cs="Times New Roman"/>
          <w:color w:val="000000" w:themeColor="text1"/>
          <w:lang w:val="en-US"/>
        </w:rPr>
        <w:t xml:space="preserve">, </w:t>
      </w:r>
      <w:r w:rsidR="00636509" w:rsidRPr="00542749">
        <w:rPr>
          <w:rFonts w:ascii="Times New Roman" w:hAnsi="Times New Roman" w:cs="Times New Roman"/>
          <w:color w:val="000000" w:themeColor="text1"/>
          <w:lang w:val="en-US"/>
        </w:rPr>
        <w:t xml:space="preserve">kidney (excluding primary), </w:t>
      </w:r>
      <w:r w:rsidR="00D04EE9" w:rsidRPr="00542749">
        <w:rPr>
          <w:rFonts w:ascii="Times New Roman" w:hAnsi="Times New Roman" w:cs="Times New Roman"/>
          <w:color w:val="000000" w:themeColor="text1"/>
          <w:lang w:val="en-US"/>
        </w:rPr>
        <w:t xml:space="preserve">suprarenal glands, </w:t>
      </w:r>
      <w:r w:rsidR="00636509" w:rsidRPr="00542749">
        <w:rPr>
          <w:rFonts w:ascii="Times New Roman" w:hAnsi="Times New Roman" w:cs="Times New Roman"/>
          <w:color w:val="000000" w:themeColor="text1"/>
          <w:lang w:val="en-US"/>
        </w:rPr>
        <w:t xml:space="preserve">pancreas (excluding primary), intestines (excluding primary), </w:t>
      </w:r>
      <w:r w:rsidR="00D04EE9" w:rsidRPr="00542749">
        <w:rPr>
          <w:rFonts w:ascii="Times New Roman" w:hAnsi="Times New Roman" w:cs="Times New Roman"/>
          <w:color w:val="000000" w:themeColor="text1"/>
          <w:lang w:val="en-US"/>
        </w:rPr>
        <w:t>central nervous system</w:t>
      </w:r>
      <w:r w:rsidR="00636509" w:rsidRPr="00542749">
        <w:rPr>
          <w:rFonts w:ascii="Times New Roman" w:hAnsi="Times New Roman" w:cs="Times New Roman"/>
          <w:color w:val="000000" w:themeColor="text1"/>
          <w:lang w:val="en-US"/>
        </w:rPr>
        <w:t xml:space="preserve"> (excluding GB),</w:t>
      </w:r>
      <w:r w:rsidR="00D04EE9" w:rsidRPr="00542749">
        <w:rPr>
          <w:rFonts w:ascii="Times New Roman" w:hAnsi="Times New Roman" w:cs="Times New Roman"/>
          <w:color w:val="000000" w:themeColor="text1"/>
          <w:lang w:val="en-US"/>
        </w:rPr>
        <w:t xml:space="preserve"> </w:t>
      </w:r>
      <w:r w:rsidR="00D04EE9" w:rsidRPr="00542749">
        <w:rPr>
          <w:rFonts w:ascii="Times New Roman" w:hAnsi="Times New Roman" w:cs="Times New Roman"/>
          <w:color w:val="000000" w:themeColor="text1"/>
          <w:lang w:val="en-US"/>
        </w:rPr>
        <w:lastRenderedPageBreak/>
        <w:t xml:space="preserve">or malignant ascites </w:t>
      </w:r>
      <w:r w:rsidR="00636509" w:rsidRPr="00542749">
        <w:rPr>
          <w:rFonts w:ascii="Times New Roman" w:hAnsi="Times New Roman" w:cs="Times New Roman"/>
          <w:color w:val="000000" w:themeColor="text1"/>
          <w:lang w:val="en-US"/>
        </w:rPr>
        <w:t>and/</w:t>
      </w:r>
      <w:r w:rsidR="00D04EE9" w:rsidRPr="00542749">
        <w:rPr>
          <w:rFonts w:ascii="Times New Roman" w:hAnsi="Times New Roman" w:cs="Times New Roman"/>
          <w:color w:val="000000" w:themeColor="text1"/>
          <w:lang w:val="en-US"/>
        </w:rPr>
        <w:t xml:space="preserve">or pleural effusion. Non visceral disease was defined by the presence of metastases only in </w:t>
      </w:r>
      <w:r w:rsidR="00D04EE9" w:rsidRPr="00542749">
        <w:rPr>
          <w:rFonts w:ascii="Times New Roman" w:eastAsia="Times New Roman" w:hAnsi="Times New Roman" w:cs="Times New Roman"/>
          <w:color w:val="000000" w:themeColor="text1"/>
          <w:lang w:eastAsia="it-IT"/>
        </w:rPr>
        <w:t>bone, skin, and</w:t>
      </w:r>
      <w:r w:rsidR="00D04EE9" w:rsidRPr="00542749">
        <w:rPr>
          <w:rFonts w:ascii="Times New Roman" w:eastAsia="Times New Roman" w:hAnsi="Times New Roman" w:cs="Times New Roman"/>
          <w:color w:val="000000" w:themeColor="text1"/>
          <w:lang w:val="en-US" w:eastAsia="it-IT"/>
        </w:rPr>
        <w:t xml:space="preserve">/or </w:t>
      </w:r>
      <w:r w:rsidR="00D04EE9" w:rsidRPr="00542749">
        <w:rPr>
          <w:rFonts w:ascii="Times New Roman" w:eastAsia="Times New Roman" w:hAnsi="Times New Roman" w:cs="Times New Roman"/>
          <w:color w:val="000000" w:themeColor="text1"/>
          <w:lang w:eastAsia="it-IT"/>
        </w:rPr>
        <w:t>lymphnod</w:t>
      </w:r>
      <w:r w:rsidR="00D04EE9" w:rsidRPr="00542749">
        <w:rPr>
          <w:rFonts w:ascii="Times New Roman" w:eastAsia="Times New Roman" w:hAnsi="Times New Roman" w:cs="Times New Roman"/>
          <w:color w:val="000000" w:themeColor="text1"/>
          <w:lang w:val="en-US" w:eastAsia="it-IT"/>
        </w:rPr>
        <w:t>es.</w:t>
      </w:r>
    </w:p>
    <w:p w14:paraId="1E49BD29" w14:textId="0298E62B" w:rsidR="007228D1" w:rsidRPr="00542749" w:rsidRDefault="00B90741" w:rsidP="00FF0E4C">
      <w:pPr>
        <w:spacing w:line="360" w:lineRule="auto"/>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Other secondary endpoints included a confirmation of the prognostic value of the LIPI score in terms of PFS and OS in a pan-cancer context, a characterization of TILs, PD-L1 and PD1 mRNA impact on ORR, DC</w:t>
      </w:r>
      <w:r w:rsidR="001C4F9E" w:rsidRPr="00542749">
        <w:rPr>
          <w:rFonts w:ascii="Times New Roman" w:hAnsi="Times New Roman" w:cs="Times New Roman"/>
          <w:color w:val="000000" w:themeColor="text1"/>
          <w:lang w:val="en-US"/>
        </w:rPr>
        <w:t>B</w:t>
      </w:r>
      <w:r w:rsidRPr="00542749">
        <w:rPr>
          <w:rFonts w:ascii="Times New Roman" w:hAnsi="Times New Roman" w:cs="Times New Roman"/>
          <w:color w:val="000000" w:themeColor="text1"/>
          <w:lang w:val="en-US"/>
        </w:rPr>
        <w:t xml:space="preserve">, PFS and OS in patients treated with ICI. The identification of potential prognostic or predictive blood biomarkers based on circulating immune cells is currently ongoing and will be the object of a dedicated publication. For the purpose of such analysis patients treated with ICI other than anti-PD1/PD-L1 will be considered, as well. </w:t>
      </w:r>
    </w:p>
    <w:p w14:paraId="79E7160E" w14:textId="0A39C37C" w:rsidR="00B90741" w:rsidRPr="00542749" w:rsidRDefault="00B90741" w:rsidP="00622BAC">
      <w:pPr>
        <w:pStyle w:val="NormalWeb"/>
        <w:spacing w:before="0" w:beforeAutospacing="0" w:after="0" w:afterAutospacing="0" w:line="360" w:lineRule="auto"/>
        <w:jc w:val="both"/>
      </w:pPr>
      <w:r w:rsidRPr="00542749">
        <w:rPr>
          <w:color w:val="000000" w:themeColor="text1"/>
          <w:lang w:val="en-US"/>
        </w:rPr>
        <w:t xml:space="preserve">PFS was defined as the time from ICI treatment start to disease progression or patient’s death from any cause, whichever occurred first. OS was defined as the time from ICI treatment start to patient’s death from any cause. TTBR was defined as the time from ICI treatment start to the achievement of the best response, defined as progressive disease (PD), stable disease (SD), partial response (PR) or complete response (CR) according to the RECIST 1.1 </w:t>
      </w:r>
      <w:r w:rsidR="000B488E" w:rsidRPr="00542749">
        <w:rPr>
          <w:color w:val="000000" w:themeColor="text1"/>
          <w:lang w:val="en-US"/>
        </w:rPr>
        <w:t>criteria</w:t>
      </w:r>
      <w:r w:rsidR="000B488E" w:rsidRPr="00542749">
        <w:rPr>
          <w:color w:val="000000" w:themeColor="text1"/>
          <w:vertAlign w:val="superscript"/>
          <w:lang w:val="en-US"/>
        </w:rPr>
        <w:t>9</w:t>
      </w:r>
      <w:r w:rsidRPr="00542749">
        <w:rPr>
          <w:color w:val="000000" w:themeColor="text1"/>
          <w:lang w:val="en-US"/>
        </w:rPr>
        <w:t xml:space="preserve">. DOR was defined as the time from the achievement of the best response to the time of tumor progression or patient’s death from any cause, whichever occurred first. </w:t>
      </w:r>
      <w:r w:rsidR="004159B8" w:rsidRPr="00542749">
        <w:rPr>
          <w:color w:val="000000" w:themeColor="text1"/>
          <w:lang w:val="en-US"/>
        </w:rPr>
        <w:t xml:space="preserve">ORR was defined as </w:t>
      </w:r>
      <w:r w:rsidR="004159B8" w:rsidRPr="00542749">
        <w:rPr>
          <w:lang w:val="en-US"/>
        </w:rPr>
        <w:t>the proportion of patients achieving CR and PR as their best response.</w:t>
      </w:r>
      <w:r w:rsidR="004159B8" w:rsidRPr="00542749">
        <w:t xml:space="preserve"> </w:t>
      </w:r>
      <w:r w:rsidR="004159B8" w:rsidRPr="00542749">
        <w:rPr>
          <w:lang w:val="en-US"/>
        </w:rPr>
        <w:t xml:space="preserve">DCB was </w:t>
      </w:r>
      <w:r w:rsidR="004159B8" w:rsidRPr="00542749">
        <w:t xml:space="preserve">defined as </w:t>
      </w:r>
      <w:r w:rsidR="004159B8" w:rsidRPr="00542749">
        <w:rPr>
          <w:lang w:val="en-US"/>
        </w:rPr>
        <w:t xml:space="preserve">the proportion of patients </w:t>
      </w:r>
      <w:r w:rsidR="004159B8" w:rsidRPr="00542749">
        <w:t xml:space="preserve">alive and </w:t>
      </w:r>
      <w:r w:rsidR="00CF7510" w:rsidRPr="00542749">
        <w:rPr>
          <w:lang w:val="en-US"/>
        </w:rPr>
        <w:t xml:space="preserve">with either a </w:t>
      </w:r>
      <w:r w:rsidR="004159B8" w:rsidRPr="00542749">
        <w:rPr>
          <w:lang w:val="en-US"/>
        </w:rPr>
        <w:t>CR</w:t>
      </w:r>
      <w:r w:rsidR="00CF7510" w:rsidRPr="00542749">
        <w:rPr>
          <w:lang w:val="en-US"/>
        </w:rPr>
        <w:t xml:space="preserve">, </w:t>
      </w:r>
      <w:r w:rsidR="004159B8" w:rsidRPr="00542749">
        <w:rPr>
          <w:lang w:val="en-US"/>
        </w:rPr>
        <w:t>PR</w:t>
      </w:r>
      <w:r w:rsidR="00CF7510" w:rsidRPr="00542749">
        <w:rPr>
          <w:lang w:val="en-US"/>
        </w:rPr>
        <w:t xml:space="preserve"> or </w:t>
      </w:r>
      <w:r w:rsidR="004159B8" w:rsidRPr="00542749">
        <w:rPr>
          <w:lang w:val="en-US"/>
        </w:rPr>
        <w:t>SD</w:t>
      </w:r>
      <w:r w:rsidR="00CF7510" w:rsidRPr="00542749">
        <w:rPr>
          <w:lang w:val="en-US"/>
        </w:rPr>
        <w:t xml:space="preserve"> retained </w:t>
      </w:r>
      <w:r w:rsidR="004159B8" w:rsidRPr="00542749">
        <w:t>at 6 months</w:t>
      </w:r>
      <w:r w:rsidR="00FF0E4C" w:rsidRPr="00542749">
        <w:rPr>
          <w:lang w:val="en-US"/>
        </w:rPr>
        <w:t>.</w:t>
      </w:r>
      <w:r w:rsidR="004159B8" w:rsidRPr="00542749">
        <w:t xml:space="preserve"> </w:t>
      </w:r>
      <w:r w:rsidRPr="00542749">
        <w:rPr>
          <w:color w:val="000000" w:themeColor="text1"/>
          <w:lang w:val="en-US"/>
        </w:rPr>
        <w:t xml:space="preserve">Best responses were all defined according to RECIST 1.1 </w:t>
      </w:r>
      <w:r w:rsidR="000B488E" w:rsidRPr="00542749">
        <w:rPr>
          <w:color w:val="000000" w:themeColor="text1"/>
          <w:lang w:val="en-US"/>
        </w:rPr>
        <w:t>criteria</w:t>
      </w:r>
      <w:r w:rsidR="000B488E" w:rsidRPr="00542749">
        <w:rPr>
          <w:color w:val="000000" w:themeColor="text1"/>
          <w:vertAlign w:val="superscript"/>
          <w:lang w:val="en-US"/>
        </w:rPr>
        <w:t>9</w:t>
      </w:r>
      <w:r w:rsidR="000B488E" w:rsidRPr="00542749">
        <w:rPr>
          <w:color w:val="000000" w:themeColor="text1"/>
          <w:lang w:val="en-US"/>
        </w:rPr>
        <w:t xml:space="preserve"> </w:t>
      </w:r>
      <w:r w:rsidRPr="00542749">
        <w:rPr>
          <w:color w:val="000000" w:themeColor="text1"/>
          <w:lang w:val="en-US"/>
        </w:rPr>
        <w:t xml:space="preserve">and the evaluation of response for the purpose of this study were performed independently by the same expert (JGC) from the clinical trials unit of the HCB.    </w:t>
      </w:r>
    </w:p>
    <w:p w14:paraId="6BC4BE44" w14:textId="75C417E2" w:rsidR="00DC7E78" w:rsidRPr="00542749" w:rsidRDefault="00DC7E78" w:rsidP="00B8200D">
      <w:pPr>
        <w:spacing w:line="360" w:lineRule="auto"/>
        <w:jc w:val="both"/>
        <w:rPr>
          <w:rFonts w:ascii="Times New Roman" w:hAnsi="Times New Roman" w:cs="Times New Roman"/>
          <w:color w:val="000000" w:themeColor="text1"/>
          <w:lang w:val="en-US"/>
        </w:rPr>
      </w:pPr>
    </w:p>
    <w:p w14:paraId="246D0C9A" w14:textId="77777777" w:rsidR="00146A1D" w:rsidRPr="00542749" w:rsidRDefault="00146A1D" w:rsidP="007513B0">
      <w:pPr>
        <w:pStyle w:val="Heading2"/>
        <w:spacing w:before="0" w:line="360" w:lineRule="auto"/>
        <w:rPr>
          <w:rFonts w:ascii="Times New Roman" w:hAnsi="Times New Roman" w:cs="Times New Roman"/>
          <w:b/>
          <w:bCs/>
          <w:color w:val="000000" w:themeColor="text1"/>
          <w:sz w:val="24"/>
          <w:szCs w:val="24"/>
          <w:lang w:val="en-US"/>
        </w:rPr>
        <w:sectPr w:rsidR="00146A1D" w:rsidRPr="00542749" w:rsidSect="00820C56">
          <w:type w:val="continuous"/>
          <w:pgSz w:w="11906" w:h="16838"/>
          <w:pgMar w:top="1440" w:right="1440" w:bottom="1440" w:left="1440" w:header="708" w:footer="708" w:gutter="0"/>
          <w:cols w:space="708"/>
          <w:docGrid w:linePitch="360"/>
        </w:sectPr>
      </w:pPr>
    </w:p>
    <w:p w14:paraId="7ED52991" w14:textId="288F81A3" w:rsidR="00DC7E78" w:rsidRPr="00542749" w:rsidRDefault="007513B0" w:rsidP="007513B0">
      <w:pPr>
        <w:pStyle w:val="Heading2"/>
        <w:spacing w:before="0" w:line="360" w:lineRule="auto"/>
        <w:rPr>
          <w:rFonts w:ascii="Times New Roman" w:hAnsi="Times New Roman" w:cs="Times New Roman"/>
          <w:b/>
          <w:bCs/>
          <w:color w:val="000000" w:themeColor="text1"/>
          <w:sz w:val="24"/>
          <w:szCs w:val="24"/>
          <w:lang w:val="en-US"/>
        </w:rPr>
      </w:pPr>
      <w:bookmarkStart w:id="4" w:name="_Toc121843845"/>
      <w:r w:rsidRPr="00542749">
        <w:rPr>
          <w:rFonts w:ascii="Times New Roman" w:hAnsi="Times New Roman" w:cs="Times New Roman"/>
          <w:b/>
          <w:bCs/>
          <w:color w:val="000000" w:themeColor="text1"/>
          <w:sz w:val="24"/>
          <w:szCs w:val="24"/>
          <w:lang w:val="en-US"/>
        </w:rPr>
        <w:t xml:space="preserve">Supplementary Methods </w:t>
      </w:r>
      <w:r w:rsidR="00DC7E78" w:rsidRPr="00542749">
        <w:rPr>
          <w:rFonts w:ascii="Times New Roman" w:hAnsi="Times New Roman" w:cs="Times New Roman"/>
          <w:b/>
          <w:bCs/>
          <w:color w:val="000000" w:themeColor="text1"/>
          <w:sz w:val="24"/>
          <w:szCs w:val="24"/>
          <w:lang w:val="en-US"/>
        </w:rPr>
        <w:t>References</w:t>
      </w:r>
      <w:bookmarkEnd w:id="4"/>
    </w:p>
    <w:p w14:paraId="45FE8D5B" w14:textId="77777777" w:rsidR="00942B18" w:rsidRPr="00542749" w:rsidRDefault="00DC7E7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b/>
          <w:bCs/>
          <w:color w:val="000000" w:themeColor="text1"/>
        </w:rPr>
        <w:fldChar w:fldCharType="begin"/>
      </w:r>
      <w:r w:rsidRPr="00542749">
        <w:rPr>
          <w:rFonts w:ascii="Times New Roman" w:hAnsi="Times New Roman" w:cs="Times New Roman"/>
          <w:color w:val="000000" w:themeColor="text1"/>
          <w:lang w:val="en-US"/>
        </w:rPr>
        <w:instrText xml:space="preserve"> ADDIN ZOTERO_BIBL {"uncited":[],"omitted":[],"custom":[]} CSL_BIBLIOGRAPHY </w:instrText>
      </w:r>
      <w:r w:rsidRPr="00542749">
        <w:rPr>
          <w:rFonts w:ascii="Times New Roman" w:hAnsi="Times New Roman" w:cs="Times New Roman"/>
          <w:b/>
          <w:bCs/>
          <w:color w:val="000000" w:themeColor="text1"/>
        </w:rPr>
        <w:fldChar w:fldCharType="separate"/>
      </w:r>
      <w:r w:rsidR="00942B18" w:rsidRPr="00542749">
        <w:rPr>
          <w:rFonts w:ascii="Times New Roman" w:hAnsi="Times New Roman" w:cs="Times New Roman"/>
          <w:color w:val="000000" w:themeColor="text1"/>
          <w:lang w:val="en-US"/>
        </w:rPr>
        <w:t xml:space="preserve">1. </w:t>
      </w:r>
      <w:r w:rsidR="00942B18" w:rsidRPr="00542749">
        <w:rPr>
          <w:rFonts w:ascii="Times New Roman" w:hAnsi="Times New Roman" w:cs="Times New Roman"/>
          <w:color w:val="000000" w:themeColor="text1"/>
          <w:lang w:val="en-US"/>
        </w:rPr>
        <w:tab/>
        <w:t xml:space="preserve">Gupta D, Lis CG. Pretreatment serum albumin as a predictor of cancer survival: a systematic review of the epidemiological literature. </w:t>
      </w:r>
      <w:r w:rsidR="00942B18" w:rsidRPr="00542749">
        <w:rPr>
          <w:rFonts w:ascii="Times New Roman" w:hAnsi="Times New Roman" w:cs="Times New Roman"/>
          <w:i/>
          <w:iCs/>
          <w:color w:val="000000" w:themeColor="text1"/>
          <w:lang w:val="en-US"/>
        </w:rPr>
        <w:t>Nutr J</w:t>
      </w:r>
      <w:r w:rsidR="00942B18" w:rsidRPr="00542749">
        <w:rPr>
          <w:rFonts w:ascii="Times New Roman" w:hAnsi="Times New Roman" w:cs="Times New Roman"/>
          <w:color w:val="000000" w:themeColor="text1"/>
          <w:lang w:val="en-US"/>
        </w:rPr>
        <w:t xml:space="preserve">. December 22, 2010;9:69. </w:t>
      </w:r>
    </w:p>
    <w:p w14:paraId="5181A962" w14:textId="77777777" w:rsidR="00942B18" w:rsidRPr="00542749" w:rsidRDefault="00942B1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 xml:space="preserve">2. </w:t>
      </w:r>
      <w:r w:rsidRPr="00542749">
        <w:rPr>
          <w:rFonts w:ascii="Times New Roman" w:hAnsi="Times New Roman" w:cs="Times New Roman"/>
          <w:color w:val="000000" w:themeColor="text1"/>
          <w:lang w:val="en-US"/>
        </w:rPr>
        <w:tab/>
        <w:t xml:space="preserve">Caro JJ, Salas M, Ward A, Goss G. Anemia as an independent prognostic factor for survival in patients with cancer: a systemic, quantitative review. </w:t>
      </w:r>
      <w:r w:rsidRPr="00542749">
        <w:rPr>
          <w:rFonts w:ascii="Times New Roman" w:hAnsi="Times New Roman" w:cs="Times New Roman"/>
          <w:i/>
          <w:iCs/>
          <w:color w:val="000000" w:themeColor="text1"/>
          <w:lang w:val="en-US"/>
        </w:rPr>
        <w:t>Cancer</w:t>
      </w:r>
      <w:r w:rsidRPr="00542749">
        <w:rPr>
          <w:rFonts w:ascii="Times New Roman" w:hAnsi="Times New Roman" w:cs="Times New Roman"/>
          <w:color w:val="000000" w:themeColor="text1"/>
          <w:lang w:val="en-US"/>
        </w:rPr>
        <w:t xml:space="preserve">. June 15, 2001;91(12):2214–2221. </w:t>
      </w:r>
    </w:p>
    <w:p w14:paraId="764BFFD2" w14:textId="77777777" w:rsidR="00942B18" w:rsidRPr="00542749" w:rsidRDefault="00942B1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 xml:space="preserve">3. </w:t>
      </w:r>
      <w:r w:rsidRPr="00542749">
        <w:rPr>
          <w:rFonts w:ascii="Times New Roman" w:hAnsi="Times New Roman" w:cs="Times New Roman"/>
          <w:color w:val="000000" w:themeColor="text1"/>
          <w:lang w:val="en-US"/>
        </w:rPr>
        <w:tab/>
        <w:t xml:space="preserve">Aldea M, Benitez JC, Mezquita L. The Lung Immune Prognostic Index (LIPI) stratifies prognostic groups in advanced non-small cell lung cancer (NSCLC) patients. </w:t>
      </w:r>
      <w:r w:rsidRPr="00542749">
        <w:rPr>
          <w:rFonts w:ascii="Times New Roman" w:hAnsi="Times New Roman" w:cs="Times New Roman"/>
          <w:i/>
          <w:iCs/>
          <w:color w:val="000000" w:themeColor="text1"/>
          <w:lang w:val="en-US"/>
        </w:rPr>
        <w:t>Transl Lung Cancer Res</w:t>
      </w:r>
      <w:r w:rsidRPr="00542749">
        <w:rPr>
          <w:rFonts w:ascii="Times New Roman" w:hAnsi="Times New Roman" w:cs="Times New Roman"/>
          <w:color w:val="000000" w:themeColor="text1"/>
          <w:lang w:val="en-US"/>
        </w:rPr>
        <w:t xml:space="preserve">. August 2020;9(4):967–970. </w:t>
      </w:r>
    </w:p>
    <w:p w14:paraId="5CA218B8" w14:textId="77777777" w:rsidR="00942B18" w:rsidRPr="00542749" w:rsidRDefault="00942B1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 xml:space="preserve">4. </w:t>
      </w:r>
      <w:r w:rsidRPr="00542749">
        <w:rPr>
          <w:rFonts w:ascii="Times New Roman" w:hAnsi="Times New Roman" w:cs="Times New Roman"/>
          <w:color w:val="000000" w:themeColor="text1"/>
          <w:lang w:val="en-US"/>
        </w:rPr>
        <w:tab/>
        <w:t xml:space="preserve">Hendry S, Salgado R, Gevaert T, Russell PA, John T, Thapa B, et al. Assessing tumor infiltrating lymphocytes in solid tumors: a practical review for pathologists and proposal for a standardized method from the International Immuno-Oncology Biomarkers Working Group. </w:t>
      </w:r>
      <w:r w:rsidRPr="00542749">
        <w:rPr>
          <w:rFonts w:ascii="Times New Roman" w:hAnsi="Times New Roman" w:cs="Times New Roman"/>
          <w:i/>
          <w:iCs/>
          <w:color w:val="000000" w:themeColor="text1"/>
          <w:lang w:val="en-US"/>
        </w:rPr>
        <w:t>Adv Anat Pathol</w:t>
      </w:r>
      <w:r w:rsidRPr="00542749">
        <w:rPr>
          <w:rFonts w:ascii="Times New Roman" w:hAnsi="Times New Roman" w:cs="Times New Roman"/>
          <w:color w:val="000000" w:themeColor="text1"/>
          <w:lang w:val="en-US"/>
        </w:rPr>
        <w:t xml:space="preserve">. September 2017;24(5):235–251. </w:t>
      </w:r>
    </w:p>
    <w:p w14:paraId="519B2761" w14:textId="77777777" w:rsidR="00942B18" w:rsidRPr="00542749" w:rsidRDefault="00942B1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it-IT"/>
        </w:rPr>
      </w:pPr>
      <w:r w:rsidRPr="00542749">
        <w:rPr>
          <w:rFonts w:ascii="Times New Roman" w:hAnsi="Times New Roman" w:cs="Times New Roman"/>
          <w:color w:val="000000" w:themeColor="text1"/>
          <w:lang w:val="en-US"/>
        </w:rPr>
        <w:lastRenderedPageBreak/>
        <w:t xml:space="preserve">5. </w:t>
      </w:r>
      <w:r w:rsidRPr="00542749">
        <w:rPr>
          <w:rFonts w:ascii="Times New Roman" w:hAnsi="Times New Roman" w:cs="Times New Roman"/>
          <w:color w:val="000000" w:themeColor="text1"/>
          <w:lang w:val="en-US"/>
        </w:rPr>
        <w:tab/>
        <w:t xml:space="preserve">Paré L, Pascual T, Seguí E, Teixidó C, Gonzalez-Cao M, Galván P, et al. Association between PD1 mRNA and response to anti-PD1 monotherapy across multiple cancer types. </w:t>
      </w:r>
      <w:r w:rsidRPr="00542749">
        <w:rPr>
          <w:rFonts w:ascii="Times New Roman" w:hAnsi="Times New Roman" w:cs="Times New Roman"/>
          <w:i/>
          <w:iCs/>
          <w:color w:val="000000" w:themeColor="text1"/>
          <w:lang w:val="it-IT"/>
        </w:rPr>
        <w:t>Ann Oncol</w:t>
      </w:r>
      <w:r w:rsidRPr="00542749">
        <w:rPr>
          <w:rFonts w:ascii="Times New Roman" w:hAnsi="Times New Roman" w:cs="Times New Roman"/>
          <w:color w:val="000000" w:themeColor="text1"/>
          <w:lang w:val="it-IT"/>
        </w:rPr>
        <w:t xml:space="preserve">. October 1, 2018;29(10):2121–2128. </w:t>
      </w:r>
    </w:p>
    <w:p w14:paraId="48429A97" w14:textId="77777777" w:rsidR="00942B18" w:rsidRPr="00542749" w:rsidRDefault="00942B1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it-IT"/>
        </w:rPr>
      </w:pPr>
      <w:r w:rsidRPr="00542749">
        <w:rPr>
          <w:rFonts w:ascii="Times New Roman" w:hAnsi="Times New Roman" w:cs="Times New Roman"/>
          <w:color w:val="000000" w:themeColor="text1"/>
          <w:lang w:val="it-IT"/>
        </w:rPr>
        <w:t xml:space="preserve">6. </w:t>
      </w:r>
      <w:r w:rsidRPr="00542749">
        <w:rPr>
          <w:rFonts w:ascii="Times New Roman" w:hAnsi="Times New Roman" w:cs="Times New Roman"/>
          <w:color w:val="000000" w:themeColor="text1"/>
          <w:lang w:val="it-IT"/>
        </w:rPr>
        <w:tab/>
        <w:t xml:space="preserve">Vigliar E, Malapelle U, Iaccarino A, Acanfora G, Pisapia P, Clery E, et al. </w:t>
      </w:r>
      <w:r w:rsidRPr="00542749">
        <w:rPr>
          <w:rFonts w:ascii="Times New Roman" w:hAnsi="Times New Roman" w:cs="Times New Roman"/>
          <w:color w:val="000000" w:themeColor="text1"/>
          <w:lang w:val="en-US"/>
        </w:rPr>
        <w:t xml:space="preserve">PD-L1 expression on routine samples of non-small cell lung cancer: results and critical issues from a 1-year experience of a centralised laboratory. </w:t>
      </w:r>
      <w:r w:rsidRPr="00542749">
        <w:rPr>
          <w:rFonts w:ascii="Times New Roman" w:hAnsi="Times New Roman" w:cs="Times New Roman"/>
          <w:i/>
          <w:iCs/>
          <w:color w:val="000000" w:themeColor="text1"/>
          <w:lang w:val="it-IT"/>
        </w:rPr>
        <w:t>J Clin Pathol</w:t>
      </w:r>
      <w:r w:rsidRPr="00542749">
        <w:rPr>
          <w:rFonts w:ascii="Times New Roman" w:hAnsi="Times New Roman" w:cs="Times New Roman"/>
          <w:color w:val="000000" w:themeColor="text1"/>
          <w:lang w:val="it-IT"/>
        </w:rPr>
        <w:t xml:space="preserve">. June 2019;72(6):412–417. </w:t>
      </w:r>
    </w:p>
    <w:p w14:paraId="3E317157" w14:textId="1BBF27C4" w:rsidR="00942B18" w:rsidRPr="00542749" w:rsidRDefault="00942B18"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it-IT"/>
        </w:rPr>
        <w:t xml:space="preserve">7. </w:t>
      </w:r>
      <w:r w:rsidRPr="00542749">
        <w:rPr>
          <w:rFonts w:ascii="Times New Roman" w:hAnsi="Times New Roman" w:cs="Times New Roman"/>
          <w:color w:val="000000" w:themeColor="text1"/>
          <w:lang w:val="it-IT"/>
        </w:rPr>
        <w:tab/>
        <w:t xml:space="preserve">Schettini F, Corona SP, Giudici F, Strina C, Sirico M, Bernocchi O, et al. </w:t>
      </w:r>
      <w:r w:rsidRPr="00542749">
        <w:rPr>
          <w:rFonts w:ascii="Times New Roman" w:hAnsi="Times New Roman" w:cs="Times New Roman"/>
          <w:color w:val="000000" w:themeColor="text1"/>
          <w:lang w:val="en-US"/>
        </w:rPr>
        <w:t xml:space="preserve">Clinical, Radiometabolic and Immunologic Effects of Olaparib in Locally Advanced Triple Negative Breast Cancer: The OLTRE Window of Opportunity Trial. </w:t>
      </w:r>
      <w:r w:rsidRPr="00542749">
        <w:rPr>
          <w:rFonts w:ascii="Times New Roman" w:hAnsi="Times New Roman" w:cs="Times New Roman"/>
          <w:i/>
          <w:iCs/>
          <w:color w:val="000000" w:themeColor="text1"/>
          <w:lang w:val="en-US"/>
        </w:rPr>
        <w:t>Frontiers in Oncology</w:t>
      </w:r>
      <w:r w:rsidRPr="00542749">
        <w:rPr>
          <w:rFonts w:ascii="Times New Roman" w:hAnsi="Times New Roman" w:cs="Times New Roman"/>
          <w:color w:val="000000" w:themeColor="text1"/>
          <w:lang w:val="en-US"/>
        </w:rPr>
        <w:t xml:space="preserve">. 2021;11:2496. </w:t>
      </w:r>
    </w:p>
    <w:p w14:paraId="6EE3EE66" w14:textId="6A531C6E" w:rsidR="00300AC6" w:rsidRPr="00542749" w:rsidRDefault="000B488E"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 xml:space="preserve">8. </w:t>
      </w:r>
      <w:r w:rsidRPr="00542749">
        <w:rPr>
          <w:rFonts w:ascii="Times New Roman" w:hAnsi="Times New Roman" w:cs="Times New Roman"/>
          <w:color w:val="000000" w:themeColor="text1"/>
          <w:lang w:val="en-US"/>
        </w:rPr>
        <w:tab/>
      </w:r>
      <w:r w:rsidR="00300AC6" w:rsidRPr="00542749">
        <w:rPr>
          <w:rFonts w:ascii="Times New Roman" w:eastAsia="Times New Roman" w:hAnsi="Times New Roman" w:cs="Times New Roman"/>
          <w:color w:val="000000" w:themeColor="text1"/>
          <w:shd w:val="clear" w:color="auto" w:fill="FFFFFF"/>
          <w:lang w:eastAsia="it-IT"/>
        </w:rPr>
        <w:t xml:space="preserve">De Marchi P, Leal LF, Duval da Silva V, da Silva ECA, Cordeiro de Lima VC, Reis RM. PD-L1 expression by Tumor Proportion Score (TPS) and Combined Positive Score (CPS) are similar in non-small cell lung cancer (NSCLC). J Clin Pathol. 2021 Nov;74(11):735-740. </w:t>
      </w:r>
    </w:p>
    <w:p w14:paraId="09D5F252" w14:textId="14D15BE1" w:rsidR="00942B18" w:rsidRPr="00542749" w:rsidRDefault="000B488E" w:rsidP="007513B0">
      <w:pPr>
        <w:widowControl w:val="0"/>
        <w:autoSpaceDE w:val="0"/>
        <w:autoSpaceDN w:val="0"/>
        <w:adjustRightInd w:val="0"/>
        <w:spacing w:line="360" w:lineRule="auto"/>
        <w:ind w:left="284" w:hanging="284"/>
        <w:jc w:val="both"/>
        <w:rPr>
          <w:rFonts w:ascii="Times New Roman" w:hAnsi="Times New Roman" w:cs="Times New Roman"/>
          <w:color w:val="000000" w:themeColor="text1"/>
          <w:lang w:val="en-US"/>
        </w:rPr>
      </w:pPr>
      <w:r w:rsidRPr="00542749">
        <w:rPr>
          <w:rFonts w:ascii="Times New Roman" w:hAnsi="Times New Roman" w:cs="Times New Roman"/>
          <w:color w:val="000000" w:themeColor="text1"/>
          <w:lang w:val="en-US"/>
        </w:rPr>
        <w:t>9</w:t>
      </w:r>
      <w:r w:rsidR="00942B18" w:rsidRPr="00542749">
        <w:rPr>
          <w:rFonts w:ascii="Times New Roman" w:hAnsi="Times New Roman" w:cs="Times New Roman"/>
          <w:color w:val="000000" w:themeColor="text1"/>
          <w:lang w:val="en-US"/>
        </w:rPr>
        <w:t xml:space="preserve">. </w:t>
      </w:r>
      <w:r w:rsidR="00942B18" w:rsidRPr="00542749">
        <w:rPr>
          <w:rFonts w:ascii="Times New Roman" w:hAnsi="Times New Roman" w:cs="Times New Roman"/>
          <w:color w:val="000000" w:themeColor="text1"/>
          <w:lang w:val="en-US"/>
        </w:rPr>
        <w:tab/>
        <w:t xml:space="preserve">Eisenhauer EA, Therasse P, Bogaerts J, Schwartz LH, Sargent D, Ford R, et al. New response evaluation criteria in solid tumours: revised RECIST guideline (version 1.1). </w:t>
      </w:r>
      <w:r w:rsidR="00942B18" w:rsidRPr="00542749">
        <w:rPr>
          <w:rFonts w:ascii="Times New Roman" w:hAnsi="Times New Roman" w:cs="Times New Roman"/>
          <w:i/>
          <w:iCs/>
          <w:color w:val="000000" w:themeColor="text1"/>
          <w:lang w:val="en-US"/>
        </w:rPr>
        <w:t>Eur J Cancer</w:t>
      </w:r>
      <w:r w:rsidR="00942B18" w:rsidRPr="00542749">
        <w:rPr>
          <w:rFonts w:ascii="Times New Roman" w:hAnsi="Times New Roman" w:cs="Times New Roman"/>
          <w:color w:val="000000" w:themeColor="text1"/>
          <w:lang w:val="en-US"/>
        </w:rPr>
        <w:t xml:space="preserve">. January 2009;45(2):228–247. </w:t>
      </w:r>
    </w:p>
    <w:p w14:paraId="5EBE6E37" w14:textId="29B87276" w:rsidR="007513B0" w:rsidRPr="00542749" w:rsidRDefault="00DC7E78" w:rsidP="007513B0">
      <w:pPr>
        <w:pStyle w:val="Heading1"/>
        <w:spacing w:before="0" w:beforeAutospacing="0" w:after="0" w:afterAutospacing="0" w:line="360" w:lineRule="auto"/>
        <w:rPr>
          <w:sz w:val="24"/>
          <w:szCs w:val="24"/>
          <w:lang w:val="en-US"/>
        </w:rPr>
        <w:sectPr w:rsidR="007513B0" w:rsidRPr="00542749" w:rsidSect="00820C56">
          <w:type w:val="continuous"/>
          <w:pgSz w:w="11906" w:h="16838"/>
          <w:pgMar w:top="1440" w:right="1440" w:bottom="1440" w:left="1440" w:header="708" w:footer="708" w:gutter="0"/>
          <w:cols w:space="708"/>
          <w:docGrid w:linePitch="360"/>
        </w:sectPr>
      </w:pPr>
      <w:r w:rsidRPr="00542749">
        <w:rPr>
          <w:lang w:val="en-US"/>
        </w:rPr>
        <w:fldChar w:fldCharType="end"/>
      </w:r>
    </w:p>
    <w:p w14:paraId="195ECB39" w14:textId="4987185C" w:rsidR="001909FB" w:rsidRPr="00542749" w:rsidRDefault="00DC7E78" w:rsidP="0071286A">
      <w:pPr>
        <w:pStyle w:val="Heading1"/>
        <w:spacing w:before="0" w:beforeAutospacing="0" w:after="0" w:afterAutospacing="0" w:line="360" w:lineRule="auto"/>
        <w:rPr>
          <w:sz w:val="24"/>
          <w:szCs w:val="24"/>
          <w:lang w:val="en-US"/>
        </w:rPr>
      </w:pPr>
      <w:bookmarkStart w:id="5" w:name="_Toc121843846"/>
      <w:r w:rsidRPr="00542749">
        <w:rPr>
          <w:sz w:val="24"/>
          <w:szCs w:val="24"/>
          <w:lang w:val="en-US"/>
        </w:rPr>
        <w:lastRenderedPageBreak/>
        <w:t>S</w:t>
      </w:r>
      <w:r w:rsidR="001909FB" w:rsidRPr="00542749">
        <w:rPr>
          <w:sz w:val="24"/>
          <w:szCs w:val="24"/>
          <w:lang w:val="en-US"/>
        </w:rPr>
        <w:t>upplementary figures</w:t>
      </w:r>
      <w:bookmarkEnd w:id="5"/>
    </w:p>
    <w:p w14:paraId="3748839D" w14:textId="7D4089CF" w:rsidR="001909FB" w:rsidRPr="00542749" w:rsidRDefault="001909FB" w:rsidP="00B8200D">
      <w:pPr>
        <w:pStyle w:val="Heading2"/>
        <w:spacing w:before="0" w:line="360" w:lineRule="auto"/>
        <w:rPr>
          <w:rFonts w:ascii="Times New Roman" w:hAnsi="Times New Roman" w:cs="Times New Roman"/>
          <w:b/>
          <w:bCs/>
          <w:color w:val="000000" w:themeColor="text1"/>
          <w:sz w:val="24"/>
          <w:szCs w:val="24"/>
          <w:lang w:val="en-US"/>
        </w:rPr>
      </w:pPr>
      <w:bookmarkStart w:id="6" w:name="_Toc121843847"/>
      <w:r w:rsidRPr="00542749">
        <w:rPr>
          <w:rFonts w:ascii="Times New Roman" w:hAnsi="Times New Roman" w:cs="Times New Roman"/>
          <w:b/>
          <w:bCs/>
          <w:color w:val="000000" w:themeColor="text1"/>
          <w:sz w:val="24"/>
          <w:szCs w:val="24"/>
          <w:lang w:val="en-US"/>
        </w:rPr>
        <w:t xml:space="preserve">Supplementary figure </w:t>
      </w:r>
      <w:r w:rsidR="006D02F4" w:rsidRPr="00542749">
        <w:rPr>
          <w:rFonts w:ascii="Times New Roman" w:hAnsi="Times New Roman" w:cs="Times New Roman"/>
          <w:b/>
          <w:bCs/>
          <w:color w:val="000000" w:themeColor="text1"/>
          <w:sz w:val="24"/>
          <w:szCs w:val="24"/>
          <w:lang w:val="en-US"/>
        </w:rPr>
        <w:t>1</w:t>
      </w:r>
      <w:r w:rsidRPr="00542749">
        <w:rPr>
          <w:rFonts w:ascii="Times New Roman" w:hAnsi="Times New Roman" w:cs="Times New Roman"/>
          <w:b/>
          <w:bCs/>
          <w:color w:val="000000" w:themeColor="text1"/>
          <w:sz w:val="24"/>
          <w:szCs w:val="24"/>
          <w:lang w:val="en-US"/>
        </w:rPr>
        <w:t>. Kaplan-Meier survival curves for the overall population</w:t>
      </w:r>
      <w:bookmarkEnd w:id="6"/>
      <w:r w:rsidR="006D02F4" w:rsidRPr="00542749">
        <w:rPr>
          <w:rFonts w:ascii="Times New Roman" w:hAnsi="Times New Roman" w:cs="Times New Roman"/>
          <w:b/>
          <w:bCs/>
          <w:color w:val="000000" w:themeColor="text1"/>
          <w:sz w:val="24"/>
          <w:szCs w:val="24"/>
          <w:lang w:val="en-US"/>
        </w:rPr>
        <w:t xml:space="preserve"> </w:t>
      </w:r>
    </w:p>
    <w:p w14:paraId="73EDEBA8" w14:textId="77777777" w:rsidR="001909FB" w:rsidRPr="00542749" w:rsidRDefault="001909FB" w:rsidP="001909FB">
      <w:pPr>
        <w:spacing w:line="360" w:lineRule="auto"/>
        <w:jc w:val="both"/>
        <w:rPr>
          <w:rFonts w:ascii="Times New Roman" w:hAnsi="Times New Roman" w:cs="Times New Roman"/>
          <w:lang w:val="en-US"/>
        </w:rPr>
      </w:pPr>
      <w:r w:rsidRPr="00542749">
        <w:rPr>
          <w:rFonts w:ascii="Times New Roman" w:hAnsi="Times New Roman" w:cs="Times New Roman"/>
          <w:noProof/>
          <w:lang w:val="en-IN" w:eastAsia="en-IN"/>
        </w:rPr>
        <w:drawing>
          <wp:inline distT="0" distB="0" distL="0" distR="0" wp14:anchorId="24F71FA6" wp14:editId="481E6F30">
            <wp:extent cx="7148830" cy="4993727"/>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1429" cy="5030470"/>
                    </a:xfrm>
                    <a:prstGeom prst="rect">
                      <a:avLst/>
                    </a:prstGeom>
                  </pic:spPr>
                </pic:pic>
              </a:graphicData>
            </a:graphic>
          </wp:inline>
        </w:drawing>
      </w:r>
    </w:p>
    <w:p w14:paraId="674686F8" w14:textId="54F308ED" w:rsidR="00146A1D" w:rsidRPr="00542749" w:rsidRDefault="001909FB" w:rsidP="00664F8C">
      <w:pPr>
        <w:spacing w:line="360" w:lineRule="auto"/>
        <w:jc w:val="both"/>
        <w:rPr>
          <w:rFonts w:ascii="Times New Roman" w:hAnsi="Times New Roman" w:cs="Times New Roman"/>
          <w:b/>
          <w:bCs/>
          <w:color w:val="000000" w:themeColor="text1"/>
          <w:lang w:val="en-US"/>
        </w:rPr>
        <w:sectPr w:rsidR="00146A1D" w:rsidRPr="00542749" w:rsidSect="00820C56">
          <w:type w:val="continuous"/>
          <w:pgSz w:w="16838" w:h="11906" w:orient="landscape"/>
          <w:pgMar w:top="1440" w:right="1440" w:bottom="1440" w:left="1440" w:header="708" w:footer="708" w:gutter="0"/>
          <w:cols w:space="708"/>
          <w:docGrid w:linePitch="360"/>
        </w:sectPr>
      </w:pPr>
      <w:r w:rsidRPr="00542749">
        <w:rPr>
          <w:rFonts w:ascii="Times New Roman" w:hAnsi="Times New Roman" w:cs="Times New Roman"/>
          <w:b/>
          <w:bCs/>
          <w:color w:val="000000" w:themeColor="text1"/>
          <w:sz w:val="20"/>
          <w:szCs w:val="20"/>
          <w:lang w:val="en-US"/>
        </w:rPr>
        <w:lastRenderedPageBreak/>
        <w:t xml:space="preserve">Legend. </w:t>
      </w:r>
      <w:r w:rsidRPr="00542749">
        <w:rPr>
          <w:rFonts w:ascii="Times New Roman" w:hAnsi="Times New Roman" w:cs="Times New Roman"/>
          <w:color w:val="000000" w:themeColor="text1"/>
          <w:sz w:val="20"/>
          <w:szCs w:val="20"/>
          <w:lang w:val="en-US"/>
        </w:rPr>
        <w:t xml:space="preserve">PFS (A), OS (B), TTBR (C) and DOR (D) Kaplan-Meier curves </w:t>
      </w:r>
      <w:r w:rsidR="00E77360" w:rsidRPr="00542749">
        <w:rPr>
          <w:rFonts w:ascii="Times New Roman" w:hAnsi="Times New Roman" w:cs="Times New Roman"/>
          <w:color w:val="000000" w:themeColor="text1"/>
          <w:sz w:val="20"/>
          <w:szCs w:val="20"/>
          <w:lang w:val="en-US"/>
        </w:rPr>
        <w:t xml:space="preserve">with their 95%CI </w:t>
      </w:r>
      <w:r w:rsidRPr="00542749">
        <w:rPr>
          <w:rFonts w:ascii="Times New Roman" w:hAnsi="Times New Roman" w:cs="Times New Roman"/>
          <w:color w:val="000000" w:themeColor="text1"/>
          <w:sz w:val="20"/>
          <w:szCs w:val="20"/>
          <w:lang w:val="en-US"/>
        </w:rPr>
        <w:t>for the overall population. PFS: median progression-free survival; OS: overall survival; TTBR: time-to-best response; DOR: duration of response; m: median; CI: confidence interva</w:t>
      </w:r>
      <w:r w:rsidR="00146A1D" w:rsidRPr="00542749">
        <w:rPr>
          <w:rFonts w:ascii="Times New Roman" w:hAnsi="Times New Roman" w:cs="Times New Roman"/>
          <w:color w:val="000000" w:themeColor="text1"/>
          <w:sz w:val="20"/>
          <w:szCs w:val="20"/>
          <w:lang w:val="en-US"/>
        </w:rPr>
        <w:t>l.</w:t>
      </w:r>
    </w:p>
    <w:p w14:paraId="650C0DA3" w14:textId="03E5A0DA" w:rsidR="00860C0D" w:rsidRPr="00542749" w:rsidRDefault="00860C0D" w:rsidP="00146A1D">
      <w:pPr>
        <w:pStyle w:val="Heading2"/>
        <w:rPr>
          <w:rFonts w:ascii="Times New Roman" w:hAnsi="Times New Roman" w:cs="Times New Roman"/>
          <w:b/>
          <w:bCs/>
          <w:color w:val="000000" w:themeColor="text1"/>
          <w:sz w:val="24"/>
          <w:szCs w:val="24"/>
          <w:lang w:val="en-US"/>
        </w:rPr>
      </w:pPr>
      <w:bookmarkStart w:id="7" w:name="_Toc121843848"/>
      <w:r w:rsidRPr="00542749">
        <w:rPr>
          <w:rFonts w:ascii="Times New Roman" w:hAnsi="Times New Roman" w:cs="Times New Roman"/>
          <w:b/>
          <w:bCs/>
          <w:color w:val="000000" w:themeColor="text1"/>
          <w:sz w:val="24"/>
          <w:szCs w:val="24"/>
          <w:lang w:val="en-US"/>
        </w:rPr>
        <w:t xml:space="preserve">Supplementary figure </w:t>
      </w:r>
      <w:r w:rsidR="006D02F4" w:rsidRPr="00542749">
        <w:rPr>
          <w:rFonts w:ascii="Times New Roman" w:hAnsi="Times New Roman" w:cs="Times New Roman"/>
          <w:b/>
          <w:bCs/>
          <w:color w:val="000000" w:themeColor="text1"/>
          <w:sz w:val="24"/>
          <w:szCs w:val="24"/>
          <w:lang w:val="en-US"/>
        </w:rPr>
        <w:t>2</w:t>
      </w:r>
      <w:r w:rsidRPr="00542749">
        <w:rPr>
          <w:rFonts w:ascii="Times New Roman" w:hAnsi="Times New Roman" w:cs="Times New Roman"/>
          <w:b/>
          <w:bCs/>
          <w:color w:val="000000" w:themeColor="text1"/>
          <w:sz w:val="24"/>
          <w:szCs w:val="24"/>
          <w:lang w:val="en-US"/>
        </w:rPr>
        <w:t>. Waterfall plots for responses to immune-checkpoint inhibitors</w:t>
      </w:r>
      <w:bookmarkEnd w:id="7"/>
    </w:p>
    <w:p w14:paraId="1A740AFF" w14:textId="77777777" w:rsidR="00860C0D" w:rsidRPr="00542749" w:rsidRDefault="00860C0D" w:rsidP="005E7C5B">
      <w:pPr>
        <w:spacing w:line="360" w:lineRule="auto"/>
        <w:jc w:val="both"/>
        <w:rPr>
          <w:lang w:val="en-US"/>
        </w:rPr>
      </w:pPr>
      <w:r w:rsidRPr="00542749">
        <w:rPr>
          <w:noProof/>
          <w:lang w:val="en-IN" w:eastAsia="en-IN"/>
        </w:rPr>
        <w:drawing>
          <wp:inline distT="0" distB="0" distL="0" distR="0" wp14:anchorId="738D51E6" wp14:editId="0A7B13E6">
            <wp:extent cx="7094845" cy="4851400"/>
            <wp:effectExtent l="0" t="0" r="508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1" cstate="print">
                      <a:extLst>
                        <a:ext uri="{28A0092B-C50C-407E-A947-70E740481C1C}">
                          <a14:useLocalDpi xmlns:a14="http://schemas.microsoft.com/office/drawing/2010/main" val="0"/>
                        </a:ext>
                      </a:extLst>
                    </a:blip>
                    <a:srcRect b="3140"/>
                    <a:stretch/>
                  </pic:blipFill>
                  <pic:spPr bwMode="auto">
                    <a:xfrm>
                      <a:off x="0" y="0"/>
                      <a:ext cx="7152459" cy="4890796"/>
                    </a:xfrm>
                    <a:prstGeom prst="rect">
                      <a:avLst/>
                    </a:prstGeom>
                    <a:ln>
                      <a:noFill/>
                    </a:ln>
                    <a:extLst>
                      <a:ext uri="{53640926-AAD7-44D8-BBD7-CCE9431645EC}">
                        <a14:shadowObscured xmlns:a14="http://schemas.microsoft.com/office/drawing/2010/main"/>
                      </a:ext>
                    </a:extLst>
                  </pic:spPr>
                </pic:pic>
              </a:graphicData>
            </a:graphic>
          </wp:inline>
        </w:drawing>
      </w:r>
    </w:p>
    <w:p w14:paraId="0E569EBE" w14:textId="2C14A54F" w:rsidR="00146A1D" w:rsidRPr="00542749" w:rsidRDefault="00860C0D" w:rsidP="00146A1D">
      <w:pPr>
        <w:spacing w:line="360" w:lineRule="auto"/>
        <w:jc w:val="both"/>
        <w:rPr>
          <w:rFonts w:ascii="Times New Roman" w:hAnsi="Times New Roman" w:cs="Times New Roman"/>
          <w:sz w:val="20"/>
          <w:szCs w:val="20"/>
          <w:lang w:val="en-US"/>
        </w:rPr>
        <w:sectPr w:rsidR="00146A1D" w:rsidRPr="00542749" w:rsidSect="00820C56">
          <w:type w:val="continuous"/>
          <w:pgSz w:w="16838" w:h="11906" w:orient="landscape"/>
          <w:pgMar w:top="1440" w:right="1440" w:bottom="1440" w:left="1440" w:header="708" w:footer="708" w:gutter="0"/>
          <w:cols w:space="708"/>
          <w:docGrid w:linePitch="360"/>
        </w:sectPr>
      </w:pPr>
      <w:r w:rsidRPr="00542749">
        <w:rPr>
          <w:rFonts w:ascii="Times New Roman" w:hAnsi="Times New Roman" w:cs="Times New Roman"/>
          <w:b/>
          <w:bCs/>
          <w:sz w:val="20"/>
          <w:szCs w:val="20"/>
          <w:lang w:val="en-US"/>
        </w:rPr>
        <w:lastRenderedPageBreak/>
        <w:t xml:space="preserve">Legend. </w:t>
      </w:r>
      <w:r w:rsidRPr="00542749">
        <w:rPr>
          <w:rFonts w:ascii="Times New Roman" w:hAnsi="Times New Roman" w:cs="Times New Roman"/>
          <w:sz w:val="20"/>
          <w:szCs w:val="20"/>
          <w:lang w:val="en-US"/>
        </w:rPr>
        <w:t xml:space="preserve">A: best responses in the overall population; B: best responses according to immune-naïve status; C: best responses according to tumor site; D: best responses according to treatment line; CR: complete response; PR: partial response; SD: stable disease; PD: progressive disease; NSCLC: non-small cell lung cancer; H&amp;N: head and neck tumors; GI: gastrointestinal.  </w:t>
      </w:r>
      <w:r w:rsidRPr="00542749">
        <w:rPr>
          <w:lang w:val="en-US"/>
        </w:rPr>
        <w:br w:type="page"/>
      </w:r>
    </w:p>
    <w:p w14:paraId="23FEA149" w14:textId="0453FE77" w:rsidR="009A409E" w:rsidRPr="00542749" w:rsidRDefault="009A409E" w:rsidP="00B8200D">
      <w:pPr>
        <w:pStyle w:val="Heading1"/>
        <w:spacing w:before="0" w:beforeAutospacing="0" w:after="0" w:afterAutospacing="0" w:line="360" w:lineRule="auto"/>
        <w:rPr>
          <w:color w:val="000000" w:themeColor="text1"/>
          <w:sz w:val="24"/>
          <w:szCs w:val="24"/>
          <w:lang w:val="en-US"/>
        </w:rPr>
      </w:pPr>
      <w:bookmarkStart w:id="8" w:name="_Toc121843849"/>
      <w:r w:rsidRPr="00542749">
        <w:rPr>
          <w:color w:val="000000" w:themeColor="text1"/>
          <w:sz w:val="24"/>
          <w:szCs w:val="24"/>
          <w:lang w:val="en-US"/>
        </w:rPr>
        <w:lastRenderedPageBreak/>
        <w:t>Supplementary tables</w:t>
      </w:r>
      <w:bookmarkEnd w:id="8"/>
    </w:p>
    <w:p w14:paraId="7D948C3B" w14:textId="31F82904" w:rsidR="008C5C4F" w:rsidRPr="00542749" w:rsidRDefault="008C5C4F" w:rsidP="00B8200D">
      <w:pPr>
        <w:pStyle w:val="Heading2"/>
        <w:spacing w:before="0" w:line="360" w:lineRule="auto"/>
        <w:rPr>
          <w:rFonts w:ascii="Times New Roman" w:hAnsi="Times New Roman" w:cs="Times New Roman"/>
          <w:b/>
          <w:bCs/>
          <w:color w:val="000000" w:themeColor="text1"/>
          <w:sz w:val="24"/>
          <w:szCs w:val="24"/>
          <w:lang w:val="en-US"/>
        </w:rPr>
      </w:pPr>
      <w:bookmarkStart w:id="9" w:name="_Toc121843850"/>
      <w:r w:rsidRPr="00542749">
        <w:rPr>
          <w:rFonts w:ascii="Times New Roman" w:hAnsi="Times New Roman" w:cs="Times New Roman"/>
          <w:b/>
          <w:bCs/>
          <w:color w:val="000000" w:themeColor="text1"/>
          <w:sz w:val="24"/>
          <w:szCs w:val="24"/>
          <w:lang w:val="en-US"/>
        </w:rPr>
        <w:t xml:space="preserve">Supplementary table </w:t>
      </w:r>
      <w:r w:rsidR="006D02F4" w:rsidRPr="00542749">
        <w:rPr>
          <w:rFonts w:ascii="Times New Roman" w:hAnsi="Times New Roman" w:cs="Times New Roman"/>
          <w:b/>
          <w:bCs/>
          <w:color w:val="000000" w:themeColor="text1"/>
          <w:sz w:val="24"/>
          <w:szCs w:val="24"/>
          <w:lang w:val="en-US"/>
        </w:rPr>
        <w:t>1</w:t>
      </w:r>
      <w:r w:rsidRPr="00542749">
        <w:rPr>
          <w:rFonts w:ascii="Times New Roman" w:hAnsi="Times New Roman" w:cs="Times New Roman"/>
          <w:b/>
          <w:bCs/>
          <w:color w:val="000000" w:themeColor="text1"/>
          <w:sz w:val="24"/>
          <w:szCs w:val="24"/>
          <w:lang w:val="en-US"/>
        </w:rPr>
        <w:t xml:space="preserve">. Univariate analyses of progression-free </w:t>
      </w:r>
      <w:r w:rsidR="00B2649C" w:rsidRPr="00542749">
        <w:rPr>
          <w:rFonts w:ascii="Times New Roman" w:hAnsi="Times New Roman" w:cs="Times New Roman"/>
          <w:b/>
          <w:bCs/>
          <w:color w:val="000000" w:themeColor="text1"/>
          <w:sz w:val="24"/>
          <w:szCs w:val="24"/>
          <w:lang w:val="en-US"/>
        </w:rPr>
        <w:t xml:space="preserve">and overall </w:t>
      </w:r>
      <w:r w:rsidRPr="00542749">
        <w:rPr>
          <w:rFonts w:ascii="Times New Roman" w:hAnsi="Times New Roman" w:cs="Times New Roman"/>
          <w:b/>
          <w:bCs/>
          <w:color w:val="000000" w:themeColor="text1"/>
          <w:sz w:val="24"/>
          <w:szCs w:val="24"/>
          <w:lang w:val="en-US"/>
        </w:rPr>
        <w:t>survival</w:t>
      </w:r>
      <w:bookmarkEnd w:id="9"/>
      <w:r w:rsidRPr="00542749">
        <w:rPr>
          <w:rFonts w:ascii="Times New Roman" w:hAnsi="Times New Roman" w:cs="Times New Roman"/>
          <w:b/>
          <w:bCs/>
          <w:color w:val="000000" w:themeColor="text1"/>
          <w:sz w:val="24"/>
          <w:szCs w:val="24"/>
          <w:lang w:val="en-US"/>
        </w:rPr>
        <w:t xml:space="preserve"> </w:t>
      </w:r>
    </w:p>
    <w:tbl>
      <w:tblPr>
        <w:tblW w:w="10820" w:type="dxa"/>
        <w:tblInd w:w="-998" w:type="dxa"/>
        <w:tblCellMar>
          <w:left w:w="70" w:type="dxa"/>
          <w:right w:w="70" w:type="dxa"/>
        </w:tblCellMar>
        <w:tblLook w:val="04A0" w:firstRow="1" w:lastRow="0" w:firstColumn="1" w:lastColumn="0" w:noHBand="0" w:noVBand="1"/>
      </w:tblPr>
      <w:tblGrid>
        <w:gridCol w:w="3440"/>
        <w:gridCol w:w="531"/>
        <w:gridCol w:w="1161"/>
        <w:gridCol w:w="1288"/>
        <w:gridCol w:w="680"/>
        <w:gridCol w:w="519"/>
        <w:gridCol w:w="1134"/>
        <w:gridCol w:w="1258"/>
        <w:gridCol w:w="809"/>
      </w:tblGrid>
      <w:tr w:rsidR="008C5C4F" w:rsidRPr="00542749" w14:paraId="624D825D" w14:textId="77777777" w:rsidTr="001D406B">
        <w:trPr>
          <w:trHeight w:val="320"/>
        </w:trPr>
        <w:tc>
          <w:tcPr>
            <w:tcW w:w="3440" w:type="dxa"/>
            <w:vMerge w:val="restart"/>
            <w:tcBorders>
              <w:top w:val="single" w:sz="4" w:space="0" w:color="auto"/>
              <w:left w:val="single" w:sz="4" w:space="0" w:color="auto"/>
              <w:right w:val="single" w:sz="4" w:space="0" w:color="auto"/>
            </w:tcBorders>
            <w:shd w:val="clear" w:color="auto" w:fill="auto"/>
            <w:noWrap/>
            <w:vAlign w:val="center"/>
            <w:hideMark/>
          </w:tcPr>
          <w:p w14:paraId="744C5A87" w14:textId="7D405182" w:rsidR="008C5C4F" w:rsidRPr="00542749" w:rsidRDefault="004A3C22" w:rsidP="005C182F">
            <w:pP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Variables</w:t>
            </w:r>
          </w:p>
        </w:tc>
        <w:tc>
          <w:tcPr>
            <w:tcW w:w="36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039D87E"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PFS</w:t>
            </w:r>
          </w:p>
        </w:tc>
        <w:tc>
          <w:tcPr>
            <w:tcW w:w="37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331F88"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OS</w:t>
            </w:r>
          </w:p>
        </w:tc>
      </w:tr>
      <w:tr w:rsidR="008C5C4F" w:rsidRPr="00542749" w14:paraId="15F868E8" w14:textId="77777777" w:rsidTr="001D406B">
        <w:trPr>
          <w:trHeight w:val="320"/>
        </w:trPr>
        <w:tc>
          <w:tcPr>
            <w:tcW w:w="3440" w:type="dxa"/>
            <w:vMerge/>
            <w:tcBorders>
              <w:left w:val="single" w:sz="4" w:space="0" w:color="auto"/>
              <w:bottom w:val="single" w:sz="4" w:space="0" w:color="000000"/>
              <w:right w:val="single" w:sz="4" w:space="0" w:color="auto"/>
            </w:tcBorders>
            <w:vAlign w:val="center"/>
            <w:hideMark/>
          </w:tcPr>
          <w:p w14:paraId="528F2172" w14:textId="77777777" w:rsidR="008C5C4F" w:rsidRPr="00542749" w:rsidRDefault="008C5C4F" w:rsidP="005C182F">
            <w:pPr>
              <w:rPr>
                <w:rFonts w:ascii="Times New Roman" w:eastAsia="Times New Roman" w:hAnsi="Times New Roman" w:cs="Times New Roman"/>
                <w:b/>
                <w:bCs/>
                <w:color w:val="000000"/>
                <w:sz w:val="20"/>
                <w:szCs w:val="20"/>
                <w:lang w:eastAsia="it-IT"/>
              </w:rPr>
            </w:pPr>
          </w:p>
        </w:tc>
        <w:tc>
          <w:tcPr>
            <w:tcW w:w="531" w:type="dxa"/>
            <w:tcBorders>
              <w:top w:val="single" w:sz="4" w:space="0" w:color="auto"/>
              <w:left w:val="nil"/>
              <w:bottom w:val="single" w:sz="4" w:space="0" w:color="auto"/>
            </w:tcBorders>
            <w:shd w:val="clear" w:color="auto" w:fill="auto"/>
            <w:noWrap/>
            <w:vAlign w:val="center"/>
            <w:hideMark/>
          </w:tcPr>
          <w:p w14:paraId="5802EF53"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HR</w:t>
            </w:r>
          </w:p>
        </w:tc>
        <w:tc>
          <w:tcPr>
            <w:tcW w:w="1161" w:type="dxa"/>
            <w:tcBorders>
              <w:top w:val="single" w:sz="4" w:space="0" w:color="auto"/>
              <w:bottom w:val="single" w:sz="4" w:space="0" w:color="auto"/>
            </w:tcBorders>
            <w:shd w:val="clear" w:color="auto" w:fill="auto"/>
            <w:noWrap/>
            <w:vAlign w:val="center"/>
            <w:hideMark/>
          </w:tcPr>
          <w:p w14:paraId="03A425FD"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Inf 95%CI</w:t>
            </w:r>
          </w:p>
        </w:tc>
        <w:tc>
          <w:tcPr>
            <w:tcW w:w="1288" w:type="dxa"/>
            <w:tcBorders>
              <w:top w:val="single" w:sz="4" w:space="0" w:color="auto"/>
              <w:bottom w:val="single" w:sz="4" w:space="0" w:color="auto"/>
            </w:tcBorders>
            <w:shd w:val="clear" w:color="auto" w:fill="auto"/>
            <w:noWrap/>
            <w:vAlign w:val="center"/>
            <w:hideMark/>
          </w:tcPr>
          <w:p w14:paraId="4B51FE6D"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Sup 95%CI</w:t>
            </w:r>
          </w:p>
        </w:tc>
        <w:tc>
          <w:tcPr>
            <w:tcW w:w="680" w:type="dxa"/>
            <w:tcBorders>
              <w:top w:val="single" w:sz="4" w:space="0" w:color="auto"/>
              <w:bottom w:val="single" w:sz="4" w:space="0" w:color="auto"/>
              <w:right w:val="single" w:sz="4" w:space="0" w:color="auto"/>
            </w:tcBorders>
            <w:shd w:val="clear" w:color="auto" w:fill="auto"/>
            <w:noWrap/>
            <w:vAlign w:val="center"/>
            <w:hideMark/>
          </w:tcPr>
          <w:p w14:paraId="239A792F"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P</w:t>
            </w:r>
          </w:p>
        </w:tc>
        <w:tc>
          <w:tcPr>
            <w:tcW w:w="519" w:type="dxa"/>
            <w:tcBorders>
              <w:top w:val="single" w:sz="4" w:space="0" w:color="auto"/>
              <w:left w:val="single" w:sz="4" w:space="0" w:color="auto"/>
              <w:bottom w:val="single" w:sz="4" w:space="0" w:color="auto"/>
            </w:tcBorders>
            <w:shd w:val="clear" w:color="auto" w:fill="auto"/>
            <w:noWrap/>
            <w:vAlign w:val="center"/>
            <w:hideMark/>
          </w:tcPr>
          <w:p w14:paraId="7827D4E4"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HR</w:t>
            </w:r>
          </w:p>
        </w:tc>
        <w:tc>
          <w:tcPr>
            <w:tcW w:w="1134" w:type="dxa"/>
            <w:tcBorders>
              <w:top w:val="single" w:sz="4" w:space="0" w:color="auto"/>
              <w:bottom w:val="single" w:sz="4" w:space="0" w:color="auto"/>
            </w:tcBorders>
            <w:shd w:val="clear" w:color="auto" w:fill="auto"/>
            <w:noWrap/>
            <w:vAlign w:val="center"/>
            <w:hideMark/>
          </w:tcPr>
          <w:p w14:paraId="2B1F2059"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Inf 95%CI</w:t>
            </w:r>
          </w:p>
        </w:tc>
        <w:tc>
          <w:tcPr>
            <w:tcW w:w="1258" w:type="dxa"/>
            <w:tcBorders>
              <w:top w:val="single" w:sz="4" w:space="0" w:color="auto"/>
              <w:bottom w:val="single" w:sz="4" w:space="0" w:color="auto"/>
            </w:tcBorders>
            <w:shd w:val="clear" w:color="auto" w:fill="auto"/>
            <w:noWrap/>
            <w:vAlign w:val="center"/>
            <w:hideMark/>
          </w:tcPr>
          <w:p w14:paraId="6428B100" w14:textId="77777777" w:rsidR="008C5C4F" w:rsidRPr="00542749" w:rsidRDefault="008C5C4F" w:rsidP="005C182F">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Sup 95%CI</w:t>
            </w:r>
          </w:p>
        </w:tc>
        <w:tc>
          <w:tcPr>
            <w:tcW w:w="809" w:type="dxa"/>
            <w:tcBorders>
              <w:top w:val="single" w:sz="4" w:space="0" w:color="auto"/>
              <w:bottom w:val="single" w:sz="4" w:space="0" w:color="auto"/>
              <w:right w:val="single" w:sz="4" w:space="0" w:color="auto"/>
            </w:tcBorders>
            <w:shd w:val="clear" w:color="auto" w:fill="auto"/>
            <w:noWrap/>
            <w:vAlign w:val="center"/>
            <w:hideMark/>
          </w:tcPr>
          <w:p w14:paraId="081B2F76"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P</w:t>
            </w:r>
          </w:p>
        </w:tc>
      </w:tr>
      <w:tr w:rsidR="008C5C4F" w:rsidRPr="00542749" w14:paraId="193B3399"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75DD581B"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Age (continuous)</w:t>
            </w:r>
          </w:p>
        </w:tc>
        <w:tc>
          <w:tcPr>
            <w:tcW w:w="531" w:type="dxa"/>
            <w:tcBorders>
              <w:top w:val="nil"/>
              <w:left w:val="nil"/>
              <w:bottom w:val="nil"/>
              <w:right w:val="nil"/>
            </w:tcBorders>
            <w:shd w:val="clear" w:color="auto" w:fill="auto"/>
            <w:noWrap/>
            <w:vAlign w:val="center"/>
            <w:hideMark/>
          </w:tcPr>
          <w:p w14:paraId="4789FD1E"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0.99</w:t>
            </w:r>
          </w:p>
        </w:tc>
        <w:tc>
          <w:tcPr>
            <w:tcW w:w="1161" w:type="dxa"/>
            <w:tcBorders>
              <w:top w:val="nil"/>
              <w:left w:val="nil"/>
              <w:bottom w:val="nil"/>
              <w:right w:val="nil"/>
            </w:tcBorders>
            <w:shd w:val="clear" w:color="auto" w:fill="auto"/>
            <w:noWrap/>
            <w:vAlign w:val="center"/>
            <w:hideMark/>
          </w:tcPr>
          <w:p w14:paraId="13C044B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288" w:type="dxa"/>
            <w:tcBorders>
              <w:top w:val="nil"/>
              <w:left w:val="nil"/>
              <w:bottom w:val="nil"/>
              <w:right w:val="nil"/>
            </w:tcBorders>
            <w:shd w:val="clear" w:color="auto" w:fill="auto"/>
            <w:noWrap/>
            <w:vAlign w:val="center"/>
            <w:hideMark/>
          </w:tcPr>
          <w:p w14:paraId="5219BC2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680" w:type="dxa"/>
            <w:tcBorders>
              <w:top w:val="nil"/>
              <w:left w:val="nil"/>
              <w:bottom w:val="nil"/>
              <w:right w:val="single" w:sz="4" w:space="0" w:color="auto"/>
            </w:tcBorders>
            <w:shd w:val="clear" w:color="auto" w:fill="auto"/>
            <w:noWrap/>
            <w:vAlign w:val="center"/>
            <w:hideMark/>
          </w:tcPr>
          <w:p w14:paraId="40543EE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0.414</w:t>
            </w:r>
          </w:p>
        </w:tc>
        <w:tc>
          <w:tcPr>
            <w:tcW w:w="519" w:type="dxa"/>
            <w:tcBorders>
              <w:top w:val="nil"/>
              <w:left w:val="nil"/>
              <w:bottom w:val="nil"/>
              <w:right w:val="nil"/>
            </w:tcBorders>
            <w:shd w:val="clear" w:color="auto" w:fill="auto"/>
            <w:noWrap/>
            <w:vAlign w:val="center"/>
            <w:hideMark/>
          </w:tcPr>
          <w:p w14:paraId="7AFDB46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1.00</w:t>
            </w:r>
          </w:p>
        </w:tc>
        <w:tc>
          <w:tcPr>
            <w:tcW w:w="1134" w:type="dxa"/>
            <w:tcBorders>
              <w:top w:val="nil"/>
              <w:left w:val="nil"/>
              <w:bottom w:val="nil"/>
              <w:right w:val="nil"/>
            </w:tcBorders>
            <w:shd w:val="clear" w:color="auto" w:fill="auto"/>
            <w:noWrap/>
            <w:vAlign w:val="center"/>
            <w:hideMark/>
          </w:tcPr>
          <w:p w14:paraId="71FEABC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258" w:type="dxa"/>
            <w:tcBorders>
              <w:top w:val="nil"/>
              <w:left w:val="nil"/>
              <w:bottom w:val="nil"/>
              <w:right w:val="nil"/>
            </w:tcBorders>
            <w:shd w:val="clear" w:color="auto" w:fill="auto"/>
            <w:noWrap/>
            <w:vAlign w:val="center"/>
            <w:hideMark/>
          </w:tcPr>
          <w:p w14:paraId="5210114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1.02</w:t>
            </w:r>
          </w:p>
        </w:tc>
        <w:tc>
          <w:tcPr>
            <w:tcW w:w="809" w:type="dxa"/>
            <w:tcBorders>
              <w:top w:val="nil"/>
              <w:left w:val="nil"/>
              <w:bottom w:val="nil"/>
              <w:right w:val="single" w:sz="4" w:space="0" w:color="auto"/>
            </w:tcBorders>
            <w:shd w:val="clear" w:color="auto" w:fill="auto"/>
            <w:noWrap/>
            <w:vAlign w:val="center"/>
            <w:hideMark/>
          </w:tcPr>
          <w:p w14:paraId="4D74E9D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0.861</w:t>
            </w:r>
          </w:p>
        </w:tc>
      </w:tr>
      <w:tr w:rsidR="008C5C4F" w:rsidRPr="00542749" w14:paraId="13DC8E55"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0F37364C"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Sex (Male vs. Female)</w:t>
            </w:r>
          </w:p>
        </w:tc>
        <w:tc>
          <w:tcPr>
            <w:tcW w:w="531" w:type="dxa"/>
            <w:tcBorders>
              <w:top w:val="nil"/>
              <w:left w:val="nil"/>
              <w:bottom w:val="nil"/>
              <w:right w:val="nil"/>
            </w:tcBorders>
            <w:shd w:val="clear" w:color="auto" w:fill="auto"/>
            <w:noWrap/>
            <w:vAlign w:val="center"/>
            <w:hideMark/>
          </w:tcPr>
          <w:p w14:paraId="542AC08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0.83</w:t>
            </w:r>
          </w:p>
        </w:tc>
        <w:tc>
          <w:tcPr>
            <w:tcW w:w="1161" w:type="dxa"/>
            <w:tcBorders>
              <w:top w:val="nil"/>
              <w:left w:val="nil"/>
              <w:bottom w:val="nil"/>
              <w:right w:val="nil"/>
            </w:tcBorders>
            <w:shd w:val="clear" w:color="auto" w:fill="auto"/>
            <w:noWrap/>
            <w:vAlign w:val="center"/>
            <w:hideMark/>
          </w:tcPr>
          <w:p w14:paraId="0729AAE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0.57</w:t>
            </w:r>
          </w:p>
        </w:tc>
        <w:tc>
          <w:tcPr>
            <w:tcW w:w="1288" w:type="dxa"/>
            <w:tcBorders>
              <w:top w:val="nil"/>
              <w:left w:val="nil"/>
              <w:bottom w:val="nil"/>
              <w:right w:val="nil"/>
            </w:tcBorders>
            <w:shd w:val="clear" w:color="auto" w:fill="auto"/>
            <w:noWrap/>
            <w:vAlign w:val="center"/>
            <w:hideMark/>
          </w:tcPr>
          <w:p w14:paraId="648D426B"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1.22</w:t>
            </w:r>
          </w:p>
        </w:tc>
        <w:tc>
          <w:tcPr>
            <w:tcW w:w="680" w:type="dxa"/>
            <w:tcBorders>
              <w:top w:val="nil"/>
              <w:left w:val="nil"/>
              <w:bottom w:val="nil"/>
              <w:right w:val="single" w:sz="4" w:space="0" w:color="auto"/>
            </w:tcBorders>
            <w:shd w:val="clear" w:color="auto" w:fill="auto"/>
            <w:noWrap/>
            <w:vAlign w:val="center"/>
            <w:hideMark/>
          </w:tcPr>
          <w:p w14:paraId="1A39E40E"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0.343</w:t>
            </w:r>
          </w:p>
        </w:tc>
        <w:tc>
          <w:tcPr>
            <w:tcW w:w="519" w:type="dxa"/>
            <w:tcBorders>
              <w:top w:val="nil"/>
              <w:left w:val="nil"/>
              <w:bottom w:val="nil"/>
              <w:right w:val="nil"/>
            </w:tcBorders>
            <w:shd w:val="clear" w:color="auto" w:fill="auto"/>
            <w:noWrap/>
            <w:vAlign w:val="center"/>
            <w:hideMark/>
          </w:tcPr>
          <w:p w14:paraId="39EEB71E"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0.78</w:t>
            </w:r>
          </w:p>
        </w:tc>
        <w:tc>
          <w:tcPr>
            <w:tcW w:w="1134" w:type="dxa"/>
            <w:tcBorders>
              <w:top w:val="nil"/>
              <w:left w:val="nil"/>
              <w:bottom w:val="nil"/>
              <w:right w:val="nil"/>
            </w:tcBorders>
            <w:shd w:val="clear" w:color="auto" w:fill="auto"/>
            <w:noWrap/>
            <w:vAlign w:val="center"/>
            <w:hideMark/>
          </w:tcPr>
          <w:p w14:paraId="15F3BF0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0.50</w:t>
            </w:r>
          </w:p>
        </w:tc>
        <w:tc>
          <w:tcPr>
            <w:tcW w:w="1258" w:type="dxa"/>
            <w:tcBorders>
              <w:top w:val="nil"/>
              <w:left w:val="nil"/>
              <w:bottom w:val="nil"/>
              <w:right w:val="nil"/>
            </w:tcBorders>
            <w:shd w:val="clear" w:color="auto" w:fill="auto"/>
            <w:noWrap/>
            <w:vAlign w:val="center"/>
            <w:hideMark/>
          </w:tcPr>
          <w:p w14:paraId="42F56F0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1.20</w:t>
            </w:r>
          </w:p>
        </w:tc>
        <w:tc>
          <w:tcPr>
            <w:tcW w:w="809" w:type="dxa"/>
            <w:tcBorders>
              <w:top w:val="nil"/>
              <w:left w:val="nil"/>
              <w:bottom w:val="nil"/>
              <w:right w:val="single" w:sz="4" w:space="0" w:color="auto"/>
            </w:tcBorders>
            <w:shd w:val="clear" w:color="auto" w:fill="auto"/>
            <w:noWrap/>
            <w:vAlign w:val="center"/>
            <w:hideMark/>
          </w:tcPr>
          <w:p w14:paraId="5CB12B7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0.253</w:t>
            </w:r>
          </w:p>
        </w:tc>
      </w:tr>
      <w:tr w:rsidR="008C5C4F" w:rsidRPr="00542749" w14:paraId="60331964"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0F4D0529"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ECOG (0-1 vs. 2-3)</w:t>
            </w:r>
          </w:p>
        </w:tc>
        <w:tc>
          <w:tcPr>
            <w:tcW w:w="531" w:type="dxa"/>
            <w:tcBorders>
              <w:top w:val="nil"/>
              <w:left w:val="nil"/>
              <w:bottom w:val="nil"/>
              <w:right w:val="nil"/>
            </w:tcBorders>
            <w:shd w:val="clear" w:color="auto" w:fill="auto"/>
            <w:noWrap/>
            <w:vAlign w:val="center"/>
            <w:hideMark/>
          </w:tcPr>
          <w:p w14:paraId="18CBA4C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0.93</w:t>
            </w:r>
          </w:p>
        </w:tc>
        <w:tc>
          <w:tcPr>
            <w:tcW w:w="1161" w:type="dxa"/>
            <w:tcBorders>
              <w:top w:val="nil"/>
              <w:left w:val="nil"/>
              <w:bottom w:val="nil"/>
              <w:right w:val="nil"/>
            </w:tcBorders>
            <w:shd w:val="clear" w:color="auto" w:fill="auto"/>
            <w:noWrap/>
            <w:vAlign w:val="center"/>
            <w:hideMark/>
          </w:tcPr>
          <w:p w14:paraId="577E1B1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0.50</w:t>
            </w:r>
          </w:p>
        </w:tc>
        <w:tc>
          <w:tcPr>
            <w:tcW w:w="1288" w:type="dxa"/>
            <w:tcBorders>
              <w:top w:val="nil"/>
              <w:left w:val="nil"/>
              <w:bottom w:val="nil"/>
              <w:right w:val="nil"/>
            </w:tcBorders>
            <w:shd w:val="clear" w:color="auto" w:fill="auto"/>
            <w:noWrap/>
            <w:vAlign w:val="center"/>
            <w:hideMark/>
          </w:tcPr>
          <w:p w14:paraId="1BE1702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1.73</w:t>
            </w:r>
          </w:p>
        </w:tc>
        <w:tc>
          <w:tcPr>
            <w:tcW w:w="680" w:type="dxa"/>
            <w:tcBorders>
              <w:top w:val="nil"/>
              <w:left w:val="nil"/>
              <w:bottom w:val="nil"/>
              <w:right w:val="single" w:sz="4" w:space="0" w:color="auto"/>
            </w:tcBorders>
            <w:shd w:val="clear" w:color="auto" w:fill="auto"/>
            <w:noWrap/>
            <w:vAlign w:val="center"/>
            <w:hideMark/>
          </w:tcPr>
          <w:p w14:paraId="3297A61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0.822</w:t>
            </w:r>
          </w:p>
        </w:tc>
        <w:tc>
          <w:tcPr>
            <w:tcW w:w="519" w:type="dxa"/>
            <w:tcBorders>
              <w:top w:val="nil"/>
              <w:left w:val="nil"/>
              <w:bottom w:val="nil"/>
              <w:right w:val="nil"/>
            </w:tcBorders>
            <w:shd w:val="clear" w:color="auto" w:fill="auto"/>
            <w:noWrap/>
            <w:vAlign w:val="center"/>
            <w:hideMark/>
          </w:tcPr>
          <w:p w14:paraId="7ECB7CB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1134" w:type="dxa"/>
            <w:tcBorders>
              <w:top w:val="nil"/>
              <w:left w:val="nil"/>
              <w:bottom w:val="nil"/>
              <w:right w:val="nil"/>
            </w:tcBorders>
            <w:shd w:val="clear" w:color="auto" w:fill="auto"/>
            <w:noWrap/>
            <w:vAlign w:val="center"/>
            <w:hideMark/>
          </w:tcPr>
          <w:p w14:paraId="5F7D94A9"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0.49</w:t>
            </w:r>
          </w:p>
        </w:tc>
        <w:tc>
          <w:tcPr>
            <w:tcW w:w="1258" w:type="dxa"/>
            <w:tcBorders>
              <w:top w:val="nil"/>
              <w:left w:val="nil"/>
              <w:bottom w:val="nil"/>
              <w:right w:val="nil"/>
            </w:tcBorders>
            <w:shd w:val="clear" w:color="auto" w:fill="auto"/>
            <w:noWrap/>
            <w:vAlign w:val="center"/>
            <w:hideMark/>
          </w:tcPr>
          <w:p w14:paraId="6FBCF92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2.10</w:t>
            </w:r>
          </w:p>
        </w:tc>
        <w:tc>
          <w:tcPr>
            <w:tcW w:w="809" w:type="dxa"/>
            <w:tcBorders>
              <w:top w:val="nil"/>
              <w:left w:val="nil"/>
              <w:bottom w:val="nil"/>
              <w:right w:val="single" w:sz="4" w:space="0" w:color="auto"/>
            </w:tcBorders>
            <w:shd w:val="clear" w:color="auto" w:fill="auto"/>
            <w:noWrap/>
            <w:vAlign w:val="center"/>
            <w:hideMark/>
          </w:tcPr>
          <w:p w14:paraId="3FB00EC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0.976</w:t>
            </w:r>
          </w:p>
        </w:tc>
      </w:tr>
      <w:tr w:rsidR="008C5C4F" w:rsidRPr="00542749" w14:paraId="0043733B"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23620744" w14:textId="77777777" w:rsidR="008C5C4F" w:rsidRPr="00542749" w:rsidRDefault="008C5C4F"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Metastatic at diagnosis (Yes vs. No)</w:t>
            </w:r>
          </w:p>
        </w:tc>
        <w:tc>
          <w:tcPr>
            <w:tcW w:w="531" w:type="dxa"/>
            <w:tcBorders>
              <w:top w:val="nil"/>
              <w:left w:val="nil"/>
              <w:bottom w:val="nil"/>
              <w:right w:val="nil"/>
            </w:tcBorders>
            <w:shd w:val="clear" w:color="auto" w:fill="auto"/>
            <w:noWrap/>
            <w:vAlign w:val="center"/>
            <w:hideMark/>
          </w:tcPr>
          <w:p w14:paraId="02BD91C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0.79</w:t>
            </w:r>
          </w:p>
        </w:tc>
        <w:tc>
          <w:tcPr>
            <w:tcW w:w="1161" w:type="dxa"/>
            <w:tcBorders>
              <w:top w:val="nil"/>
              <w:left w:val="nil"/>
              <w:bottom w:val="nil"/>
              <w:right w:val="nil"/>
            </w:tcBorders>
            <w:shd w:val="clear" w:color="auto" w:fill="auto"/>
            <w:noWrap/>
            <w:vAlign w:val="center"/>
            <w:hideMark/>
          </w:tcPr>
          <w:p w14:paraId="3D8F0DA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0.55</w:t>
            </w:r>
          </w:p>
        </w:tc>
        <w:tc>
          <w:tcPr>
            <w:tcW w:w="1288" w:type="dxa"/>
            <w:tcBorders>
              <w:top w:val="nil"/>
              <w:left w:val="nil"/>
              <w:bottom w:val="nil"/>
              <w:right w:val="nil"/>
            </w:tcBorders>
            <w:shd w:val="clear" w:color="auto" w:fill="auto"/>
            <w:noWrap/>
            <w:vAlign w:val="center"/>
            <w:hideMark/>
          </w:tcPr>
          <w:p w14:paraId="340AE77B"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1.13</w:t>
            </w:r>
          </w:p>
        </w:tc>
        <w:tc>
          <w:tcPr>
            <w:tcW w:w="680" w:type="dxa"/>
            <w:tcBorders>
              <w:top w:val="nil"/>
              <w:left w:val="nil"/>
              <w:bottom w:val="nil"/>
              <w:right w:val="single" w:sz="4" w:space="0" w:color="auto"/>
            </w:tcBorders>
            <w:shd w:val="clear" w:color="auto" w:fill="auto"/>
            <w:noWrap/>
            <w:vAlign w:val="center"/>
            <w:hideMark/>
          </w:tcPr>
          <w:p w14:paraId="215F2C2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0.199</w:t>
            </w:r>
          </w:p>
        </w:tc>
        <w:tc>
          <w:tcPr>
            <w:tcW w:w="519" w:type="dxa"/>
            <w:tcBorders>
              <w:top w:val="nil"/>
              <w:left w:val="nil"/>
              <w:bottom w:val="nil"/>
              <w:right w:val="nil"/>
            </w:tcBorders>
            <w:shd w:val="clear" w:color="auto" w:fill="auto"/>
            <w:noWrap/>
            <w:vAlign w:val="center"/>
            <w:hideMark/>
          </w:tcPr>
          <w:p w14:paraId="5B2EBA0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1.02</w:t>
            </w:r>
          </w:p>
        </w:tc>
        <w:tc>
          <w:tcPr>
            <w:tcW w:w="1134" w:type="dxa"/>
            <w:tcBorders>
              <w:top w:val="nil"/>
              <w:left w:val="nil"/>
              <w:bottom w:val="nil"/>
              <w:right w:val="nil"/>
            </w:tcBorders>
            <w:shd w:val="clear" w:color="auto" w:fill="auto"/>
            <w:noWrap/>
            <w:vAlign w:val="center"/>
            <w:hideMark/>
          </w:tcPr>
          <w:p w14:paraId="2AA365C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0.67</w:t>
            </w:r>
          </w:p>
        </w:tc>
        <w:tc>
          <w:tcPr>
            <w:tcW w:w="1258" w:type="dxa"/>
            <w:tcBorders>
              <w:top w:val="nil"/>
              <w:left w:val="nil"/>
              <w:bottom w:val="nil"/>
              <w:right w:val="nil"/>
            </w:tcBorders>
            <w:shd w:val="clear" w:color="auto" w:fill="auto"/>
            <w:noWrap/>
            <w:vAlign w:val="center"/>
            <w:hideMark/>
          </w:tcPr>
          <w:p w14:paraId="5985395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1.55</w:t>
            </w:r>
          </w:p>
        </w:tc>
        <w:tc>
          <w:tcPr>
            <w:tcW w:w="809" w:type="dxa"/>
            <w:tcBorders>
              <w:top w:val="nil"/>
              <w:left w:val="nil"/>
              <w:bottom w:val="nil"/>
              <w:right w:val="single" w:sz="4" w:space="0" w:color="auto"/>
            </w:tcBorders>
            <w:shd w:val="clear" w:color="auto" w:fill="auto"/>
            <w:noWrap/>
            <w:vAlign w:val="center"/>
            <w:hideMark/>
          </w:tcPr>
          <w:p w14:paraId="66F5D6E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0.927</w:t>
            </w:r>
          </w:p>
        </w:tc>
      </w:tr>
      <w:tr w:rsidR="008C5C4F" w:rsidRPr="00542749" w14:paraId="046FD653"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36A86132"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Cancer site (NSCLC reference)</w:t>
            </w:r>
          </w:p>
        </w:tc>
        <w:tc>
          <w:tcPr>
            <w:tcW w:w="531" w:type="dxa"/>
            <w:tcBorders>
              <w:top w:val="nil"/>
              <w:left w:val="nil"/>
              <w:bottom w:val="nil"/>
              <w:right w:val="nil"/>
            </w:tcBorders>
            <w:shd w:val="clear" w:color="auto" w:fill="auto"/>
            <w:noWrap/>
            <w:vAlign w:val="center"/>
            <w:hideMark/>
          </w:tcPr>
          <w:p w14:paraId="74A58EE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 </w:t>
            </w:r>
          </w:p>
        </w:tc>
        <w:tc>
          <w:tcPr>
            <w:tcW w:w="1161" w:type="dxa"/>
            <w:tcBorders>
              <w:top w:val="nil"/>
              <w:left w:val="nil"/>
              <w:bottom w:val="nil"/>
              <w:right w:val="nil"/>
            </w:tcBorders>
            <w:shd w:val="clear" w:color="auto" w:fill="auto"/>
            <w:noWrap/>
            <w:vAlign w:val="center"/>
            <w:hideMark/>
          </w:tcPr>
          <w:p w14:paraId="0E6951E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p>
        </w:tc>
        <w:tc>
          <w:tcPr>
            <w:tcW w:w="1288" w:type="dxa"/>
            <w:tcBorders>
              <w:top w:val="nil"/>
              <w:left w:val="nil"/>
              <w:bottom w:val="nil"/>
              <w:right w:val="nil"/>
            </w:tcBorders>
            <w:shd w:val="clear" w:color="auto" w:fill="auto"/>
            <w:noWrap/>
            <w:vAlign w:val="center"/>
            <w:hideMark/>
          </w:tcPr>
          <w:p w14:paraId="7977ADC2" w14:textId="77777777" w:rsidR="008C5C4F" w:rsidRPr="00542749" w:rsidRDefault="008C5C4F" w:rsidP="005C182F">
            <w:pPr>
              <w:jc w:val="center"/>
              <w:rPr>
                <w:rFonts w:ascii="Times New Roman" w:eastAsia="Times New Roman" w:hAnsi="Times New Roman" w:cs="Times New Roman"/>
                <w:sz w:val="20"/>
                <w:szCs w:val="20"/>
                <w:lang w:eastAsia="it-IT"/>
              </w:rPr>
            </w:pPr>
          </w:p>
        </w:tc>
        <w:tc>
          <w:tcPr>
            <w:tcW w:w="680" w:type="dxa"/>
            <w:tcBorders>
              <w:top w:val="nil"/>
              <w:left w:val="nil"/>
              <w:bottom w:val="nil"/>
              <w:right w:val="single" w:sz="4" w:space="0" w:color="auto"/>
            </w:tcBorders>
            <w:shd w:val="clear" w:color="auto" w:fill="auto"/>
            <w:noWrap/>
            <w:vAlign w:val="center"/>
            <w:hideMark/>
          </w:tcPr>
          <w:p w14:paraId="7F51D712"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0.009</w:t>
            </w:r>
          </w:p>
        </w:tc>
        <w:tc>
          <w:tcPr>
            <w:tcW w:w="519" w:type="dxa"/>
            <w:tcBorders>
              <w:top w:val="nil"/>
              <w:left w:val="nil"/>
              <w:bottom w:val="nil"/>
              <w:right w:val="nil"/>
            </w:tcBorders>
            <w:shd w:val="clear" w:color="auto" w:fill="auto"/>
            <w:noWrap/>
            <w:vAlign w:val="center"/>
            <w:hideMark/>
          </w:tcPr>
          <w:p w14:paraId="01B4C77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auto" w:fill="auto"/>
            <w:noWrap/>
            <w:vAlign w:val="center"/>
            <w:hideMark/>
          </w:tcPr>
          <w:p w14:paraId="0F544EA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p>
        </w:tc>
        <w:tc>
          <w:tcPr>
            <w:tcW w:w="1258" w:type="dxa"/>
            <w:tcBorders>
              <w:top w:val="nil"/>
              <w:left w:val="nil"/>
              <w:bottom w:val="nil"/>
              <w:right w:val="nil"/>
            </w:tcBorders>
            <w:shd w:val="clear" w:color="auto" w:fill="auto"/>
            <w:noWrap/>
            <w:vAlign w:val="center"/>
            <w:hideMark/>
          </w:tcPr>
          <w:p w14:paraId="30597E1D" w14:textId="77777777" w:rsidR="008C5C4F" w:rsidRPr="00542749" w:rsidRDefault="008C5C4F" w:rsidP="005C182F">
            <w:pPr>
              <w:jc w:val="center"/>
              <w:rPr>
                <w:rFonts w:ascii="Times New Roman" w:eastAsia="Times New Roman" w:hAnsi="Times New Roman" w:cs="Times New Roman"/>
                <w:sz w:val="20"/>
                <w:szCs w:val="20"/>
                <w:lang w:eastAsia="it-IT"/>
              </w:rPr>
            </w:pPr>
          </w:p>
        </w:tc>
        <w:tc>
          <w:tcPr>
            <w:tcW w:w="809" w:type="dxa"/>
            <w:tcBorders>
              <w:top w:val="nil"/>
              <w:left w:val="nil"/>
              <w:bottom w:val="nil"/>
              <w:right w:val="single" w:sz="4" w:space="0" w:color="auto"/>
            </w:tcBorders>
            <w:shd w:val="clear" w:color="auto" w:fill="auto"/>
            <w:noWrap/>
            <w:vAlign w:val="center"/>
            <w:hideMark/>
          </w:tcPr>
          <w:p w14:paraId="7447E02B" w14:textId="1FE33AE3"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w:t>
            </w:r>
            <w:r w:rsidR="00C76C3F" w:rsidRPr="00542749">
              <w:rPr>
                <w:rFonts w:ascii="Times New Roman" w:eastAsia="Times New Roman" w:hAnsi="Times New Roman" w:cs="Times New Roman"/>
                <w:b/>
                <w:bCs/>
                <w:i/>
                <w:iCs/>
                <w:color w:val="000000"/>
                <w:sz w:val="20"/>
                <w:szCs w:val="20"/>
                <w:lang w:eastAsia="it-IT"/>
              </w:rPr>
              <w:t>027</w:t>
            </w:r>
          </w:p>
        </w:tc>
      </w:tr>
      <w:tr w:rsidR="008C5C4F" w:rsidRPr="00542749" w14:paraId="10D85A9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517DD5A4" w14:textId="77777777" w:rsidR="008C5C4F" w:rsidRPr="00542749" w:rsidRDefault="008C5C4F" w:rsidP="000F6884">
            <w:pPr>
              <w:jc w:val="right"/>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GI tumors</w:t>
            </w:r>
          </w:p>
        </w:tc>
        <w:tc>
          <w:tcPr>
            <w:tcW w:w="531" w:type="dxa"/>
            <w:tcBorders>
              <w:top w:val="nil"/>
              <w:left w:val="nil"/>
              <w:bottom w:val="nil"/>
              <w:right w:val="nil"/>
            </w:tcBorders>
            <w:shd w:val="clear" w:color="auto" w:fill="auto"/>
            <w:noWrap/>
            <w:vAlign w:val="center"/>
            <w:hideMark/>
          </w:tcPr>
          <w:p w14:paraId="6379C3DA" w14:textId="62D11CB6" w:rsidR="008C5C4F" w:rsidRPr="00542749" w:rsidRDefault="007D655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1.92</w:t>
            </w:r>
          </w:p>
        </w:tc>
        <w:tc>
          <w:tcPr>
            <w:tcW w:w="1161" w:type="dxa"/>
            <w:tcBorders>
              <w:top w:val="nil"/>
              <w:left w:val="nil"/>
              <w:bottom w:val="nil"/>
              <w:right w:val="nil"/>
            </w:tcBorders>
            <w:shd w:val="clear" w:color="auto" w:fill="auto"/>
            <w:noWrap/>
            <w:vAlign w:val="center"/>
            <w:hideMark/>
          </w:tcPr>
          <w:p w14:paraId="515B62C7" w14:textId="0B4758C6" w:rsidR="008C5C4F" w:rsidRPr="00542749" w:rsidRDefault="007D655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1.16</w:t>
            </w:r>
          </w:p>
        </w:tc>
        <w:tc>
          <w:tcPr>
            <w:tcW w:w="1288" w:type="dxa"/>
            <w:tcBorders>
              <w:top w:val="nil"/>
              <w:left w:val="nil"/>
              <w:bottom w:val="nil"/>
              <w:right w:val="nil"/>
            </w:tcBorders>
            <w:shd w:val="clear" w:color="auto" w:fill="auto"/>
            <w:noWrap/>
            <w:vAlign w:val="center"/>
            <w:hideMark/>
          </w:tcPr>
          <w:p w14:paraId="39E94B4E" w14:textId="4B255190" w:rsidR="008C5C4F" w:rsidRPr="00542749" w:rsidRDefault="007D655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3.18</w:t>
            </w:r>
          </w:p>
        </w:tc>
        <w:tc>
          <w:tcPr>
            <w:tcW w:w="680" w:type="dxa"/>
            <w:tcBorders>
              <w:top w:val="nil"/>
              <w:left w:val="nil"/>
              <w:bottom w:val="nil"/>
              <w:right w:val="single" w:sz="4" w:space="0" w:color="auto"/>
            </w:tcBorders>
            <w:shd w:val="clear" w:color="auto" w:fill="auto"/>
            <w:noWrap/>
            <w:vAlign w:val="center"/>
            <w:hideMark/>
          </w:tcPr>
          <w:p w14:paraId="45FAAF1A" w14:textId="71B6CC8A"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0.01</w:t>
            </w:r>
            <w:r w:rsidR="007D655F" w:rsidRPr="00542749">
              <w:rPr>
                <w:rFonts w:ascii="Times New Roman" w:eastAsia="Times New Roman" w:hAnsi="Times New Roman" w:cs="Times New Roman"/>
                <w:b/>
                <w:bCs/>
                <w:i/>
                <w:iCs/>
                <w:color w:val="000000"/>
                <w:sz w:val="20"/>
                <w:szCs w:val="20"/>
                <w:lang w:eastAsia="it-IT"/>
              </w:rPr>
              <w:t>1</w:t>
            </w:r>
          </w:p>
        </w:tc>
        <w:tc>
          <w:tcPr>
            <w:tcW w:w="519" w:type="dxa"/>
            <w:tcBorders>
              <w:top w:val="nil"/>
              <w:left w:val="nil"/>
              <w:bottom w:val="nil"/>
              <w:right w:val="nil"/>
            </w:tcBorders>
            <w:shd w:val="clear" w:color="auto" w:fill="auto"/>
            <w:noWrap/>
            <w:vAlign w:val="center"/>
            <w:hideMark/>
          </w:tcPr>
          <w:p w14:paraId="3D1C420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0.51</w:t>
            </w:r>
          </w:p>
        </w:tc>
        <w:tc>
          <w:tcPr>
            <w:tcW w:w="1134" w:type="dxa"/>
            <w:tcBorders>
              <w:top w:val="nil"/>
              <w:left w:val="nil"/>
              <w:bottom w:val="nil"/>
              <w:right w:val="nil"/>
            </w:tcBorders>
            <w:shd w:val="clear" w:color="auto" w:fill="auto"/>
            <w:noWrap/>
            <w:vAlign w:val="center"/>
            <w:hideMark/>
          </w:tcPr>
          <w:p w14:paraId="001DC84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0.23</w:t>
            </w:r>
          </w:p>
        </w:tc>
        <w:tc>
          <w:tcPr>
            <w:tcW w:w="1258" w:type="dxa"/>
            <w:tcBorders>
              <w:top w:val="nil"/>
              <w:left w:val="nil"/>
              <w:bottom w:val="nil"/>
              <w:right w:val="nil"/>
            </w:tcBorders>
            <w:shd w:val="clear" w:color="auto" w:fill="auto"/>
            <w:noWrap/>
            <w:vAlign w:val="center"/>
            <w:hideMark/>
          </w:tcPr>
          <w:p w14:paraId="11984AEB"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1.12</w:t>
            </w:r>
          </w:p>
        </w:tc>
        <w:tc>
          <w:tcPr>
            <w:tcW w:w="809" w:type="dxa"/>
            <w:tcBorders>
              <w:top w:val="nil"/>
              <w:left w:val="nil"/>
              <w:bottom w:val="nil"/>
              <w:right w:val="single" w:sz="4" w:space="0" w:color="auto"/>
            </w:tcBorders>
            <w:shd w:val="clear" w:color="auto" w:fill="auto"/>
            <w:noWrap/>
            <w:vAlign w:val="center"/>
            <w:hideMark/>
          </w:tcPr>
          <w:p w14:paraId="1A7EE30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0.094</w:t>
            </w:r>
          </w:p>
        </w:tc>
      </w:tr>
      <w:tr w:rsidR="008C5C4F" w:rsidRPr="00542749" w14:paraId="014DA9B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57183717" w14:textId="77777777" w:rsidR="008C5C4F" w:rsidRPr="00542749" w:rsidRDefault="008C5C4F" w:rsidP="000F6884">
            <w:pPr>
              <w:jc w:val="right"/>
              <w:rPr>
                <w:rFonts w:ascii="Times New Roman" w:eastAsia="Times New Roman" w:hAnsi="Times New Roman" w:cs="Times New Roman"/>
                <w:i/>
                <w:iCs/>
                <w:color w:val="000000"/>
                <w:sz w:val="20"/>
                <w:szCs w:val="20"/>
                <w:lang w:val="it-IT" w:eastAsia="it-IT"/>
              </w:rPr>
            </w:pPr>
            <w:r w:rsidRPr="00542749">
              <w:rPr>
                <w:rFonts w:ascii="Times New Roman" w:eastAsia="Times New Roman" w:hAnsi="Times New Roman" w:cs="Times New Roman"/>
                <w:i/>
                <w:iCs/>
                <w:color w:val="000000"/>
                <w:sz w:val="20"/>
                <w:szCs w:val="20"/>
                <w:lang w:val="it-IT" w:eastAsia="it-IT"/>
              </w:rPr>
              <w:t>Melanoma + H&amp;N + rare tumors</w:t>
            </w:r>
          </w:p>
        </w:tc>
        <w:tc>
          <w:tcPr>
            <w:tcW w:w="531" w:type="dxa"/>
            <w:tcBorders>
              <w:top w:val="nil"/>
              <w:left w:val="nil"/>
              <w:bottom w:val="nil"/>
              <w:right w:val="nil"/>
            </w:tcBorders>
            <w:shd w:val="clear" w:color="auto" w:fill="auto"/>
            <w:noWrap/>
            <w:vAlign w:val="center"/>
            <w:hideMark/>
          </w:tcPr>
          <w:p w14:paraId="57065064" w14:textId="0CD1B210" w:rsidR="008C5C4F" w:rsidRPr="00542749" w:rsidRDefault="007D655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2.26</w:t>
            </w:r>
          </w:p>
        </w:tc>
        <w:tc>
          <w:tcPr>
            <w:tcW w:w="1161" w:type="dxa"/>
            <w:tcBorders>
              <w:top w:val="nil"/>
              <w:left w:val="nil"/>
              <w:bottom w:val="nil"/>
              <w:right w:val="nil"/>
            </w:tcBorders>
            <w:shd w:val="clear" w:color="auto" w:fill="auto"/>
            <w:noWrap/>
            <w:vAlign w:val="center"/>
            <w:hideMark/>
          </w:tcPr>
          <w:p w14:paraId="2846F2FB" w14:textId="63A8C0E4" w:rsidR="008C5C4F" w:rsidRPr="00542749" w:rsidRDefault="007D655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1.32</w:t>
            </w:r>
          </w:p>
        </w:tc>
        <w:tc>
          <w:tcPr>
            <w:tcW w:w="1288" w:type="dxa"/>
            <w:tcBorders>
              <w:top w:val="nil"/>
              <w:left w:val="nil"/>
              <w:bottom w:val="nil"/>
              <w:right w:val="nil"/>
            </w:tcBorders>
            <w:shd w:val="clear" w:color="auto" w:fill="auto"/>
            <w:noWrap/>
            <w:vAlign w:val="center"/>
            <w:hideMark/>
          </w:tcPr>
          <w:p w14:paraId="44E45B2E" w14:textId="5BFCC3B1" w:rsidR="008C5C4F" w:rsidRPr="00542749" w:rsidRDefault="007D655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3.88</w:t>
            </w:r>
          </w:p>
        </w:tc>
        <w:tc>
          <w:tcPr>
            <w:tcW w:w="680" w:type="dxa"/>
            <w:tcBorders>
              <w:top w:val="nil"/>
              <w:left w:val="nil"/>
              <w:bottom w:val="nil"/>
              <w:right w:val="single" w:sz="4" w:space="0" w:color="auto"/>
            </w:tcBorders>
            <w:shd w:val="clear" w:color="auto" w:fill="auto"/>
            <w:noWrap/>
            <w:vAlign w:val="center"/>
            <w:hideMark/>
          </w:tcPr>
          <w:p w14:paraId="078ABEF1" w14:textId="0AEC477A"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w:t>
            </w:r>
            <w:r w:rsidR="007D655F" w:rsidRPr="00542749">
              <w:rPr>
                <w:rFonts w:ascii="Times New Roman" w:eastAsia="Times New Roman" w:hAnsi="Times New Roman" w:cs="Times New Roman"/>
                <w:b/>
                <w:bCs/>
                <w:i/>
                <w:iCs/>
                <w:color w:val="000000"/>
                <w:sz w:val="20"/>
                <w:szCs w:val="20"/>
                <w:lang w:eastAsia="it-IT"/>
              </w:rPr>
              <w:t>003</w:t>
            </w:r>
          </w:p>
        </w:tc>
        <w:tc>
          <w:tcPr>
            <w:tcW w:w="519" w:type="dxa"/>
            <w:tcBorders>
              <w:top w:val="nil"/>
              <w:left w:val="nil"/>
              <w:bottom w:val="nil"/>
              <w:right w:val="nil"/>
            </w:tcBorders>
            <w:shd w:val="clear" w:color="auto" w:fill="auto"/>
            <w:noWrap/>
            <w:vAlign w:val="center"/>
            <w:hideMark/>
          </w:tcPr>
          <w:p w14:paraId="70CBE51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1.19</w:t>
            </w:r>
          </w:p>
        </w:tc>
        <w:tc>
          <w:tcPr>
            <w:tcW w:w="1134" w:type="dxa"/>
            <w:tcBorders>
              <w:top w:val="nil"/>
              <w:left w:val="nil"/>
              <w:bottom w:val="nil"/>
              <w:right w:val="nil"/>
            </w:tcBorders>
            <w:shd w:val="clear" w:color="auto" w:fill="auto"/>
            <w:noWrap/>
            <w:vAlign w:val="center"/>
            <w:hideMark/>
          </w:tcPr>
          <w:p w14:paraId="592160E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0.58</w:t>
            </w:r>
          </w:p>
        </w:tc>
        <w:tc>
          <w:tcPr>
            <w:tcW w:w="1258" w:type="dxa"/>
            <w:tcBorders>
              <w:top w:val="nil"/>
              <w:left w:val="nil"/>
              <w:bottom w:val="nil"/>
              <w:right w:val="nil"/>
            </w:tcBorders>
            <w:shd w:val="clear" w:color="auto" w:fill="auto"/>
            <w:noWrap/>
            <w:vAlign w:val="center"/>
            <w:hideMark/>
          </w:tcPr>
          <w:p w14:paraId="708F4FF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2.47</w:t>
            </w:r>
          </w:p>
        </w:tc>
        <w:tc>
          <w:tcPr>
            <w:tcW w:w="809" w:type="dxa"/>
            <w:tcBorders>
              <w:top w:val="nil"/>
              <w:left w:val="nil"/>
              <w:bottom w:val="nil"/>
              <w:right w:val="single" w:sz="4" w:space="0" w:color="auto"/>
            </w:tcBorders>
            <w:shd w:val="clear" w:color="auto" w:fill="auto"/>
            <w:noWrap/>
            <w:vAlign w:val="center"/>
            <w:hideMark/>
          </w:tcPr>
          <w:p w14:paraId="44FB8C99"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0.636</w:t>
            </w:r>
          </w:p>
        </w:tc>
      </w:tr>
      <w:tr w:rsidR="008C5C4F" w:rsidRPr="00542749" w14:paraId="34EFDA45"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1B74AD0C" w14:textId="77777777" w:rsidR="008C5C4F" w:rsidRPr="00542749" w:rsidRDefault="008C5C4F" w:rsidP="000F6884">
            <w:pPr>
              <w:jc w:val="right"/>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GU tumors</w:t>
            </w:r>
          </w:p>
        </w:tc>
        <w:tc>
          <w:tcPr>
            <w:tcW w:w="531" w:type="dxa"/>
            <w:tcBorders>
              <w:top w:val="nil"/>
              <w:left w:val="nil"/>
              <w:bottom w:val="nil"/>
              <w:right w:val="nil"/>
            </w:tcBorders>
            <w:shd w:val="clear" w:color="auto" w:fill="auto"/>
            <w:noWrap/>
            <w:vAlign w:val="center"/>
            <w:hideMark/>
          </w:tcPr>
          <w:p w14:paraId="661F577C" w14:textId="257ED58F" w:rsidR="008C5C4F" w:rsidRPr="00542749" w:rsidRDefault="00686E18"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1.17</w:t>
            </w:r>
          </w:p>
        </w:tc>
        <w:tc>
          <w:tcPr>
            <w:tcW w:w="1161" w:type="dxa"/>
            <w:tcBorders>
              <w:top w:val="nil"/>
              <w:left w:val="nil"/>
              <w:bottom w:val="nil"/>
              <w:right w:val="nil"/>
            </w:tcBorders>
            <w:shd w:val="clear" w:color="auto" w:fill="auto"/>
            <w:noWrap/>
            <w:vAlign w:val="center"/>
            <w:hideMark/>
          </w:tcPr>
          <w:p w14:paraId="5B6C293E" w14:textId="0DD3984F"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00686E18" w:rsidRPr="00542749">
              <w:rPr>
                <w:rFonts w:ascii="Times New Roman" w:eastAsia="Times New Roman" w:hAnsi="Times New Roman" w:cs="Times New Roman"/>
                <w:color w:val="000000"/>
                <w:sz w:val="20"/>
                <w:szCs w:val="20"/>
                <w:lang w:eastAsia="it-IT"/>
              </w:rPr>
              <w:t>63</w:t>
            </w:r>
          </w:p>
        </w:tc>
        <w:tc>
          <w:tcPr>
            <w:tcW w:w="1288" w:type="dxa"/>
            <w:tcBorders>
              <w:top w:val="nil"/>
              <w:left w:val="nil"/>
              <w:bottom w:val="nil"/>
              <w:right w:val="nil"/>
            </w:tcBorders>
            <w:shd w:val="clear" w:color="auto" w:fill="auto"/>
            <w:noWrap/>
            <w:vAlign w:val="center"/>
            <w:hideMark/>
          </w:tcPr>
          <w:p w14:paraId="5F7714FA" w14:textId="0986BB83" w:rsidR="008C5C4F" w:rsidRPr="00542749" w:rsidRDefault="00686E18"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2.17</w:t>
            </w:r>
          </w:p>
        </w:tc>
        <w:tc>
          <w:tcPr>
            <w:tcW w:w="680" w:type="dxa"/>
            <w:tcBorders>
              <w:top w:val="nil"/>
              <w:left w:val="nil"/>
              <w:bottom w:val="nil"/>
              <w:right w:val="single" w:sz="4" w:space="0" w:color="auto"/>
            </w:tcBorders>
            <w:shd w:val="clear" w:color="auto" w:fill="auto"/>
            <w:noWrap/>
            <w:vAlign w:val="center"/>
            <w:hideMark/>
          </w:tcPr>
          <w:p w14:paraId="766C9269" w14:textId="10D43588"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00686E18" w:rsidRPr="00542749">
              <w:rPr>
                <w:rFonts w:ascii="Times New Roman" w:eastAsia="Times New Roman" w:hAnsi="Times New Roman" w:cs="Times New Roman"/>
                <w:color w:val="000000"/>
                <w:sz w:val="20"/>
                <w:szCs w:val="20"/>
                <w:lang w:eastAsia="it-IT"/>
              </w:rPr>
              <w:t>628</w:t>
            </w:r>
          </w:p>
        </w:tc>
        <w:tc>
          <w:tcPr>
            <w:tcW w:w="519" w:type="dxa"/>
            <w:tcBorders>
              <w:top w:val="nil"/>
              <w:left w:val="nil"/>
              <w:bottom w:val="nil"/>
              <w:right w:val="nil"/>
            </w:tcBorders>
            <w:shd w:val="clear" w:color="auto" w:fill="auto"/>
            <w:noWrap/>
            <w:vAlign w:val="center"/>
            <w:hideMark/>
          </w:tcPr>
          <w:p w14:paraId="3E39ACF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1.25</w:t>
            </w:r>
          </w:p>
        </w:tc>
        <w:tc>
          <w:tcPr>
            <w:tcW w:w="1134" w:type="dxa"/>
            <w:tcBorders>
              <w:top w:val="nil"/>
              <w:left w:val="nil"/>
              <w:bottom w:val="nil"/>
              <w:right w:val="nil"/>
            </w:tcBorders>
            <w:shd w:val="clear" w:color="auto" w:fill="auto"/>
            <w:noWrap/>
            <w:vAlign w:val="center"/>
            <w:hideMark/>
          </w:tcPr>
          <w:p w14:paraId="45ACA1D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0.60</w:t>
            </w:r>
          </w:p>
        </w:tc>
        <w:tc>
          <w:tcPr>
            <w:tcW w:w="1258" w:type="dxa"/>
            <w:tcBorders>
              <w:top w:val="nil"/>
              <w:left w:val="nil"/>
              <w:bottom w:val="nil"/>
              <w:right w:val="nil"/>
            </w:tcBorders>
            <w:shd w:val="clear" w:color="auto" w:fill="auto"/>
            <w:noWrap/>
            <w:vAlign w:val="center"/>
            <w:hideMark/>
          </w:tcPr>
          <w:p w14:paraId="0AC9C4D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2.61</w:t>
            </w:r>
          </w:p>
        </w:tc>
        <w:tc>
          <w:tcPr>
            <w:tcW w:w="809" w:type="dxa"/>
            <w:tcBorders>
              <w:top w:val="nil"/>
              <w:left w:val="nil"/>
              <w:bottom w:val="nil"/>
              <w:right w:val="single" w:sz="4" w:space="0" w:color="auto"/>
            </w:tcBorders>
            <w:shd w:val="clear" w:color="auto" w:fill="auto"/>
            <w:noWrap/>
            <w:vAlign w:val="center"/>
            <w:hideMark/>
          </w:tcPr>
          <w:p w14:paraId="79906E99"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0.547</w:t>
            </w:r>
          </w:p>
        </w:tc>
      </w:tr>
      <w:tr w:rsidR="008C5C4F" w:rsidRPr="00542749" w14:paraId="5A3DB55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7095581D" w14:textId="77777777" w:rsidR="008C5C4F" w:rsidRPr="00542749" w:rsidRDefault="008C5C4F" w:rsidP="000F6884">
            <w:pPr>
              <w:jc w:val="right"/>
              <w:rPr>
                <w:rFonts w:ascii="Times New Roman" w:eastAsia="Times New Roman" w:hAnsi="Times New Roman" w:cs="Times New Roman"/>
                <w:i/>
                <w:iCs/>
                <w:color w:val="000000"/>
                <w:sz w:val="20"/>
                <w:szCs w:val="20"/>
                <w:lang w:val="en-US" w:eastAsia="it-IT"/>
              </w:rPr>
            </w:pPr>
            <w:r w:rsidRPr="00542749">
              <w:rPr>
                <w:rFonts w:ascii="Times New Roman" w:eastAsia="Times New Roman" w:hAnsi="Times New Roman" w:cs="Times New Roman"/>
                <w:i/>
                <w:iCs/>
                <w:color w:val="000000"/>
                <w:sz w:val="20"/>
                <w:szCs w:val="20"/>
                <w:lang w:val="en-US" w:eastAsia="it-IT"/>
              </w:rPr>
              <w:t>Breast cancer and gynecologic tumors</w:t>
            </w:r>
          </w:p>
        </w:tc>
        <w:tc>
          <w:tcPr>
            <w:tcW w:w="531" w:type="dxa"/>
            <w:tcBorders>
              <w:top w:val="nil"/>
              <w:left w:val="nil"/>
              <w:bottom w:val="nil"/>
              <w:right w:val="nil"/>
            </w:tcBorders>
            <w:shd w:val="clear" w:color="auto" w:fill="auto"/>
            <w:noWrap/>
            <w:vAlign w:val="center"/>
            <w:hideMark/>
          </w:tcPr>
          <w:p w14:paraId="2C624294" w14:textId="38166AF0" w:rsidR="008C5C4F" w:rsidRPr="00542749" w:rsidRDefault="00686E18"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2.36</w:t>
            </w:r>
          </w:p>
        </w:tc>
        <w:tc>
          <w:tcPr>
            <w:tcW w:w="1161" w:type="dxa"/>
            <w:tcBorders>
              <w:top w:val="nil"/>
              <w:left w:val="nil"/>
              <w:bottom w:val="nil"/>
              <w:right w:val="nil"/>
            </w:tcBorders>
            <w:shd w:val="clear" w:color="auto" w:fill="auto"/>
            <w:noWrap/>
            <w:vAlign w:val="center"/>
            <w:hideMark/>
          </w:tcPr>
          <w:p w14:paraId="50A0ECEC" w14:textId="4F114C6F" w:rsidR="008C5C4F" w:rsidRPr="00542749" w:rsidRDefault="00686E18"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1.21</w:t>
            </w:r>
          </w:p>
        </w:tc>
        <w:tc>
          <w:tcPr>
            <w:tcW w:w="1288" w:type="dxa"/>
            <w:tcBorders>
              <w:top w:val="nil"/>
              <w:left w:val="nil"/>
              <w:bottom w:val="nil"/>
              <w:right w:val="nil"/>
            </w:tcBorders>
            <w:shd w:val="clear" w:color="auto" w:fill="auto"/>
            <w:noWrap/>
            <w:vAlign w:val="center"/>
            <w:hideMark/>
          </w:tcPr>
          <w:p w14:paraId="48AE0CAD" w14:textId="65AE1098" w:rsidR="008C5C4F" w:rsidRPr="00542749" w:rsidRDefault="00686E18"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4.62</w:t>
            </w:r>
          </w:p>
        </w:tc>
        <w:tc>
          <w:tcPr>
            <w:tcW w:w="680" w:type="dxa"/>
            <w:tcBorders>
              <w:top w:val="nil"/>
              <w:left w:val="nil"/>
              <w:bottom w:val="nil"/>
              <w:right w:val="single" w:sz="4" w:space="0" w:color="auto"/>
            </w:tcBorders>
            <w:shd w:val="clear" w:color="auto" w:fill="auto"/>
            <w:noWrap/>
            <w:vAlign w:val="center"/>
            <w:hideMark/>
          </w:tcPr>
          <w:p w14:paraId="582914C0" w14:textId="61BF81FD"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w:t>
            </w:r>
            <w:r w:rsidR="00686E18" w:rsidRPr="00542749">
              <w:rPr>
                <w:rFonts w:ascii="Times New Roman" w:eastAsia="Times New Roman" w:hAnsi="Times New Roman" w:cs="Times New Roman"/>
                <w:b/>
                <w:bCs/>
                <w:i/>
                <w:iCs/>
                <w:color w:val="000000"/>
                <w:sz w:val="20"/>
                <w:szCs w:val="20"/>
                <w:lang w:eastAsia="it-IT"/>
              </w:rPr>
              <w:t>012</w:t>
            </w:r>
          </w:p>
        </w:tc>
        <w:tc>
          <w:tcPr>
            <w:tcW w:w="519" w:type="dxa"/>
            <w:tcBorders>
              <w:top w:val="nil"/>
              <w:left w:val="nil"/>
              <w:bottom w:val="nil"/>
              <w:right w:val="nil"/>
            </w:tcBorders>
            <w:shd w:val="clear" w:color="auto" w:fill="auto"/>
            <w:noWrap/>
            <w:vAlign w:val="center"/>
            <w:hideMark/>
          </w:tcPr>
          <w:p w14:paraId="3B0DE3AA"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0.67</w:t>
            </w:r>
          </w:p>
        </w:tc>
        <w:tc>
          <w:tcPr>
            <w:tcW w:w="1134" w:type="dxa"/>
            <w:tcBorders>
              <w:top w:val="nil"/>
              <w:left w:val="nil"/>
              <w:bottom w:val="nil"/>
              <w:right w:val="nil"/>
            </w:tcBorders>
            <w:shd w:val="clear" w:color="auto" w:fill="auto"/>
            <w:noWrap/>
            <w:vAlign w:val="center"/>
            <w:hideMark/>
          </w:tcPr>
          <w:p w14:paraId="1EE3C96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0.29</w:t>
            </w:r>
          </w:p>
        </w:tc>
        <w:tc>
          <w:tcPr>
            <w:tcW w:w="1258" w:type="dxa"/>
            <w:tcBorders>
              <w:top w:val="nil"/>
              <w:left w:val="nil"/>
              <w:bottom w:val="nil"/>
              <w:right w:val="nil"/>
            </w:tcBorders>
            <w:shd w:val="clear" w:color="auto" w:fill="auto"/>
            <w:noWrap/>
            <w:vAlign w:val="center"/>
            <w:hideMark/>
          </w:tcPr>
          <w:p w14:paraId="23B2235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1.55</w:t>
            </w:r>
          </w:p>
        </w:tc>
        <w:tc>
          <w:tcPr>
            <w:tcW w:w="809" w:type="dxa"/>
            <w:tcBorders>
              <w:top w:val="nil"/>
              <w:left w:val="nil"/>
              <w:bottom w:val="nil"/>
              <w:right w:val="single" w:sz="4" w:space="0" w:color="auto"/>
            </w:tcBorders>
            <w:shd w:val="clear" w:color="auto" w:fill="auto"/>
            <w:noWrap/>
            <w:vAlign w:val="center"/>
            <w:hideMark/>
          </w:tcPr>
          <w:p w14:paraId="0401F5C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0.346</w:t>
            </w:r>
          </w:p>
        </w:tc>
      </w:tr>
      <w:tr w:rsidR="008C5C4F" w:rsidRPr="00542749" w14:paraId="0972B6A4"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0C62CEB5"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 xml:space="preserve">ICI treatment line (1st vs. </w:t>
            </w:r>
            <w:r w:rsidRPr="00542749">
              <w:rPr>
                <w:rFonts w:ascii="Times New Roman" w:eastAsia="Times New Roman" w:hAnsi="Times New Roman" w:cs="Times New Roman"/>
                <w:color w:val="000000"/>
                <w:sz w:val="20"/>
                <w:szCs w:val="20"/>
                <w:lang w:eastAsia="it-IT"/>
              </w:rPr>
              <w:t>≥2nd)</w:t>
            </w:r>
          </w:p>
        </w:tc>
        <w:tc>
          <w:tcPr>
            <w:tcW w:w="531" w:type="dxa"/>
            <w:tcBorders>
              <w:top w:val="nil"/>
              <w:left w:val="nil"/>
              <w:bottom w:val="nil"/>
              <w:right w:val="nil"/>
            </w:tcBorders>
            <w:shd w:val="clear" w:color="auto" w:fill="auto"/>
            <w:noWrap/>
            <w:vAlign w:val="center"/>
            <w:hideMark/>
          </w:tcPr>
          <w:p w14:paraId="45A0B22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0.64</w:t>
            </w:r>
          </w:p>
        </w:tc>
        <w:tc>
          <w:tcPr>
            <w:tcW w:w="1161" w:type="dxa"/>
            <w:tcBorders>
              <w:top w:val="nil"/>
              <w:left w:val="nil"/>
              <w:bottom w:val="nil"/>
              <w:right w:val="nil"/>
            </w:tcBorders>
            <w:shd w:val="clear" w:color="auto" w:fill="auto"/>
            <w:noWrap/>
            <w:vAlign w:val="center"/>
            <w:hideMark/>
          </w:tcPr>
          <w:p w14:paraId="40DF1EB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0.42</w:t>
            </w:r>
          </w:p>
        </w:tc>
        <w:tc>
          <w:tcPr>
            <w:tcW w:w="1288" w:type="dxa"/>
            <w:tcBorders>
              <w:top w:val="nil"/>
              <w:left w:val="nil"/>
              <w:bottom w:val="nil"/>
              <w:right w:val="nil"/>
            </w:tcBorders>
            <w:shd w:val="clear" w:color="auto" w:fill="auto"/>
            <w:noWrap/>
            <w:vAlign w:val="center"/>
            <w:hideMark/>
          </w:tcPr>
          <w:p w14:paraId="4AAA3430"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680" w:type="dxa"/>
            <w:tcBorders>
              <w:top w:val="nil"/>
              <w:left w:val="nil"/>
              <w:bottom w:val="nil"/>
              <w:right w:val="single" w:sz="4" w:space="0" w:color="auto"/>
            </w:tcBorders>
            <w:shd w:val="clear" w:color="auto" w:fill="auto"/>
            <w:noWrap/>
            <w:vAlign w:val="center"/>
            <w:hideMark/>
          </w:tcPr>
          <w:p w14:paraId="7EA0E9E1"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0.037</w:t>
            </w:r>
          </w:p>
        </w:tc>
        <w:tc>
          <w:tcPr>
            <w:tcW w:w="519" w:type="dxa"/>
            <w:tcBorders>
              <w:top w:val="nil"/>
              <w:left w:val="nil"/>
              <w:bottom w:val="nil"/>
              <w:right w:val="nil"/>
            </w:tcBorders>
            <w:shd w:val="clear" w:color="auto" w:fill="auto"/>
            <w:noWrap/>
            <w:vAlign w:val="center"/>
            <w:hideMark/>
          </w:tcPr>
          <w:p w14:paraId="7E3951C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0.70</w:t>
            </w:r>
          </w:p>
        </w:tc>
        <w:tc>
          <w:tcPr>
            <w:tcW w:w="1134" w:type="dxa"/>
            <w:tcBorders>
              <w:top w:val="nil"/>
              <w:left w:val="nil"/>
              <w:bottom w:val="nil"/>
              <w:right w:val="nil"/>
            </w:tcBorders>
            <w:shd w:val="clear" w:color="auto" w:fill="auto"/>
            <w:noWrap/>
            <w:vAlign w:val="center"/>
            <w:hideMark/>
          </w:tcPr>
          <w:p w14:paraId="78030EA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0.43</w:t>
            </w:r>
          </w:p>
        </w:tc>
        <w:tc>
          <w:tcPr>
            <w:tcW w:w="1258" w:type="dxa"/>
            <w:tcBorders>
              <w:top w:val="nil"/>
              <w:left w:val="nil"/>
              <w:bottom w:val="nil"/>
              <w:right w:val="nil"/>
            </w:tcBorders>
            <w:shd w:val="clear" w:color="auto" w:fill="auto"/>
            <w:noWrap/>
            <w:vAlign w:val="center"/>
            <w:hideMark/>
          </w:tcPr>
          <w:p w14:paraId="2855913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1.16</w:t>
            </w:r>
          </w:p>
        </w:tc>
        <w:tc>
          <w:tcPr>
            <w:tcW w:w="809" w:type="dxa"/>
            <w:tcBorders>
              <w:top w:val="nil"/>
              <w:left w:val="nil"/>
              <w:bottom w:val="nil"/>
              <w:right w:val="single" w:sz="4" w:space="0" w:color="auto"/>
            </w:tcBorders>
            <w:shd w:val="clear" w:color="auto" w:fill="auto"/>
            <w:noWrap/>
            <w:vAlign w:val="center"/>
            <w:hideMark/>
          </w:tcPr>
          <w:p w14:paraId="75B059D2" w14:textId="7D236013"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00DA2DAD" w:rsidRPr="00542749">
              <w:rPr>
                <w:rFonts w:ascii="Times New Roman" w:eastAsia="Times New Roman" w:hAnsi="Times New Roman" w:cs="Times New Roman"/>
                <w:color w:val="000000"/>
                <w:sz w:val="20"/>
                <w:szCs w:val="20"/>
                <w:lang w:eastAsia="it-IT"/>
              </w:rPr>
              <w:t>164</w:t>
            </w:r>
          </w:p>
        </w:tc>
      </w:tr>
      <w:tr w:rsidR="008C5C4F" w:rsidRPr="00542749" w14:paraId="4C693C90"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10D5740B"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ICI treatment line (continuous)</w:t>
            </w:r>
          </w:p>
        </w:tc>
        <w:tc>
          <w:tcPr>
            <w:tcW w:w="531" w:type="dxa"/>
            <w:tcBorders>
              <w:top w:val="nil"/>
              <w:left w:val="nil"/>
              <w:bottom w:val="nil"/>
              <w:right w:val="nil"/>
            </w:tcBorders>
            <w:shd w:val="clear" w:color="auto" w:fill="auto"/>
            <w:noWrap/>
            <w:vAlign w:val="center"/>
            <w:hideMark/>
          </w:tcPr>
          <w:p w14:paraId="67D181E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1.24</w:t>
            </w:r>
          </w:p>
        </w:tc>
        <w:tc>
          <w:tcPr>
            <w:tcW w:w="1161" w:type="dxa"/>
            <w:tcBorders>
              <w:top w:val="nil"/>
              <w:left w:val="nil"/>
              <w:bottom w:val="nil"/>
              <w:right w:val="nil"/>
            </w:tcBorders>
            <w:shd w:val="clear" w:color="auto" w:fill="auto"/>
            <w:noWrap/>
            <w:vAlign w:val="center"/>
            <w:hideMark/>
          </w:tcPr>
          <w:p w14:paraId="6B70F4F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1.10</w:t>
            </w:r>
          </w:p>
        </w:tc>
        <w:tc>
          <w:tcPr>
            <w:tcW w:w="1288" w:type="dxa"/>
            <w:tcBorders>
              <w:top w:val="nil"/>
              <w:left w:val="nil"/>
              <w:bottom w:val="nil"/>
              <w:right w:val="nil"/>
            </w:tcBorders>
            <w:shd w:val="clear" w:color="auto" w:fill="auto"/>
            <w:noWrap/>
            <w:vAlign w:val="center"/>
            <w:hideMark/>
          </w:tcPr>
          <w:p w14:paraId="6773CD6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1.40</w:t>
            </w:r>
          </w:p>
        </w:tc>
        <w:tc>
          <w:tcPr>
            <w:tcW w:w="680" w:type="dxa"/>
            <w:tcBorders>
              <w:top w:val="nil"/>
              <w:left w:val="nil"/>
              <w:bottom w:val="nil"/>
              <w:right w:val="single" w:sz="4" w:space="0" w:color="auto"/>
            </w:tcBorders>
            <w:shd w:val="clear" w:color="auto" w:fill="auto"/>
            <w:noWrap/>
            <w:vAlign w:val="center"/>
            <w:hideMark/>
          </w:tcPr>
          <w:p w14:paraId="609CB2ED"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0.001</w:t>
            </w:r>
          </w:p>
        </w:tc>
        <w:tc>
          <w:tcPr>
            <w:tcW w:w="519" w:type="dxa"/>
            <w:tcBorders>
              <w:top w:val="nil"/>
              <w:left w:val="nil"/>
              <w:bottom w:val="nil"/>
              <w:right w:val="nil"/>
            </w:tcBorders>
            <w:shd w:val="clear" w:color="auto" w:fill="auto"/>
            <w:noWrap/>
            <w:vAlign w:val="center"/>
            <w:hideMark/>
          </w:tcPr>
          <w:p w14:paraId="76891040"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1.15</w:t>
            </w:r>
          </w:p>
        </w:tc>
        <w:tc>
          <w:tcPr>
            <w:tcW w:w="1134" w:type="dxa"/>
            <w:tcBorders>
              <w:top w:val="nil"/>
              <w:left w:val="nil"/>
              <w:bottom w:val="nil"/>
              <w:right w:val="nil"/>
            </w:tcBorders>
            <w:shd w:val="clear" w:color="auto" w:fill="auto"/>
            <w:noWrap/>
            <w:vAlign w:val="center"/>
            <w:hideMark/>
          </w:tcPr>
          <w:p w14:paraId="0341658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1258" w:type="dxa"/>
            <w:tcBorders>
              <w:top w:val="nil"/>
              <w:left w:val="nil"/>
              <w:bottom w:val="nil"/>
              <w:right w:val="nil"/>
            </w:tcBorders>
            <w:shd w:val="clear" w:color="auto" w:fill="auto"/>
            <w:noWrap/>
            <w:vAlign w:val="center"/>
            <w:hideMark/>
          </w:tcPr>
          <w:p w14:paraId="7EDFE23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1.31</w:t>
            </w:r>
          </w:p>
        </w:tc>
        <w:tc>
          <w:tcPr>
            <w:tcW w:w="809" w:type="dxa"/>
            <w:tcBorders>
              <w:top w:val="nil"/>
              <w:left w:val="nil"/>
              <w:bottom w:val="nil"/>
              <w:right w:val="single" w:sz="4" w:space="0" w:color="auto"/>
            </w:tcBorders>
            <w:shd w:val="clear" w:color="auto" w:fill="auto"/>
            <w:noWrap/>
            <w:vAlign w:val="center"/>
            <w:hideMark/>
          </w:tcPr>
          <w:p w14:paraId="6DF789AA"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0.037</w:t>
            </w:r>
          </w:p>
        </w:tc>
      </w:tr>
      <w:tr w:rsidR="008C5C4F" w:rsidRPr="00542749" w14:paraId="44F112FC"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7C453940" w14:textId="77777777" w:rsidR="008C5C4F" w:rsidRPr="00542749" w:rsidRDefault="008C5C4F"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Immuno-naive status (Yes vs. No)</w:t>
            </w:r>
          </w:p>
        </w:tc>
        <w:tc>
          <w:tcPr>
            <w:tcW w:w="531" w:type="dxa"/>
            <w:tcBorders>
              <w:top w:val="nil"/>
              <w:left w:val="nil"/>
              <w:bottom w:val="nil"/>
              <w:right w:val="nil"/>
            </w:tcBorders>
            <w:shd w:val="clear" w:color="auto" w:fill="auto"/>
            <w:noWrap/>
            <w:vAlign w:val="center"/>
            <w:hideMark/>
          </w:tcPr>
          <w:p w14:paraId="06B23D6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0.42</w:t>
            </w:r>
          </w:p>
        </w:tc>
        <w:tc>
          <w:tcPr>
            <w:tcW w:w="1161" w:type="dxa"/>
            <w:tcBorders>
              <w:top w:val="nil"/>
              <w:left w:val="nil"/>
              <w:bottom w:val="nil"/>
              <w:right w:val="nil"/>
            </w:tcBorders>
            <w:shd w:val="clear" w:color="auto" w:fill="auto"/>
            <w:noWrap/>
            <w:vAlign w:val="center"/>
            <w:hideMark/>
          </w:tcPr>
          <w:p w14:paraId="7EEA09F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0.25</w:t>
            </w:r>
          </w:p>
        </w:tc>
        <w:tc>
          <w:tcPr>
            <w:tcW w:w="1288" w:type="dxa"/>
            <w:tcBorders>
              <w:top w:val="nil"/>
              <w:left w:val="nil"/>
              <w:bottom w:val="nil"/>
              <w:right w:val="nil"/>
            </w:tcBorders>
            <w:shd w:val="clear" w:color="auto" w:fill="auto"/>
            <w:noWrap/>
            <w:vAlign w:val="center"/>
            <w:hideMark/>
          </w:tcPr>
          <w:p w14:paraId="738CD3AB"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0.72</w:t>
            </w:r>
          </w:p>
        </w:tc>
        <w:tc>
          <w:tcPr>
            <w:tcW w:w="680" w:type="dxa"/>
            <w:tcBorders>
              <w:top w:val="nil"/>
              <w:left w:val="nil"/>
              <w:bottom w:val="nil"/>
              <w:right w:val="single" w:sz="4" w:space="0" w:color="auto"/>
            </w:tcBorders>
            <w:shd w:val="clear" w:color="auto" w:fill="auto"/>
            <w:noWrap/>
            <w:vAlign w:val="center"/>
            <w:hideMark/>
          </w:tcPr>
          <w:p w14:paraId="7CA1350A"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0.001</w:t>
            </w:r>
          </w:p>
        </w:tc>
        <w:tc>
          <w:tcPr>
            <w:tcW w:w="519" w:type="dxa"/>
            <w:tcBorders>
              <w:top w:val="nil"/>
              <w:left w:val="nil"/>
              <w:bottom w:val="nil"/>
              <w:right w:val="nil"/>
            </w:tcBorders>
            <w:shd w:val="clear" w:color="auto" w:fill="auto"/>
            <w:noWrap/>
            <w:vAlign w:val="center"/>
            <w:hideMark/>
          </w:tcPr>
          <w:p w14:paraId="4F7CAC7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0.60</w:t>
            </w:r>
          </w:p>
        </w:tc>
        <w:tc>
          <w:tcPr>
            <w:tcW w:w="1134" w:type="dxa"/>
            <w:tcBorders>
              <w:top w:val="nil"/>
              <w:left w:val="nil"/>
              <w:bottom w:val="nil"/>
              <w:right w:val="nil"/>
            </w:tcBorders>
            <w:shd w:val="clear" w:color="auto" w:fill="auto"/>
            <w:noWrap/>
            <w:vAlign w:val="center"/>
            <w:hideMark/>
          </w:tcPr>
          <w:p w14:paraId="7CF0C6AA"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0.33</w:t>
            </w:r>
          </w:p>
        </w:tc>
        <w:tc>
          <w:tcPr>
            <w:tcW w:w="1258" w:type="dxa"/>
            <w:tcBorders>
              <w:top w:val="nil"/>
              <w:left w:val="nil"/>
              <w:bottom w:val="nil"/>
              <w:right w:val="nil"/>
            </w:tcBorders>
            <w:shd w:val="clear" w:color="auto" w:fill="auto"/>
            <w:noWrap/>
            <w:vAlign w:val="center"/>
            <w:hideMark/>
          </w:tcPr>
          <w:p w14:paraId="3C02508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1.11</w:t>
            </w:r>
          </w:p>
        </w:tc>
        <w:tc>
          <w:tcPr>
            <w:tcW w:w="809" w:type="dxa"/>
            <w:tcBorders>
              <w:top w:val="nil"/>
              <w:left w:val="nil"/>
              <w:bottom w:val="nil"/>
              <w:right w:val="single" w:sz="4" w:space="0" w:color="auto"/>
            </w:tcBorders>
            <w:shd w:val="clear" w:color="auto" w:fill="auto"/>
            <w:noWrap/>
            <w:vAlign w:val="center"/>
            <w:hideMark/>
          </w:tcPr>
          <w:p w14:paraId="3FD762AB"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0.098</w:t>
            </w:r>
          </w:p>
        </w:tc>
      </w:tr>
      <w:tr w:rsidR="008C5C4F" w:rsidRPr="00542749" w14:paraId="1E34C16B"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6F7237B8"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Regimen (Monotherapy vs. Combination)</w:t>
            </w:r>
          </w:p>
        </w:tc>
        <w:tc>
          <w:tcPr>
            <w:tcW w:w="531" w:type="dxa"/>
            <w:tcBorders>
              <w:top w:val="nil"/>
              <w:left w:val="nil"/>
              <w:bottom w:val="nil"/>
              <w:right w:val="nil"/>
            </w:tcBorders>
            <w:shd w:val="clear" w:color="auto" w:fill="auto"/>
            <w:noWrap/>
            <w:vAlign w:val="center"/>
            <w:hideMark/>
          </w:tcPr>
          <w:p w14:paraId="0BD0767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0.92</w:t>
            </w:r>
          </w:p>
        </w:tc>
        <w:tc>
          <w:tcPr>
            <w:tcW w:w="1161" w:type="dxa"/>
            <w:tcBorders>
              <w:top w:val="nil"/>
              <w:left w:val="nil"/>
              <w:bottom w:val="nil"/>
              <w:right w:val="nil"/>
            </w:tcBorders>
            <w:shd w:val="clear" w:color="auto" w:fill="auto"/>
            <w:noWrap/>
            <w:vAlign w:val="center"/>
            <w:hideMark/>
          </w:tcPr>
          <w:p w14:paraId="575CBCC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0.64</w:t>
            </w:r>
          </w:p>
        </w:tc>
        <w:tc>
          <w:tcPr>
            <w:tcW w:w="1288" w:type="dxa"/>
            <w:tcBorders>
              <w:top w:val="nil"/>
              <w:left w:val="nil"/>
              <w:bottom w:val="nil"/>
              <w:right w:val="nil"/>
            </w:tcBorders>
            <w:shd w:val="clear" w:color="auto" w:fill="auto"/>
            <w:noWrap/>
            <w:vAlign w:val="center"/>
            <w:hideMark/>
          </w:tcPr>
          <w:p w14:paraId="1BC2A4B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1.32</w:t>
            </w:r>
          </w:p>
        </w:tc>
        <w:tc>
          <w:tcPr>
            <w:tcW w:w="680" w:type="dxa"/>
            <w:tcBorders>
              <w:top w:val="nil"/>
              <w:left w:val="nil"/>
              <w:bottom w:val="nil"/>
              <w:right w:val="single" w:sz="4" w:space="0" w:color="auto"/>
            </w:tcBorders>
            <w:shd w:val="clear" w:color="auto" w:fill="auto"/>
            <w:noWrap/>
            <w:vAlign w:val="center"/>
            <w:hideMark/>
          </w:tcPr>
          <w:p w14:paraId="1536B1F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0.644</w:t>
            </w:r>
          </w:p>
        </w:tc>
        <w:tc>
          <w:tcPr>
            <w:tcW w:w="519" w:type="dxa"/>
            <w:tcBorders>
              <w:top w:val="nil"/>
              <w:left w:val="nil"/>
              <w:bottom w:val="nil"/>
              <w:right w:val="nil"/>
            </w:tcBorders>
            <w:shd w:val="clear" w:color="auto" w:fill="auto"/>
            <w:noWrap/>
            <w:vAlign w:val="center"/>
            <w:hideMark/>
          </w:tcPr>
          <w:p w14:paraId="6E56194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0.83</w:t>
            </w:r>
          </w:p>
        </w:tc>
        <w:tc>
          <w:tcPr>
            <w:tcW w:w="1134" w:type="dxa"/>
            <w:tcBorders>
              <w:top w:val="nil"/>
              <w:left w:val="nil"/>
              <w:bottom w:val="nil"/>
              <w:right w:val="nil"/>
            </w:tcBorders>
            <w:shd w:val="clear" w:color="auto" w:fill="auto"/>
            <w:noWrap/>
            <w:vAlign w:val="center"/>
            <w:hideMark/>
          </w:tcPr>
          <w:p w14:paraId="7813F29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0.55</w:t>
            </w:r>
          </w:p>
        </w:tc>
        <w:tc>
          <w:tcPr>
            <w:tcW w:w="1258" w:type="dxa"/>
            <w:tcBorders>
              <w:top w:val="nil"/>
              <w:left w:val="nil"/>
              <w:bottom w:val="nil"/>
              <w:right w:val="nil"/>
            </w:tcBorders>
            <w:shd w:val="clear" w:color="auto" w:fill="auto"/>
            <w:noWrap/>
            <w:vAlign w:val="center"/>
            <w:hideMark/>
          </w:tcPr>
          <w:p w14:paraId="304E36D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1.26</w:t>
            </w:r>
          </w:p>
        </w:tc>
        <w:tc>
          <w:tcPr>
            <w:tcW w:w="809" w:type="dxa"/>
            <w:tcBorders>
              <w:top w:val="nil"/>
              <w:left w:val="nil"/>
              <w:bottom w:val="nil"/>
              <w:right w:val="single" w:sz="4" w:space="0" w:color="auto"/>
            </w:tcBorders>
            <w:shd w:val="clear" w:color="auto" w:fill="auto"/>
            <w:noWrap/>
            <w:vAlign w:val="center"/>
            <w:hideMark/>
          </w:tcPr>
          <w:p w14:paraId="439AA18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0.389</w:t>
            </w:r>
          </w:p>
        </w:tc>
      </w:tr>
      <w:tr w:rsidR="008C5C4F" w:rsidRPr="00542749" w14:paraId="30FD1A6A"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68ECF0DF" w14:textId="77777777" w:rsidR="008C5C4F" w:rsidRPr="00542749" w:rsidRDefault="008C5C4F"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ICI target (Anti-PD-L1 vs. Anti-PD1)</w:t>
            </w:r>
          </w:p>
        </w:tc>
        <w:tc>
          <w:tcPr>
            <w:tcW w:w="531" w:type="dxa"/>
            <w:tcBorders>
              <w:top w:val="nil"/>
              <w:left w:val="nil"/>
              <w:bottom w:val="nil"/>
              <w:right w:val="nil"/>
            </w:tcBorders>
            <w:shd w:val="clear" w:color="auto" w:fill="auto"/>
            <w:noWrap/>
            <w:vAlign w:val="center"/>
            <w:hideMark/>
          </w:tcPr>
          <w:p w14:paraId="64E1946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0.95</w:t>
            </w:r>
          </w:p>
        </w:tc>
        <w:tc>
          <w:tcPr>
            <w:tcW w:w="1161" w:type="dxa"/>
            <w:tcBorders>
              <w:top w:val="nil"/>
              <w:left w:val="nil"/>
              <w:bottom w:val="nil"/>
              <w:right w:val="nil"/>
            </w:tcBorders>
            <w:shd w:val="clear" w:color="auto" w:fill="auto"/>
            <w:noWrap/>
            <w:vAlign w:val="center"/>
            <w:hideMark/>
          </w:tcPr>
          <w:p w14:paraId="3D06CA6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0.62</w:t>
            </w:r>
          </w:p>
        </w:tc>
        <w:tc>
          <w:tcPr>
            <w:tcW w:w="1288" w:type="dxa"/>
            <w:tcBorders>
              <w:top w:val="nil"/>
              <w:left w:val="nil"/>
              <w:bottom w:val="nil"/>
              <w:right w:val="nil"/>
            </w:tcBorders>
            <w:shd w:val="clear" w:color="auto" w:fill="auto"/>
            <w:noWrap/>
            <w:vAlign w:val="center"/>
            <w:hideMark/>
          </w:tcPr>
          <w:p w14:paraId="4890620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1.45</w:t>
            </w:r>
          </w:p>
        </w:tc>
        <w:tc>
          <w:tcPr>
            <w:tcW w:w="680" w:type="dxa"/>
            <w:tcBorders>
              <w:top w:val="nil"/>
              <w:left w:val="nil"/>
              <w:bottom w:val="nil"/>
              <w:right w:val="single" w:sz="4" w:space="0" w:color="auto"/>
            </w:tcBorders>
            <w:shd w:val="clear" w:color="auto" w:fill="auto"/>
            <w:noWrap/>
            <w:vAlign w:val="center"/>
            <w:hideMark/>
          </w:tcPr>
          <w:p w14:paraId="660CB93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0.803</w:t>
            </w:r>
          </w:p>
        </w:tc>
        <w:tc>
          <w:tcPr>
            <w:tcW w:w="519" w:type="dxa"/>
            <w:tcBorders>
              <w:top w:val="nil"/>
              <w:left w:val="nil"/>
              <w:bottom w:val="nil"/>
              <w:right w:val="nil"/>
            </w:tcBorders>
            <w:shd w:val="clear" w:color="auto" w:fill="auto"/>
            <w:noWrap/>
            <w:vAlign w:val="center"/>
            <w:hideMark/>
          </w:tcPr>
          <w:p w14:paraId="112A990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0.91</w:t>
            </w:r>
          </w:p>
        </w:tc>
        <w:tc>
          <w:tcPr>
            <w:tcW w:w="1134" w:type="dxa"/>
            <w:tcBorders>
              <w:top w:val="nil"/>
              <w:left w:val="nil"/>
              <w:bottom w:val="nil"/>
              <w:right w:val="nil"/>
            </w:tcBorders>
            <w:shd w:val="clear" w:color="auto" w:fill="auto"/>
            <w:noWrap/>
            <w:vAlign w:val="center"/>
            <w:hideMark/>
          </w:tcPr>
          <w:p w14:paraId="2A3D4270"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0.57</w:t>
            </w:r>
          </w:p>
        </w:tc>
        <w:tc>
          <w:tcPr>
            <w:tcW w:w="1258" w:type="dxa"/>
            <w:tcBorders>
              <w:top w:val="nil"/>
              <w:left w:val="nil"/>
              <w:bottom w:val="nil"/>
              <w:right w:val="nil"/>
            </w:tcBorders>
            <w:shd w:val="clear" w:color="auto" w:fill="auto"/>
            <w:noWrap/>
            <w:vAlign w:val="center"/>
            <w:hideMark/>
          </w:tcPr>
          <w:p w14:paraId="0B2A929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1.46</w:t>
            </w:r>
          </w:p>
        </w:tc>
        <w:tc>
          <w:tcPr>
            <w:tcW w:w="809" w:type="dxa"/>
            <w:tcBorders>
              <w:top w:val="nil"/>
              <w:left w:val="nil"/>
              <w:bottom w:val="nil"/>
              <w:right w:val="single" w:sz="4" w:space="0" w:color="auto"/>
            </w:tcBorders>
            <w:shd w:val="clear" w:color="auto" w:fill="auto"/>
            <w:noWrap/>
            <w:vAlign w:val="center"/>
            <w:hideMark/>
          </w:tcPr>
          <w:p w14:paraId="7B4569E9"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0.697</w:t>
            </w:r>
          </w:p>
        </w:tc>
      </w:tr>
      <w:tr w:rsidR="008C5C4F" w:rsidRPr="00542749" w14:paraId="5ACDE5B5"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78EB1744"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Visceral disease (Yes vs. No)</w:t>
            </w:r>
          </w:p>
        </w:tc>
        <w:tc>
          <w:tcPr>
            <w:tcW w:w="531" w:type="dxa"/>
            <w:tcBorders>
              <w:top w:val="nil"/>
              <w:left w:val="nil"/>
              <w:bottom w:val="nil"/>
              <w:right w:val="nil"/>
            </w:tcBorders>
            <w:shd w:val="clear" w:color="auto" w:fill="auto"/>
            <w:noWrap/>
            <w:vAlign w:val="center"/>
            <w:hideMark/>
          </w:tcPr>
          <w:p w14:paraId="6DE885D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0.88</w:t>
            </w:r>
          </w:p>
        </w:tc>
        <w:tc>
          <w:tcPr>
            <w:tcW w:w="1161" w:type="dxa"/>
            <w:tcBorders>
              <w:top w:val="nil"/>
              <w:left w:val="nil"/>
              <w:bottom w:val="nil"/>
              <w:right w:val="nil"/>
            </w:tcBorders>
            <w:shd w:val="clear" w:color="auto" w:fill="auto"/>
            <w:noWrap/>
            <w:vAlign w:val="center"/>
            <w:hideMark/>
          </w:tcPr>
          <w:p w14:paraId="0C633F9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0.58</w:t>
            </w:r>
          </w:p>
        </w:tc>
        <w:tc>
          <w:tcPr>
            <w:tcW w:w="1288" w:type="dxa"/>
            <w:tcBorders>
              <w:top w:val="nil"/>
              <w:left w:val="nil"/>
              <w:bottom w:val="nil"/>
              <w:right w:val="nil"/>
            </w:tcBorders>
            <w:shd w:val="clear" w:color="auto" w:fill="auto"/>
            <w:noWrap/>
            <w:vAlign w:val="center"/>
            <w:hideMark/>
          </w:tcPr>
          <w:p w14:paraId="568AECB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1.33</w:t>
            </w:r>
          </w:p>
        </w:tc>
        <w:tc>
          <w:tcPr>
            <w:tcW w:w="680" w:type="dxa"/>
            <w:tcBorders>
              <w:top w:val="nil"/>
              <w:left w:val="nil"/>
              <w:bottom w:val="nil"/>
              <w:right w:val="single" w:sz="4" w:space="0" w:color="auto"/>
            </w:tcBorders>
            <w:shd w:val="clear" w:color="auto" w:fill="auto"/>
            <w:noWrap/>
            <w:vAlign w:val="center"/>
            <w:hideMark/>
          </w:tcPr>
          <w:p w14:paraId="2AA78A5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0.527</w:t>
            </w:r>
          </w:p>
        </w:tc>
        <w:tc>
          <w:tcPr>
            <w:tcW w:w="519" w:type="dxa"/>
            <w:tcBorders>
              <w:top w:val="nil"/>
              <w:left w:val="nil"/>
              <w:bottom w:val="nil"/>
              <w:right w:val="nil"/>
            </w:tcBorders>
            <w:shd w:val="clear" w:color="auto" w:fill="auto"/>
            <w:noWrap/>
            <w:vAlign w:val="center"/>
            <w:hideMark/>
          </w:tcPr>
          <w:p w14:paraId="7873C48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0.85</w:t>
            </w:r>
          </w:p>
        </w:tc>
        <w:tc>
          <w:tcPr>
            <w:tcW w:w="1134" w:type="dxa"/>
            <w:tcBorders>
              <w:top w:val="nil"/>
              <w:left w:val="nil"/>
              <w:bottom w:val="nil"/>
              <w:right w:val="nil"/>
            </w:tcBorders>
            <w:shd w:val="clear" w:color="auto" w:fill="auto"/>
            <w:noWrap/>
            <w:vAlign w:val="center"/>
            <w:hideMark/>
          </w:tcPr>
          <w:p w14:paraId="0C46AE4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0.53</w:t>
            </w:r>
          </w:p>
        </w:tc>
        <w:tc>
          <w:tcPr>
            <w:tcW w:w="1258" w:type="dxa"/>
            <w:tcBorders>
              <w:top w:val="nil"/>
              <w:left w:val="nil"/>
              <w:bottom w:val="nil"/>
              <w:right w:val="nil"/>
            </w:tcBorders>
            <w:shd w:val="clear" w:color="auto" w:fill="auto"/>
            <w:noWrap/>
            <w:vAlign w:val="center"/>
            <w:hideMark/>
          </w:tcPr>
          <w:p w14:paraId="0E99C29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1.37</w:t>
            </w:r>
          </w:p>
        </w:tc>
        <w:tc>
          <w:tcPr>
            <w:tcW w:w="809" w:type="dxa"/>
            <w:tcBorders>
              <w:top w:val="nil"/>
              <w:left w:val="nil"/>
              <w:bottom w:val="nil"/>
              <w:right w:val="single" w:sz="4" w:space="0" w:color="auto"/>
            </w:tcBorders>
            <w:shd w:val="clear" w:color="auto" w:fill="auto"/>
            <w:noWrap/>
            <w:vAlign w:val="center"/>
            <w:hideMark/>
          </w:tcPr>
          <w:p w14:paraId="3BCA4BE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0.510</w:t>
            </w:r>
          </w:p>
        </w:tc>
      </w:tr>
      <w:tr w:rsidR="008C5C4F" w:rsidRPr="00542749" w14:paraId="4A7D3F3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27F22AF8"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Number of metastases (≥3 vs. &lt;3)</w:t>
            </w:r>
          </w:p>
        </w:tc>
        <w:tc>
          <w:tcPr>
            <w:tcW w:w="531" w:type="dxa"/>
            <w:tcBorders>
              <w:top w:val="nil"/>
              <w:left w:val="nil"/>
              <w:bottom w:val="nil"/>
              <w:right w:val="nil"/>
            </w:tcBorders>
            <w:shd w:val="clear" w:color="auto" w:fill="auto"/>
            <w:noWrap/>
            <w:vAlign w:val="center"/>
            <w:hideMark/>
          </w:tcPr>
          <w:p w14:paraId="10673A3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1.06</w:t>
            </w:r>
          </w:p>
        </w:tc>
        <w:tc>
          <w:tcPr>
            <w:tcW w:w="1161" w:type="dxa"/>
            <w:tcBorders>
              <w:top w:val="nil"/>
              <w:left w:val="nil"/>
              <w:bottom w:val="nil"/>
              <w:right w:val="nil"/>
            </w:tcBorders>
            <w:shd w:val="clear" w:color="auto" w:fill="auto"/>
            <w:noWrap/>
            <w:vAlign w:val="center"/>
            <w:hideMark/>
          </w:tcPr>
          <w:p w14:paraId="633247AB"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0.67</w:t>
            </w:r>
          </w:p>
        </w:tc>
        <w:tc>
          <w:tcPr>
            <w:tcW w:w="1288" w:type="dxa"/>
            <w:tcBorders>
              <w:top w:val="nil"/>
              <w:left w:val="nil"/>
              <w:bottom w:val="nil"/>
              <w:right w:val="nil"/>
            </w:tcBorders>
            <w:shd w:val="clear" w:color="auto" w:fill="auto"/>
            <w:noWrap/>
            <w:vAlign w:val="center"/>
            <w:hideMark/>
          </w:tcPr>
          <w:p w14:paraId="1AF4619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1.67</w:t>
            </w:r>
          </w:p>
        </w:tc>
        <w:tc>
          <w:tcPr>
            <w:tcW w:w="680" w:type="dxa"/>
            <w:tcBorders>
              <w:top w:val="nil"/>
              <w:left w:val="nil"/>
              <w:bottom w:val="nil"/>
              <w:right w:val="single" w:sz="4" w:space="0" w:color="auto"/>
            </w:tcBorders>
            <w:shd w:val="clear" w:color="auto" w:fill="auto"/>
            <w:noWrap/>
            <w:vAlign w:val="center"/>
            <w:hideMark/>
          </w:tcPr>
          <w:p w14:paraId="2C5071A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0.795</w:t>
            </w:r>
          </w:p>
        </w:tc>
        <w:tc>
          <w:tcPr>
            <w:tcW w:w="519" w:type="dxa"/>
            <w:tcBorders>
              <w:top w:val="nil"/>
              <w:left w:val="nil"/>
              <w:bottom w:val="nil"/>
              <w:right w:val="nil"/>
            </w:tcBorders>
            <w:shd w:val="clear" w:color="auto" w:fill="auto"/>
            <w:noWrap/>
            <w:vAlign w:val="center"/>
            <w:hideMark/>
          </w:tcPr>
          <w:p w14:paraId="2524524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0.89</w:t>
            </w:r>
          </w:p>
        </w:tc>
        <w:tc>
          <w:tcPr>
            <w:tcW w:w="1134" w:type="dxa"/>
            <w:tcBorders>
              <w:top w:val="nil"/>
              <w:left w:val="nil"/>
              <w:bottom w:val="nil"/>
              <w:right w:val="nil"/>
            </w:tcBorders>
            <w:shd w:val="clear" w:color="auto" w:fill="auto"/>
            <w:noWrap/>
            <w:vAlign w:val="center"/>
            <w:hideMark/>
          </w:tcPr>
          <w:p w14:paraId="7D7471D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0.53</w:t>
            </w:r>
          </w:p>
        </w:tc>
        <w:tc>
          <w:tcPr>
            <w:tcW w:w="1258" w:type="dxa"/>
            <w:tcBorders>
              <w:top w:val="nil"/>
              <w:left w:val="nil"/>
              <w:bottom w:val="nil"/>
              <w:right w:val="nil"/>
            </w:tcBorders>
            <w:shd w:val="clear" w:color="auto" w:fill="auto"/>
            <w:noWrap/>
            <w:vAlign w:val="center"/>
            <w:hideMark/>
          </w:tcPr>
          <w:p w14:paraId="7740F47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1.49</w:t>
            </w:r>
          </w:p>
        </w:tc>
        <w:tc>
          <w:tcPr>
            <w:tcW w:w="809" w:type="dxa"/>
            <w:tcBorders>
              <w:top w:val="nil"/>
              <w:left w:val="nil"/>
              <w:bottom w:val="nil"/>
              <w:right w:val="single" w:sz="4" w:space="0" w:color="auto"/>
            </w:tcBorders>
            <w:shd w:val="clear" w:color="auto" w:fill="auto"/>
            <w:noWrap/>
            <w:vAlign w:val="center"/>
            <w:hideMark/>
          </w:tcPr>
          <w:p w14:paraId="11F04B1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0.644</w:t>
            </w:r>
          </w:p>
        </w:tc>
      </w:tr>
      <w:tr w:rsidR="008C5C4F" w:rsidRPr="00542749" w14:paraId="33922BFD"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41EF11F9"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Basal LIPI Score</w:t>
            </w:r>
          </w:p>
        </w:tc>
        <w:tc>
          <w:tcPr>
            <w:tcW w:w="531" w:type="dxa"/>
            <w:tcBorders>
              <w:top w:val="nil"/>
              <w:left w:val="nil"/>
              <w:bottom w:val="nil"/>
              <w:right w:val="nil"/>
            </w:tcBorders>
            <w:shd w:val="clear" w:color="auto" w:fill="auto"/>
            <w:noWrap/>
            <w:vAlign w:val="center"/>
            <w:hideMark/>
          </w:tcPr>
          <w:p w14:paraId="0B91540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 </w:t>
            </w:r>
          </w:p>
        </w:tc>
        <w:tc>
          <w:tcPr>
            <w:tcW w:w="1161" w:type="dxa"/>
            <w:tcBorders>
              <w:top w:val="nil"/>
              <w:left w:val="nil"/>
              <w:bottom w:val="nil"/>
              <w:right w:val="nil"/>
            </w:tcBorders>
            <w:shd w:val="clear" w:color="auto" w:fill="auto"/>
            <w:noWrap/>
            <w:vAlign w:val="center"/>
            <w:hideMark/>
          </w:tcPr>
          <w:p w14:paraId="615055F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p>
        </w:tc>
        <w:tc>
          <w:tcPr>
            <w:tcW w:w="1288" w:type="dxa"/>
            <w:tcBorders>
              <w:top w:val="nil"/>
              <w:left w:val="nil"/>
              <w:bottom w:val="nil"/>
              <w:right w:val="nil"/>
            </w:tcBorders>
            <w:shd w:val="clear" w:color="auto" w:fill="auto"/>
            <w:noWrap/>
            <w:vAlign w:val="center"/>
            <w:hideMark/>
          </w:tcPr>
          <w:p w14:paraId="61FF005B" w14:textId="77777777" w:rsidR="008C5C4F" w:rsidRPr="00542749" w:rsidRDefault="008C5C4F" w:rsidP="005C182F">
            <w:pPr>
              <w:jc w:val="center"/>
              <w:rPr>
                <w:rFonts w:ascii="Times New Roman" w:eastAsia="Times New Roman" w:hAnsi="Times New Roman" w:cs="Times New Roman"/>
                <w:sz w:val="20"/>
                <w:szCs w:val="20"/>
                <w:lang w:eastAsia="it-IT"/>
              </w:rPr>
            </w:pPr>
          </w:p>
        </w:tc>
        <w:tc>
          <w:tcPr>
            <w:tcW w:w="680" w:type="dxa"/>
            <w:tcBorders>
              <w:top w:val="nil"/>
              <w:left w:val="nil"/>
              <w:bottom w:val="nil"/>
              <w:right w:val="single" w:sz="4" w:space="0" w:color="auto"/>
            </w:tcBorders>
            <w:shd w:val="clear" w:color="auto" w:fill="auto"/>
            <w:noWrap/>
            <w:vAlign w:val="center"/>
            <w:hideMark/>
          </w:tcPr>
          <w:p w14:paraId="0EBD872B"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0.008</w:t>
            </w:r>
          </w:p>
        </w:tc>
        <w:tc>
          <w:tcPr>
            <w:tcW w:w="519" w:type="dxa"/>
            <w:tcBorders>
              <w:top w:val="nil"/>
              <w:left w:val="nil"/>
              <w:bottom w:val="nil"/>
              <w:right w:val="nil"/>
            </w:tcBorders>
            <w:shd w:val="clear" w:color="auto" w:fill="auto"/>
            <w:noWrap/>
            <w:vAlign w:val="center"/>
            <w:hideMark/>
          </w:tcPr>
          <w:p w14:paraId="17F7238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auto" w:fill="auto"/>
            <w:noWrap/>
            <w:vAlign w:val="center"/>
            <w:hideMark/>
          </w:tcPr>
          <w:p w14:paraId="7F1A167A"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p>
        </w:tc>
        <w:tc>
          <w:tcPr>
            <w:tcW w:w="1258" w:type="dxa"/>
            <w:tcBorders>
              <w:top w:val="nil"/>
              <w:left w:val="nil"/>
              <w:bottom w:val="nil"/>
              <w:right w:val="nil"/>
            </w:tcBorders>
            <w:shd w:val="clear" w:color="auto" w:fill="auto"/>
            <w:noWrap/>
            <w:vAlign w:val="center"/>
            <w:hideMark/>
          </w:tcPr>
          <w:p w14:paraId="26DD47E0" w14:textId="77777777" w:rsidR="008C5C4F" w:rsidRPr="00542749" w:rsidRDefault="008C5C4F" w:rsidP="005C182F">
            <w:pPr>
              <w:jc w:val="center"/>
              <w:rPr>
                <w:rFonts w:ascii="Times New Roman" w:eastAsia="Times New Roman" w:hAnsi="Times New Roman" w:cs="Times New Roman"/>
                <w:sz w:val="20"/>
                <w:szCs w:val="20"/>
                <w:lang w:eastAsia="it-IT"/>
              </w:rPr>
            </w:pPr>
          </w:p>
        </w:tc>
        <w:tc>
          <w:tcPr>
            <w:tcW w:w="809" w:type="dxa"/>
            <w:tcBorders>
              <w:top w:val="nil"/>
              <w:left w:val="nil"/>
              <w:bottom w:val="nil"/>
              <w:right w:val="single" w:sz="4" w:space="0" w:color="auto"/>
            </w:tcBorders>
            <w:shd w:val="clear" w:color="auto" w:fill="auto"/>
            <w:noWrap/>
            <w:vAlign w:val="center"/>
            <w:hideMark/>
          </w:tcPr>
          <w:p w14:paraId="121B121A"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&lt;0.001</w:t>
            </w:r>
          </w:p>
        </w:tc>
      </w:tr>
      <w:tr w:rsidR="008C5C4F" w:rsidRPr="00542749" w14:paraId="3FA2F2F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09AE59C3" w14:textId="77777777" w:rsidR="008C5C4F" w:rsidRPr="00542749" w:rsidRDefault="008C5C4F" w:rsidP="000F6884">
            <w:pPr>
              <w:jc w:val="right"/>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Intermediate vs. Good</w:t>
            </w:r>
          </w:p>
        </w:tc>
        <w:tc>
          <w:tcPr>
            <w:tcW w:w="531" w:type="dxa"/>
            <w:tcBorders>
              <w:top w:val="nil"/>
              <w:left w:val="nil"/>
              <w:bottom w:val="nil"/>
              <w:right w:val="nil"/>
            </w:tcBorders>
            <w:shd w:val="clear" w:color="auto" w:fill="auto"/>
            <w:noWrap/>
            <w:vAlign w:val="center"/>
            <w:hideMark/>
          </w:tcPr>
          <w:p w14:paraId="00B640F2"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1.55</w:t>
            </w:r>
          </w:p>
        </w:tc>
        <w:tc>
          <w:tcPr>
            <w:tcW w:w="1161" w:type="dxa"/>
            <w:tcBorders>
              <w:top w:val="nil"/>
              <w:left w:val="nil"/>
              <w:bottom w:val="nil"/>
              <w:right w:val="nil"/>
            </w:tcBorders>
            <w:shd w:val="clear" w:color="auto" w:fill="auto"/>
            <w:noWrap/>
            <w:vAlign w:val="center"/>
            <w:hideMark/>
          </w:tcPr>
          <w:p w14:paraId="6AE632BE"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1.03</w:t>
            </w:r>
          </w:p>
        </w:tc>
        <w:tc>
          <w:tcPr>
            <w:tcW w:w="1288" w:type="dxa"/>
            <w:tcBorders>
              <w:top w:val="nil"/>
              <w:left w:val="nil"/>
              <w:bottom w:val="nil"/>
              <w:right w:val="nil"/>
            </w:tcBorders>
            <w:shd w:val="clear" w:color="auto" w:fill="auto"/>
            <w:noWrap/>
            <w:vAlign w:val="center"/>
            <w:hideMark/>
          </w:tcPr>
          <w:p w14:paraId="1C35910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2.32</w:t>
            </w:r>
          </w:p>
        </w:tc>
        <w:tc>
          <w:tcPr>
            <w:tcW w:w="680" w:type="dxa"/>
            <w:tcBorders>
              <w:top w:val="nil"/>
              <w:left w:val="nil"/>
              <w:bottom w:val="nil"/>
              <w:right w:val="single" w:sz="4" w:space="0" w:color="auto"/>
            </w:tcBorders>
            <w:shd w:val="clear" w:color="auto" w:fill="auto"/>
            <w:noWrap/>
            <w:vAlign w:val="center"/>
            <w:hideMark/>
          </w:tcPr>
          <w:p w14:paraId="4E0944B5"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0.035</w:t>
            </w:r>
          </w:p>
        </w:tc>
        <w:tc>
          <w:tcPr>
            <w:tcW w:w="519" w:type="dxa"/>
            <w:tcBorders>
              <w:top w:val="nil"/>
              <w:left w:val="nil"/>
              <w:bottom w:val="nil"/>
              <w:right w:val="nil"/>
            </w:tcBorders>
            <w:shd w:val="clear" w:color="auto" w:fill="auto"/>
            <w:noWrap/>
            <w:vAlign w:val="center"/>
            <w:hideMark/>
          </w:tcPr>
          <w:p w14:paraId="549DB01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1.85</w:t>
            </w:r>
          </w:p>
        </w:tc>
        <w:tc>
          <w:tcPr>
            <w:tcW w:w="1134" w:type="dxa"/>
            <w:tcBorders>
              <w:top w:val="nil"/>
              <w:left w:val="nil"/>
              <w:bottom w:val="nil"/>
              <w:right w:val="nil"/>
            </w:tcBorders>
            <w:shd w:val="clear" w:color="auto" w:fill="auto"/>
            <w:noWrap/>
            <w:vAlign w:val="center"/>
            <w:hideMark/>
          </w:tcPr>
          <w:p w14:paraId="40784DA0"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1.15</w:t>
            </w:r>
          </w:p>
        </w:tc>
        <w:tc>
          <w:tcPr>
            <w:tcW w:w="1258" w:type="dxa"/>
            <w:tcBorders>
              <w:top w:val="nil"/>
              <w:left w:val="nil"/>
              <w:bottom w:val="nil"/>
              <w:right w:val="nil"/>
            </w:tcBorders>
            <w:shd w:val="clear" w:color="auto" w:fill="auto"/>
            <w:noWrap/>
            <w:vAlign w:val="center"/>
            <w:hideMark/>
          </w:tcPr>
          <w:p w14:paraId="6246B79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2.97</w:t>
            </w:r>
          </w:p>
        </w:tc>
        <w:tc>
          <w:tcPr>
            <w:tcW w:w="809" w:type="dxa"/>
            <w:tcBorders>
              <w:top w:val="nil"/>
              <w:left w:val="nil"/>
              <w:bottom w:val="nil"/>
              <w:right w:val="single" w:sz="4" w:space="0" w:color="auto"/>
            </w:tcBorders>
            <w:shd w:val="clear" w:color="auto" w:fill="auto"/>
            <w:noWrap/>
            <w:vAlign w:val="center"/>
            <w:hideMark/>
          </w:tcPr>
          <w:p w14:paraId="4DFEB642"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0.011</w:t>
            </w:r>
          </w:p>
        </w:tc>
      </w:tr>
      <w:tr w:rsidR="008C5C4F" w:rsidRPr="00542749" w14:paraId="4929458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694FEAA2" w14:textId="77777777" w:rsidR="008C5C4F" w:rsidRPr="00542749" w:rsidRDefault="008C5C4F" w:rsidP="000F6884">
            <w:pPr>
              <w:jc w:val="right"/>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Intermediate vs. Poor</w:t>
            </w:r>
          </w:p>
        </w:tc>
        <w:tc>
          <w:tcPr>
            <w:tcW w:w="531" w:type="dxa"/>
            <w:tcBorders>
              <w:top w:val="nil"/>
              <w:left w:val="nil"/>
              <w:bottom w:val="nil"/>
              <w:right w:val="nil"/>
            </w:tcBorders>
            <w:shd w:val="clear" w:color="auto" w:fill="auto"/>
            <w:noWrap/>
            <w:vAlign w:val="center"/>
            <w:hideMark/>
          </w:tcPr>
          <w:p w14:paraId="39E94130"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0.68</w:t>
            </w:r>
          </w:p>
        </w:tc>
        <w:tc>
          <w:tcPr>
            <w:tcW w:w="1161" w:type="dxa"/>
            <w:tcBorders>
              <w:top w:val="nil"/>
              <w:left w:val="nil"/>
              <w:bottom w:val="nil"/>
              <w:right w:val="nil"/>
            </w:tcBorders>
            <w:shd w:val="clear" w:color="auto" w:fill="auto"/>
            <w:noWrap/>
            <w:vAlign w:val="center"/>
            <w:hideMark/>
          </w:tcPr>
          <w:p w14:paraId="44769D5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0.39</w:t>
            </w:r>
          </w:p>
        </w:tc>
        <w:tc>
          <w:tcPr>
            <w:tcW w:w="1288" w:type="dxa"/>
            <w:tcBorders>
              <w:top w:val="nil"/>
              <w:left w:val="nil"/>
              <w:bottom w:val="nil"/>
              <w:right w:val="nil"/>
            </w:tcBorders>
            <w:shd w:val="clear" w:color="auto" w:fill="auto"/>
            <w:noWrap/>
            <w:vAlign w:val="center"/>
            <w:hideMark/>
          </w:tcPr>
          <w:p w14:paraId="157ED059"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1.12</w:t>
            </w:r>
          </w:p>
        </w:tc>
        <w:tc>
          <w:tcPr>
            <w:tcW w:w="680" w:type="dxa"/>
            <w:tcBorders>
              <w:top w:val="nil"/>
              <w:left w:val="nil"/>
              <w:bottom w:val="nil"/>
              <w:right w:val="single" w:sz="4" w:space="0" w:color="auto"/>
            </w:tcBorders>
            <w:shd w:val="clear" w:color="auto" w:fill="auto"/>
            <w:noWrap/>
            <w:vAlign w:val="center"/>
            <w:hideMark/>
          </w:tcPr>
          <w:p w14:paraId="3D0BB39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0.181</w:t>
            </w:r>
          </w:p>
        </w:tc>
        <w:tc>
          <w:tcPr>
            <w:tcW w:w="519" w:type="dxa"/>
            <w:tcBorders>
              <w:top w:val="nil"/>
              <w:left w:val="nil"/>
              <w:bottom w:val="nil"/>
              <w:right w:val="nil"/>
            </w:tcBorders>
            <w:shd w:val="clear" w:color="auto" w:fill="auto"/>
            <w:noWrap/>
            <w:vAlign w:val="center"/>
            <w:hideMark/>
          </w:tcPr>
          <w:p w14:paraId="04F53F6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0.48</w:t>
            </w:r>
          </w:p>
        </w:tc>
        <w:tc>
          <w:tcPr>
            <w:tcW w:w="1134" w:type="dxa"/>
            <w:tcBorders>
              <w:top w:val="nil"/>
              <w:left w:val="nil"/>
              <w:bottom w:val="nil"/>
              <w:right w:val="nil"/>
            </w:tcBorders>
            <w:shd w:val="clear" w:color="auto" w:fill="auto"/>
            <w:noWrap/>
            <w:vAlign w:val="center"/>
            <w:hideMark/>
          </w:tcPr>
          <w:p w14:paraId="4F8D6DCA"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0.26</w:t>
            </w:r>
          </w:p>
        </w:tc>
        <w:tc>
          <w:tcPr>
            <w:tcW w:w="1258" w:type="dxa"/>
            <w:tcBorders>
              <w:top w:val="nil"/>
              <w:left w:val="nil"/>
              <w:bottom w:val="nil"/>
              <w:right w:val="nil"/>
            </w:tcBorders>
            <w:shd w:val="clear" w:color="auto" w:fill="auto"/>
            <w:noWrap/>
            <w:vAlign w:val="center"/>
            <w:hideMark/>
          </w:tcPr>
          <w:p w14:paraId="7FB9BA64"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0.89</w:t>
            </w:r>
          </w:p>
        </w:tc>
        <w:tc>
          <w:tcPr>
            <w:tcW w:w="809" w:type="dxa"/>
            <w:tcBorders>
              <w:top w:val="nil"/>
              <w:left w:val="nil"/>
              <w:bottom w:val="nil"/>
              <w:right w:val="single" w:sz="4" w:space="0" w:color="auto"/>
            </w:tcBorders>
            <w:shd w:val="clear" w:color="auto" w:fill="auto"/>
            <w:noWrap/>
            <w:vAlign w:val="center"/>
            <w:hideMark/>
          </w:tcPr>
          <w:p w14:paraId="133090A2"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0.019</w:t>
            </w:r>
          </w:p>
        </w:tc>
      </w:tr>
      <w:tr w:rsidR="008C5C4F" w:rsidRPr="00542749" w14:paraId="712D22C4"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4F5D5277" w14:textId="77777777" w:rsidR="008C5C4F" w:rsidRPr="00542749" w:rsidRDefault="008C5C4F" w:rsidP="000F6884">
            <w:pPr>
              <w:jc w:val="right"/>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Poor vs. Good</w:t>
            </w:r>
          </w:p>
        </w:tc>
        <w:tc>
          <w:tcPr>
            <w:tcW w:w="531" w:type="dxa"/>
            <w:tcBorders>
              <w:top w:val="nil"/>
              <w:left w:val="nil"/>
              <w:bottom w:val="nil"/>
              <w:right w:val="nil"/>
            </w:tcBorders>
            <w:shd w:val="clear" w:color="auto" w:fill="auto"/>
            <w:noWrap/>
            <w:vAlign w:val="center"/>
            <w:hideMark/>
          </w:tcPr>
          <w:p w14:paraId="4A3173D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2.28</w:t>
            </w:r>
          </w:p>
        </w:tc>
        <w:tc>
          <w:tcPr>
            <w:tcW w:w="1161" w:type="dxa"/>
            <w:tcBorders>
              <w:top w:val="nil"/>
              <w:left w:val="nil"/>
              <w:bottom w:val="nil"/>
              <w:right w:val="nil"/>
            </w:tcBorders>
            <w:shd w:val="clear" w:color="auto" w:fill="auto"/>
            <w:noWrap/>
            <w:vAlign w:val="center"/>
            <w:hideMark/>
          </w:tcPr>
          <w:p w14:paraId="66354243"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1.29</w:t>
            </w:r>
          </w:p>
        </w:tc>
        <w:tc>
          <w:tcPr>
            <w:tcW w:w="1288" w:type="dxa"/>
            <w:tcBorders>
              <w:top w:val="nil"/>
              <w:left w:val="nil"/>
              <w:bottom w:val="nil"/>
              <w:right w:val="nil"/>
            </w:tcBorders>
            <w:shd w:val="clear" w:color="auto" w:fill="auto"/>
            <w:noWrap/>
            <w:vAlign w:val="center"/>
            <w:hideMark/>
          </w:tcPr>
          <w:p w14:paraId="243BF1AA"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4.03</w:t>
            </w:r>
          </w:p>
        </w:tc>
        <w:tc>
          <w:tcPr>
            <w:tcW w:w="680" w:type="dxa"/>
            <w:tcBorders>
              <w:top w:val="nil"/>
              <w:left w:val="nil"/>
              <w:bottom w:val="nil"/>
              <w:right w:val="single" w:sz="4" w:space="0" w:color="auto"/>
            </w:tcBorders>
            <w:shd w:val="clear" w:color="auto" w:fill="auto"/>
            <w:noWrap/>
            <w:vAlign w:val="center"/>
            <w:hideMark/>
          </w:tcPr>
          <w:p w14:paraId="2AB2BAC2"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0.005</w:t>
            </w:r>
          </w:p>
        </w:tc>
        <w:tc>
          <w:tcPr>
            <w:tcW w:w="519" w:type="dxa"/>
            <w:tcBorders>
              <w:top w:val="nil"/>
              <w:left w:val="nil"/>
              <w:bottom w:val="nil"/>
              <w:right w:val="nil"/>
            </w:tcBorders>
            <w:shd w:val="clear" w:color="auto" w:fill="auto"/>
            <w:noWrap/>
            <w:vAlign w:val="center"/>
            <w:hideMark/>
          </w:tcPr>
          <w:p w14:paraId="25B3809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3.89</w:t>
            </w:r>
          </w:p>
        </w:tc>
        <w:tc>
          <w:tcPr>
            <w:tcW w:w="1134" w:type="dxa"/>
            <w:tcBorders>
              <w:top w:val="nil"/>
              <w:left w:val="nil"/>
              <w:bottom w:val="nil"/>
              <w:right w:val="nil"/>
            </w:tcBorders>
            <w:shd w:val="clear" w:color="auto" w:fill="auto"/>
            <w:noWrap/>
            <w:vAlign w:val="center"/>
            <w:hideMark/>
          </w:tcPr>
          <w:p w14:paraId="7257F73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2.03</w:t>
            </w:r>
          </w:p>
        </w:tc>
        <w:tc>
          <w:tcPr>
            <w:tcW w:w="1258" w:type="dxa"/>
            <w:tcBorders>
              <w:top w:val="nil"/>
              <w:left w:val="nil"/>
              <w:bottom w:val="nil"/>
              <w:right w:val="nil"/>
            </w:tcBorders>
            <w:shd w:val="clear" w:color="auto" w:fill="auto"/>
            <w:noWrap/>
            <w:vAlign w:val="center"/>
            <w:hideMark/>
          </w:tcPr>
          <w:p w14:paraId="33B3F03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7.42</w:t>
            </w:r>
          </w:p>
        </w:tc>
        <w:tc>
          <w:tcPr>
            <w:tcW w:w="809" w:type="dxa"/>
            <w:tcBorders>
              <w:top w:val="nil"/>
              <w:left w:val="nil"/>
              <w:bottom w:val="nil"/>
              <w:right w:val="single" w:sz="4" w:space="0" w:color="auto"/>
            </w:tcBorders>
            <w:shd w:val="clear" w:color="auto" w:fill="auto"/>
            <w:noWrap/>
            <w:vAlign w:val="center"/>
            <w:hideMark/>
          </w:tcPr>
          <w:p w14:paraId="19126158" w14:textId="77777777" w:rsidR="008C5C4F" w:rsidRPr="00542749" w:rsidRDefault="008C5C4F" w:rsidP="005C182F">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&lt;0.001</w:t>
            </w:r>
          </w:p>
        </w:tc>
      </w:tr>
      <w:tr w:rsidR="008C5C4F" w:rsidRPr="00542749" w14:paraId="08E489BB"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6B9BA313"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Basal Hb (continous)</w:t>
            </w:r>
          </w:p>
        </w:tc>
        <w:tc>
          <w:tcPr>
            <w:tcW w:w="531" w:type="dxa"/>
            <w:tcBorders>
              <w:top w:val="nil"/>
              <w:left w:val="nil"/>
              <w:bottom w:val="nil"/>
              <w:right w:val="nil"/>
            </w:tcBorders>
            <w:shd w:val="clear" w:color="auto" w:fill="auto"/>
            <w:noWrap/>
            <w:vAlign w:val="center"/>
            <w:hideMark/>
          </w:tcPr>
          <w:p w14:paraId="4CCC0311"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1.00</w:t>
            </w:r>
          </w:p>
        </w:tc>
        <w:tc>
          <w:tcPr>
            <w:tcW w:w="1161" w:type="dxa"/>
            <w:tcBorders>
              <w:top w:val="nil"/>
              <w:left w:val="nil"/>
              <w:bottom w:val="nil"/>
              <w:right w:val="nil"/>
            </w:tcBorders>
            <w:shd w:val="clear" w:color="auto" w:fill="auto"/>
            <w:noWrap/>
            <w:vAlign w:val="center"/>
            <w:hideMark/>
          </w:tcPr>
          <w:p w14:paraId="499E840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0.99</w:t>
            </w:r>
          </w:p>
        </w:tc>
        <w:tc>
          <w:tcPr>
            <w:tcW w:w="1288" w:type="dxa"/>
            <w:tcBorders>
              <w:top w:val="nil"/>
              <w:left w:val="nil"/>
              <w:bottom w:val="nil"/>
              <w:right w:val="nil"/>
            </w:tcBorders>
            <w:shd w:val="clear" w:color="auto" w:fill="auto"/>
            <w:noWrap/>
            <w:vAlign w:val="center"/>
            <w:hideMark/>
          </w:tcPr>
          <w:p w14:paraId="613D07F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680" w:type="dxa"/>
            <w:tcBorders>
              <w:top w:val="nil"/>
              <w:left w:val="nil"/>
              <w:bottom w:val="nil"/>
              <w:right w:val="single" w:sz="4" w:space="0" w:color="auto"/>
            </w:tcBorders>
            <w:shd w:val="clear" w:color="auto" w:fill="auto"/>
            <w:noWrap/>
            <w:vAlign w:val="center"/>
            <w:hideMark/>
          </w:tcPr>
          <w:p w14:paraId="7D678AB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0.867</w:t>
            </w:r>
          </w:p>
        </w:tc>
        <w:tc>
          <w:tcPr>
            <w:tcW w:w="519" w:type="dxa"/>
            <w:tcBorders>
              <w:top w:val="nil"/>
              <w:left w:val="nil"/>
              <w:bottom w:val="nil"/>
              <w:right w:val="nil"/>
            </w:tcBorders>
            <w:shd w:val="clear" w:color="auto" w:fill="auto"/>
            <w:noWrap/>
            <w:vAlign w:val="center"/>
            <w:hideMark/>
          </w:tcPr>
          <w:p w14:paraId="08423FBE"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0.99</w:t>
            </w:r>
          </w:p>
        </w:tc>
        <w:tc>
          <w:tcPr>
            <w:tcW w:w="1134" w:type="dxa"/>
            <w:tcBorders>
              <w:top w:val="nil"/>
              <w:left w:val="nil"/>
              <w:bottom w:val="nil"/>
              <w:right w:val="nil"/>
            </w:tcBorders>
            <w:shd w:val="clear" w:color="auto" w:fill="auto"/>
            <w:noWrap/>
            <w:vAlign w:val="center"/>
            <w:hideMark/>
          </w:tcPr>
          <w:p w14:paraId="70940FCC"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258" w:type="dxa"/>
            <w:tcBorders>
              <w:top w:val="nil"/>
              <w:left w:val="nil"/>
              <w:bottom w:val="nil"/>
              <w:right w:val="nil"/>
            </w:tcBorders>
            <w:shd w:val="clear" w:color="auto" w:fill="auto"/>
            <w:noWrap/>
            <w:vAlign w:val="center"/>
            <w:hideMark/>
          </w:tcPr>
          <w:p w14:paraId="7B2EF2A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809" w:type="dxa"/>
            <w:tcBorders>
              <w:top w:val="nil"/>
              <w:left w:val="nil"/>
              <w:bottom w:val="nil"/>
              <w:right w:val="single" w:sz="4" w:space="0" w:color="auto"/>
            </w:tcBorders>
            <w:shd w:val="clear" w:color="auto" w:fill="auto"/>
            <w:noWrap/>
            <w:vAlign w:val="center"/>
            <w:hideMark/>
          </w:tcPr>
          <w:p w14:paraId="531FE016"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0.362</w:t>
            </w:r>
          </w:p>
        </w:tc>
      </w:tr>
      <w:tr w:rsidR="008C5C4F" w:rsidRPr="00542749" w14:paraId="01B493DF"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42848753" w14:textId="77777777" w:rsidR="008C5C4F" w:rsidRPr="00542749" w:rsidRDefault="008C5C4F" w:rsidP="000F6884">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Basal Albumin (continous)</w:t>
            </w:r>
          </w:p>
        </w:tc>
        <w:tc>
          <w:tcPr>
            <w:tcW w:w="531" w:type="dxa"/>
            <w:tcBorders>
              <w:top w:val="nil"/>
              <w:left w:val="nil"/>
              <w:bottom w:val="nil"/>
              <w:right w:val="nil"/>
            </w:tcBorders>
            <w:shd w:val="clear" w:color="auto" w:fill="auto"/>
            <w:noWrap/>
            <w:vAlign w:val="center"/>
            <w:hideMark/>
          </w:tcPr>
          <w:p w14:paraId="7148646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0.96</w:t>
            </w:r>
          </w:p>
        </w:tc>
        <w:tc>
          <w:tcPr>
            <w:tcW w:w="1161" w:type="dxa"/>
            <w:tcBorders>
              <w:top w:val="nil"/>
              <w:left w:val="nil"/>
              <w:bottom w:val="nil"/>
              <w:right w:val="nil"/>
            </w:tcBorders>
            <w:shd w:val="clear" w:color="auto" w:fill="auto"/>
            <w:noWrap/>
            <w:vAlign w:val="center"/>
            <w:hideMark/>
          </w:tcPr>
          <w:p w14:paraId="01418B4F"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0.92</w:t>
            </w:r>
          </w:p>
        </w:tc>
        <w:tc>
          <w:tcPr>
            <w:tcW w:w="1288" w:type="dxa"/>
            <w:tcBorders>
              <w:top w:val="nil"/>
              <w:left w:val="nil"/>
              <w:bottom w:val="nil"/>
              <w:right w:val="nil"/>
            </w:tcBorders>
            <w:shd w:val="clear" w:color="auto" w:fill="auto"/>
            <w:noWrap/>
            <w:vAlign w:val="center"/>
            <w:hideMark/>
          </w:tcPr>
          <w:p w14:paraId="4A8A03C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680" w:type="dxa"/>
            <w:tcBorders>
              <w:top w:val="nil"/>
              <w:left w:val="nil"/>
              <w:bottom w:val="nil"/>
              <w:right w:val="single" w:sz="4" w:space="0" w:color="auto"/>
            </w:tcBorders>
            <w:shd w:val="clear" w:color="auto" w:fill="auto"/>
            <w:noWrap/>
            <w:vAlign w:val="center"/>
            <w:hideMark/>
          </w:tcPr>
          <w:p w14:paraId="2BBFDE55"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0.092</w:t>
            </w:r>
          </w:p>
        </w:tc>
        <w:tc>
          <w:tcPr>
            <w:tcW w:w="519" w:type="dxa"/>
            <w:tcBorders>
              <w:top w:val="nil"/>
              <w:left w:val="nil"/>
              <w:bottom w:val="nil"/>
              <w:right w:val="nil"/>
            </w:tcBorders>
            <w:shd w:val="clear" w:color="auto" w:fill="auto"/>
            <w:noWrap/>
            <w:vAlign w:val="center"/>
            <w:hideMark/>
          </w:tcPr>
          <w:p w14:paraId="7AC13D8A"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0.97</w:t>
            </w:r>
          </w:p>
        </w:tc>
        <w:tc>
          <w:tcPr>
            <w:tcW w:w="1134" w:type="dxa"/>
            <w:tcBorders>
              <w:top w:val="nil"/>
              <w:left w:val="nil"/>
              <w:bottom w:val="nil"/>
              <w:right w:val="nil"/>
            </w:tcBorders>
            <w:shd w:val="clear" w:color="auto" w:fill="auto"/>
            <w:noWrap/>
            <w:vAlign w:val="center"/>
            <w:hideMark/>
          </w:tcPr>
          <w:p w14:paraId="6262CF17"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0.92</w:t>
            </w:r>
          </w:p>
        </w:tc>
        <w:tc>
          <w:tcPr>
            <w:tcW w:w="1258" w:type="dxa"/>
            <w:tcBorders>
              <w:top w:val="nil"/>
              <w:left w:val="nil"/>
              <w:bottom w:val="nil"/>
              <w:right w:val="nil"/>
            </w:tcBorders>
            <w:shd w:val="clear" w:color="auto" w:fill="auto"/>
            <w:noWrap/>
            <w:vAlign w:val="center"/>
            <w:hideMark/>
          </w:tcPr>
          <w:p w14:paraId="03AF9E38"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1.02</w:t>
            </w:r>
          </w:p>
        </w:tc>
        <w:tc>
          <w:tcPr>
            <w:tcW w:w="809" w:type="dxa"/>
            <w:tcBorders>
              <w:top w:val="nil"/>
              <w:left w:val="nil"/>
              <w:bottom w:val="nil"/>
              <w:right w:val="single" w:sz="4" w:space="0" w:color="auto"/>
            </w:tcBorders>
            <w:shd w:val="clear" w:color="auto" w:fill="auto"/>
            <w:noWrap/>
            <w:vAlign w:val="center"/>
            <w:hideMark/>
          </w:tcPr>
          <w:p w14:paraId="03557D4D" w14:textId="77777777" w:rsidR="008C5C4F" w:rsidRPr="00542749" w:rsidRDefault="008C5C4F" w:rsidP="005C182F">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0.270</w:t>
            </w:r>
          </w:p>
        </w:tc>
      </w:tr>
      <w:tr w:rsidR="00A66F96" w:rsidRPr="00542749" w14:paraId="6F658144"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5A66C52E" w14:textId="605CD254" w:rsidR="00A66F96" w:rsidRPr="00542749" w:rsidRDefault="005D0FC8"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RT within 30 days from ICI start</w:t>
            </w:r>
            <w:r w:rsidR="000F6884" w:rsidRPr="00542749">
              <w:rPr>
                <w:rFonts w:ascii="Times New Roman" w:eastAsia="Times New Roman" w:hAnsi="Times New Roman" w:cs="Times New Roman"/>
                <w:color w:val="000000"/>
                <w:sz w:val="20"/>
                <w:szCs w:val="20"/>
                <w:lang w:val="en-US" w:eastAsia="it-IT"/>
              </w:rPr>
              <w:t xml:space="preserve"> (Yes vs. No)</w:t>
            </w:r>
          </w:p>
        </w:tc>
        <w:tc>
          <w:tcPr>
            <w:tcW w:w="531" w:type="dxa"/>
            <w:tcBorders>
              <w:top w:val="nil"/>
              <w:left w:val="nil"/>
              <w:bottom w:val="nil"/>
              <w:right w:val="nil"/>
            </w:tcBorders>
            <w:shd w:val="clear" w:color="auto" w:fill="auto"/>
            <w:noWrap/>
            <w:vAlign w:val="center"/>
          </w:tcPr>
          <w:p w14:paraId="33A74FA0" w14:textId="0BB2649D"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1.35</w:t>
            </w:r>
          </w:p>
        </w:tc>
        <w:tc>
          <w:tcPr>
            <w:tcW w:w="1161" w:type="dxa"/>
            <w:tcBorders>
              <w:top w:val="nil"/>
              <w:left w:val="nil"/>
              <w:bottom w:val="nil"/>
              <w:right w:val="nil"/>
            </w:tcBorders>
            <w:shd w:val="clear" w:color="auto" w:fill="auto"/>
            <w:noWrap/>
            <w:vAlign w:val="center"/>
          </w:tcPr>
          <w:p w14:paraId="34A685C4" w14:textId="3789B205"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0.66</w:t>
            </w:r>
          </w:p>
        </w:tc>
        <w:tc>
          <w:tcPr>
            <w:tcW w:w="1288" w:type="dxa"/>
            <w:tcBorders>
              <w:top w:val="nil"/>
              <w:left w:val="nil"/>
              <w:bottom w:val="nil"/>
              <w:right w:val="nil"/>
            </w:tcBorders>
            <w:shd w:val="clear" w:color="auto" w:fill="auto"/>
            <w:noWrap/>
            <w:vAlign w:val="center"/>
          </w:tcPr>
          <w:p w14:paraId="73668578" w14:textId="78F884FE"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2.77</w:t>
            </w:r>
          </w:p>
        </w:tc>
        <w:tc>
          <w:tcPr>
            <w:tcW w:w="680" w:type="dxa"/>
            <w:tcBorders>
              <w:top w:val="nil"/>
              <w:left w:val="nil"/>
              <w:bottom w:val="nil"/>
              <w:right w:val="single" w:sz="4" w:space="0" w:color="auto"/>
            </w:tcBorders>
            <w:shd w:val="clear" w:color="auto" w:fill="auto"/>
            <w:noWrap/>
            <w:vAlign w:val="center"/>
          </w:tcPr>
          <w:p w14:paraId="3F1B418F" w14:textId="0A6AA632"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0.412</w:t>
            </w:r>
          </w:p>
        </w:tc>
        <w:tc>
          <w:tcPr>
            <w:tcW w:w="519" w:type="dxa"/>
            <w:tcBorders>
              <w:top w:val="nil"/>
              <w:left w:val="nil"/>
              <w:bottom w:val="nil"/>
              <w:right w:val="nil"/>
            </w:tcBorders>
            <w:shd w:val="clear" w:color="auto" w:fill="auto"/>
            <w:noWrap/>
            <w:vAlign w:val="center"/>
          </w:tcPr>
          <w:p w14:paraId="13AED342" w14:textId="5F48B171" w:rsidR="00A66F96" w:rsidRPr="00542749" w:rsidRDefault="000F6884"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2.74</w:t>
            </w:r>
          </w:p>
        </w:tc>
        <w:tc>
          <w:tcPr>
            <w:tcW w:w="1134" w:type="dxa"/>
            <w:tcBorders>
              <w:top w:val="nil"/>
              <w:left w:val="nil"/>
              <w:bottom w:val="nil"/>
              <w:right w:val="nil"/>
            </w:tcBorders>
            <w:shd w:val="clear" w:color="auto" w:fill="auto"/>
            <w:noWrap/>
            <w:vAlign w:val="center"/>
          </w:tcPr>
          <w:p w14:paraId="34EB4951" w14:textId="62ED7BB4" w:rsidR="00A66F96" w:rsidRPr="00542749" w:rsidRDefault="000F6884"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1.24</w:t>
            </w:r>
          </w:p>
        </w:tc>
        <w:tc>
          <w:tcPr>
            <w:tcW w:w="1258" w:type="dxa"/>
            <w:tcBorders>
              <w:top w:val="nil"/>
              <w:left w:val="nil"/>
              <w:bottom w:val="nil"/>
              <w:right w:val="nil"/>
            </w:tcBorders>
            <w:shd w:val="clear" w:color="auto" w:fill="auto"/>
            <w:noWrap/>
            <w:vAlign w:val="center"/>
          </w:tcPr>
          <w:p w14:paraId="4168870F" w14:textId="7FFEECA1" w:rsidR="00A66F96" w:rsidRPr="00542749" w:rsidRDefault="000F6884"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6.02</w:t>
            </w:r>
          </w:p>
        </w:tc>
        <w:tc>
          <w:tcPr>
            <w:tcW w:w="809" w:type="dxa"/>
            <w:tcBorders>
              <w:top w:val="nil"/>
              <w:left w:val="nil"/>
              <w:bottom w:val="nil"/>
              <w:right w:val="single" w:sz="4" w:space="0" w:color="auto"/>
            </w:tcBorders>
            <w:shd w:val="clear" w:color="auto" w:fill="auto"/>
            <w:noWrap/>
            <w:vAlign w:val="center"/>
          </w:tcPr>
          <w:p w14:paraId="62123419" w14:textId="405C976C" w:rsidR="00A66F96" w:rsidRPr="00542749" w:rsidRDefault="000F6884" w:rsidP="005C182F">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0.009</w:t>
            </w:r>
          </w:p>
        </w:tc>
      </w:tr>
      <w:tr w:rsidR="00A66F96" w:rsidRPr="00542749" w14:paraId="2061286F"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03FDF091" w14:textId="2644EECA" w:rsidR="00A66F96" w:rsidRPr="00542749" w:rsidRDefault="005D0FC8"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RT during ICI</w:t>
            </w:r>
            <w:r w:rsidR="000F6884" w:rsidRPr="00542749">
              <w:rPr>
                <w:rFonts w:ascii="Times New Roman" w:eastAsia="Times New Roman" w:hAnsi="Times New Roman" w:cs="Times New Roman"/>
                <w:color w:val="000000"/>
                <w:sz w:val="20"/>
                <w:szCs w:val="20"/>
                <w:lang w:val="en-US" w:eastAsia="it-IT"/>
              </w:rPr>
              <w:t xml:space="preserve"> (Yes vs. No)</w:t>
            </w:r>
          </w:p>
        </w:tc>
        <w:tc>
          <w:tcPr>
            <w:tcW w:w="531" w:type="dxa"/>
            <w:tcBorders>
              <w:top w:val="nil"/>
              <w:left w:val="nil"/>
              <w:bottom w:val="nil"/>
              <w:right w:val="nil"/>
            </w:tcBorders>
            <w:shd w:val="clear" w:color="auto" w:fill="auto"/>
            <w:noWrap/>
            <w:vAlign w:val="center"/>
          </w:tcPr>
          <w:p w14:paraId="4002A01A" w14:textId="695907D4"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1.11</w:t>
            </w:r>
          </w:p>
        </w:tc>
        <w:tc>
          <w:tcPr>
            <w:tcW w:w="1161" w:type="dxa"/>
            <w:tcBorders>
              <w:top w:val="nil"/>
              <w:left w:val="nil"/>
              <w:bottom w:val="nil"/>
              <w:right w:val="nil"/>
            </w:tcBorders>
            <w:shd w:val="clear" w:color="auto" w:fill="auto"/>
            <w:noWrap/>
            <w:vAlign w:val="center"/>
          </w:tcPr>
          <w:p w14:paraId="3FC4CC7A" w14:textId="4FDEBE1D"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0.73</w:t>
            </w:r>
          </w:p>
        </w:tc>
        <w:tc>
          <w:tcPr>
            <w:tcW w:w="1288" w:type="dxa"/>
            <w:tcBorders>
              <w:top w:val="nil"/>
              <w:left w:val="nil"/>
              <w:bottom w:val="nil"/>
              <w:right w:val="nil"/>
            </w:tcBorders>
            <w:shd w:val="clear" w:color="auto" w:fill="auto"/>
            <w:noWrap/>
            <w:vAlign w:val="center"/>
          </w:tcPr>
          <w:p w14:paraId="7BE545A6" w14:textId="54CBC476"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1.70</w:t>
            </w:r>
          </w:p>
        </w:tc>
        <w:tc>
          <w:tcPr>
            <w:tcW w:w="680" w:type="dxa"/>
            <w:tcBorders>
              <w:top w:val="nil"/>
              <w:left w:val="nil"/>
              <w:bottom w:val="nil"/>
              <w:right w:val="single" w:sz="4" w:space="0" w:color="auto"/>
            </w:tcBorders>
            <w:shd w:val="clear" w:color="auto" w:fill="auto"/>
            <w:noWrap/>
            <w:vAlign w:val="center"/>
          </w:tcPr>
          <w:p w14:paraId="25ADEFA3" w14:textId="26426FF5"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0.625</w:t>
            </w:r>
          </w:p>
        </w:tc>
        <w:tc>
          <w:tcPr>
            <w:tcW w:w="519" w:type="dxa"/>
            <w:tcBorders>
              <w:top w:val="nil"/>
              <w:left w:val="nil"/>
              <w:bottom w:val="nil"/>
              <w:right w:val="nil"/>
            </w:tcBorders>
            <w:shd w:val="clear" w:color="auto" w:fill="auto"/>
            <w:noWrap/>
            <w:vAlign w:val="center"/>
          </w:tcPr>
          <w:p w14:paraId="1CCEFD49" w14:textId="33BB9080" w:rsidR="00A66F96" w:rsidRPr="00542749" w:rsidRDefault="00A60BE0"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1.22</w:t>
            </w:r>
          </w:p>
        </w:tc>
        <w:tc>
          <w:tcPr>
            <w:tcW w:w="1134" w:type="dxa"/>
            <w:tcBorders>
              <w:top w:val="nil"/>
              <w:left w:val="nil"/>
              <w:bottom w:val="nil"/>
              <w:right w:val="nil"/>
            </w:tcBorders>
            <w:shd w:val="clear" w:color="auto" w:fill="auto"/>
            <w:noWrap/>
            <w:vAlign w:val="center"/>
          </w:tcPr>
          <w:p w14:paraId="4BD78E6B" w14:textId="08DE9012" w:rsidR="00A66F96"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0.77</w:t>
            </w:r>
          </w:p>
        </w:tc>
        <w:tc>
          <w:tcPr>
            <w:tcW w:w="1258" w:type="dxa"/>
            <w:tcBorders>
              <w:top w:val="nil"/>
              <w:left w:val="nil"/>
              <w:bottom w:val="nil"/>
              <w:right w:val="nil"/>
            </w:tcBorders>
            <w:shd w:val="clear" w:color="auto" w:fill="auto"/>
            <w:noWrap/>
            <w:vAlign w:val="center"/>
          </w:tcPr>
          <w:p w14:paraId="277F81DA" w14:textId="0BFE8BBF" w:rsidR="00A66F96" w:rsidRPr="00542749" w:rsidRDefault="00A60BE0"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1.93</w:t>
            </w:r>
          </w:p>
        </w:tc>
        <w:tc>
          <w:tcPr>
            <w:tcW w:w="809" w:type="dxa"/>
            <w:tcBorders>
              <w:top w:val="nil"/>
              <w:left w:val="nil"/>
              <w:bottom w:val="nil"/>
              <w:right w:val="single" w:sz="4" w:space="0" w:color="auto"/>
            </w:tcBorders>
            <w:shd w:val="clear" w:color="auto" w:fill="auto"/>
            <w:noWrap/>
            <w:vAlign w:val="center"/>
          </w:tcPr>
          <w:p w14:paraId="61A56002" w14:textId="454295A1" w:rsidR="00A66F96" w:rsidRPr="00542749" w:rsidRDefault="000F6884"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0.405</w:t>
            </w:r>
          </w:p>
        </w:tc>
      </w:tr>
      <w:tr w:rsidR="00A66F96" w:rsidRPr="00542749" w14:paraId="6B3D2879"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4A58FFE4" w14:textId="340993E8" w:rsidR="00A66F96" w:rsidRPr="00542749" w:rsidRDefault="005D0FC8"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sATB within 30 days from ICI start</w:t>
            </w:r>
            <w:r w:rsidR="000F6884" w:rsidRPr="00542749">
              <w:rPr>
                <w:rFonts w:ascii="Times New Roman" w:eastAsia="Times New Roman" w:hAnsi="Times New Roman" w:cs="Times New Roman"/>
                <w:color w:val="000000"/>
                <w:sz w:val="20"/>
                <w:szCs w:val="20"/>
                <w:lang w:val="en-US" w:eastAsia="it-IT"/>
              </w:rPr>
              <w:t xml:space="preserve"> (Yes vs. No)</w:t>
            </w:r>
          </w:p>
        </w:tc>
        <w:tc>
          <w:tcPr>
            <w:tcW w:w="531" w:type="dxa"/>
            <w:tcBorders>
              <w:top w:val="nil"/>
              <w:left w:val="nil"/>
              <w:bottom w:val="nil"/>
              <w:right w:val="nil"/>
            </w:tcBorders>
            <w:shd w:val="clear" w:color="auto" w:fill="auto"/>
            <w:noWrap/>
            <w:vAlign w:val="center"/>
          </w:tcPr>
          <w:p w14:paraId="535DB84D" w14:textId="32FC0CAB"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0.54</w:t>
            </w:r>
          </w:p>
        </w:tc>
        <w:tc>
          <w:tcPr>
            <w:tcW w:w="1161" w:type="dxa"/>
            <w:tcBorders>
              <w:top w:val="nil"/>
              <w:left w:val="nil"/>
              <w:bottom w:val="nil"/>
              <w:right w:val="nil"/>
            </w:tcBorders>
            <w:shd w:val="clear" w:color="auto" w:fill="auto"/>
            <w:noWrap/>
            <w:vAlign w:val="center"/>
          </w:tcPr>
          <w:p w14:paraId="4D744015" w14:textId="048842A5"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0.35</w:t>
            </w:r>
          </w:p>
        </w:tc>
        <w:tc>
          <w:tcPr>
            <w:tcW w:w="1288" w:type="dxa"/>
            <w:tcBorders>
              <w:top w:val="nil"/>
              <w:left w:val="nil"/>
              <w:bottom w:val="nil"/>
              <w:right w:val="nil"/>
            </w:tcBorders>
            <w:shd w:val="clear" w:color="auto" w:fill="auto"/>
            <w:noWrap/>
            <w:vAlign w:val="center"/>
          </w:tcPr>
          <w:p w14:paraId="7FCB44DC" w14:textId="6702C64B" w:rsidR="00A66F96" w:rsidRPr="00542749" w:rsidRDefault="005D0FC8"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0.83</w:t>
            </w:r>
          </w:p>
        </w:tc>
        <w:tc>
          <w:tcPr>
            <w:tcW w:w="680" w:type="dxa"/>
            <w:tcBorders>
              <w:top w:val="nil"/>
              <w:left w:val="nil"/>
              <w:bottom w:val="nil"/>
              <w:right w:val="single" w:sz="4" w:space="0" w:color="auto"/>
            </w:tcBorders>
            <w:shd w:val="clear" w:color="auto" w:fill="auto"/>
            <w:noWrap/>
            <w:vAlign w:val="center"/>
          </w:tcPr>
          <w:p w14:paraId="341DA6F5" w14:textId="0B66BFEE" w:rsidR="00A66F96" w:rsidRPr="00542749" w:rsidRDefault="000F6884"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0.792</w:t>
            </w:r>
          </w:p>
        </w:tc>
        <w:tc>
          <w:tcPr>
            <w:tcW w:w="519" w:type="dxa"/>
            <w:tcBorders>
              <w:top w:val="nil"/>
              <w:left w:val="nil"/>
              <w:bottom w:val="nil"/>
              <w:right w:val="nil"/>
            </w:tcBorders>
            <w:shd w:val="clear" w:color="auto" w:fill="auto"/>
            <w:noWrap/>
            <w:vAlign w:val="center"/>
          </w:tcPr>
          <w:p w14:paraId="709AC25E" w14:textId="1B450F02" w:rsidR="00A66F96" w:rsidRPr="00542749" w:rsidRDefault="00A60BE0"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1.14</w:t>
            </w:r>
          </w:p>
        </w:tc>
        <w:tc>
          <w:tcPr>
            <w:tcW w:w="1134" w:type="dxa"/>
            <w:tcBorders>
              <w:top w:val="nil"/>
              <w:left w:val="nil"/>
              <w:bottom w:val="nil"/>
              <w:right w:val="nil"/>
            </w:tcBorders>
            <w:shd w:val="clear" w:color="auto" w:fill="auto"/>
            <w:noWrap/>
            <w:vAlign w:val="center"/>
          </w:tcPr>
          <w:p w14:paraId="7C1F8748" w14:textId="48AFBE83" w:rsidR="00A66F96" w:rsidRPr="00542749" w:rsidRDefault="00A60BE0"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0.42</w:t>
            </w:r>
          </w:p>
        </w:tc>
        <w:tc>
          <w:tcPr>
            <w:tcW w:w="1258" w:type="dxa"/>
            <w:tcBorders>
              <w:top w:val="nil"/>
              <w:left w:val="nil"/>
              <w:bottom w:val="nil"/>
              <w:right w:val="nil"/>
            </w:tcBorders>
            <w:shd w:val="clear" w:color="auto" w:fill="auto"/>
            <w:noWrap/>
            <w:vAlign w:val="center"/>
          </w:tcPr>
          <w:p w14:paraId="6095CE2A" w14:textId="3D86385F" w:rsidR="00A66F96" w:rsidRPr="00542749" w:rsidRDefault="00A60BE0"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3.12</w:t>
            </w:r>
          </w:p>
        </w:tc>
        <w:tc>
          <w:tcPr>
            <w:tcW w:w="809" w:type="dxa"/>
            <w:tcBorders>
              <w:top w:val="nil"/>
              <w:left w:val="nil"/>
              <w:bottom w:val="nil"/>
              <w:right w:val="single" w:sz="4" w:space="0" w:color="auto"/>
            </w:tcBorders>
            <w:shd w:val="clear" w:color="auto" w:fill="auto"/>
            <w:noWrap/>
            <w:vAlign w:val="center"/>
          </w:tcPr>
          <w:p w14:paraId="6E130895" w14:textId="3D9ABF9A" w:rsidR="00A66F96" w:rsidRPr="00542749" w:rsidRDefault="000F6884" w:rsidP="005C182F">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0.797</w:t>
            </w:r>
          </w:p>
        </w:tc>
      </w:tr>
      <w:tr w:rsidR="005D0FC8" w:rsidRPr="00542749" w14:paraId="22D157BB"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24469CF9" w14:textId="6CDC1EF4" w:rsidR="005D0FC8" w:rsidRPr="00542749" w:rsidRDefault="005D0FC8" w:rsidP="000F6884">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sATB during ICI</w:t>
            </w:r>
            <w:r w:rsidR="000F6884" w:rsidRPr="00542749">
              <w:rPr>
                <w:rFonts w:ascii="Times New Roman" w:eastAsia="Times New Roman" w:hAnsi="Times New Roman" w:cs="Times New Roman"/>
                <w:color w:val="000000"/>
                <w:sz w:val="20"/>
                <w:szCs w:val="20"/>
                <w:lang w:val="en-US" w:eastAsia="it-IT"/>
              </w:rPr>
              <w:t xml:space="preserve"> (Yes vs. No)</w:t>
            </w:r>
          </w:p>
        </w:tc>
        <w:tc>
          <w:tcPr>
            <w:tcW w:w="531" w:type="dxa"/>
            <w:tcBorders>
              <w:top w:val="nil"/>
              <w:left w:val="nil"/>
              <w:bottom w:val="nil"/>
              <w:right w:val="nil"/>
            </w:tcBorders>
            <w:shd w:val="clear" w:color="auto" w:fill="auto"/>
            <w:noWrap/>
            <w:vAlign w:val="center"/>
          </w:tcPr>
          <w:p w14:paraId="4400CF67" w14:textId="283F60D3" w:rsidR="005D0FC8" w:rsidRPr="00542749" w:rsidRDefault="005D0FC8" w:rsidP="005D0FC8">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0.54</w:t>
            </w:r>
          </w:p>
        </w:tc>
        <w:tc>
          <w:tcPr>
            <w:tcW w:w="1161" w:type="dxa"/>
            <w:tcBorders>
              <w:top w:val="nil"/>
              <w:left w:val="nil"/>
              <w:bottom w:val="nil"/>
              <w:right w:val="nil"/>
            </w:tcBorders>
            <w:shd w:val="clear" w:color="auto" w:fill="auto"/>
            <w:noWrap/>
            <w:vAlign w:val="center"/>
          </w:tcPr>
          <w:p w14:paraId="6E217F2D" w14:textId="2272411E" w:rsidR="005D0FC8" w:rsidRPr="00542749" w:rsidRDefault="005D0FC8" w:rsidP="005D0FC8">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0.35</w:t>
            </w:r>
          </w:p>
        </w:tc>
        <w:tc>
          <w:tcPr>
            <w:tcW w:w="1288" w:type="dxa"/>
            <w:tcBorders>
              <w:top w:val="nil"/>
              <w:left w:val="nil"/>
              <w:bottom w:val="nil"/>
              <w:right w:val="nil"/>
            </w:tcBorders>
            <w:shd w:val="clear" w:color="auto" w:fill="auto"/>
            <w:noWrap/>
            <w:vAlign w:val="center"/>
          </w:tcPr>
          <w:p w14:paraId="1618DC9C" w14:textId="1438D3CC" w:rsidR="005D0FC8" w:rsidRPr="00542749" w:rsidRDefault="005D0FC8" w:rsidP="005D0FC8">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0.83</w:t>
            </w:r>
          </w:p>
        </w:tc>
        <w:tc>
          <w:tcPr>
            <w:tcW w:w="680" w:type="dxa"/>
            <w:tcBorders>
              <w:top w:val="nil"/>
              <w:left w:val="nil"/>
              <w:bottom w:val="nil"/>
              <w:right w:val="single" w:sz="4" w:space="0" w:color="auto"/>
            </w:tcBorders>
            <w:shd w:val="clear" w:color="auto" w:fill="auto"/>
            <w:noWrap/>
            <w:vAlign w:val="center"/>
          </w:tcPr>
          <w:p w14:paraId="52D3F881" w14:textId="6DEF69F1" w:rsidR="005D0FC8" w:rsidRPr="00542749" w:rsidRDefault="000F6884" w:rsidP="005D0FC8">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0.004</w:t>
            </w:r>
          </w:p>
        </w:tc>
        <w:tc>
          <w:tcPr>
            <w:tcW w:w="519" w:type="dxa"/>
            <w:tcBorders>
              <w:top w:val="nil"/>
              <w:left w:val="nil"/>
              <w:bottom w:val="nil"/>
              <w:right w:val="nil"/>
            </w:tcBorders>
            <w:shd w:val="clear" w:color="auto" w:fill="auto"/>
            <w:noWrap/>
            <w:vAlign w:val="center"/>
          </w:tcPr>
          <w:p w14:paraId="28F150AB" w14:textId="350931E4" w:rsidR="005D0FC8" w:rsidRPr="00542749" w:rsidRDefault="00A60BE0" w:rsidP="005D0FC8">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0.63</w:t>
            </w:r>
          </w:p>
        </w:tc>
        <w:tc>
          <w:tcPr>
            <w:tcW w:w="1134" w:type="dxa"/>
            <w:tcBorders>
              <w:top w:val="nil"/>
              <w:left w:val="nil"/>
              <w:bottom w:val="nil"/>
              <w:right w:val="nil"/>
            </w:tcBorders>
            <w:shd w:val="clear" w:color="auto" w:fill="auto"/>
            <w:noWrap/>
            <w:vAlign w:val="center"/>
          </w:tcPr>
          <w:p w14:paraId="4CB087DD" w14:textId="1752947F" w:rsidR="005D0FC8" w:rsidRPr="00542749" w:rsidRDefault="00A60BE0" w:rsidP="005D0FC8">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0.39</w:t>
            </w:r>
          </w:p>
        </w:tc>
        <w:tc>
          <w:tcPr>
            <w:tcW w:w="1258" w:type="dxa"/>
            <w:tcBorders>
              <w:top w:val="nil"/>
              <w:left w:val="nil"/>
              <w:bottom w:val="nil"/>
              <w:right w:val="nil"/>
            </w:tcBorders>
            <w:shd w:val="clear" w:color="auto" w:fill="auto"/>
            <w:noWrap/>
            <w:vAlign w:val="center"/>
          </w:tcPr>
          <w:p w14:paraId="2B58F7A9" w14:textId="7862A1B8" w:rsidR="005D0FC8" w:rsidRPr="00542749" w:rsidRDefault="00A60BE0" w:rsidP="005D0FC8">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1.03</w:t>
            </w:r>
          </w:p>
        </w:tc>
        <w:tc>
          <w:tcPr>
            <w:tcW w:w="809" w:type="dxa"/>
            <w:tcBorders>
              <w:top w:val="nil"/>
              <w:left w:val="nil"/>
              <w:bottom w:val="nil"/>
              <w:right w:val="single" w:sz="4" w:space="0" w:color="auto"/>
            </w:tcBorders>
            <w:shd w:val="clear" w:color="auto" w:fill="auto"/>
            <w:noWrap/>
            <w:vAlign w:val="center"/>
          </w:tcPr>
          <w:p w14:paraId="0F21E816" w14:textId="71D05373" w:rsidR="005D0FC8" w:rsidRPr="00542749" w:rsidRDefault="000F6884" w:rsidP="005D0FC8">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0.060</w:t>
            </w:r>
          </w:p>
        </w:tc>
      </w:tr>
      <w:tr w:rsidR="00A60BE0" w:rsidRPr="00542749" w14:paraId="3D16F577"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541F5C33" w14:textId="198BBE32" w:rsidR="00A60BE0" w:rsidRPr="00542749" w:rsidRDefault="00A60BE0" w:rsidP="00A60BE0">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Corticosteroids within 30 days from ICI start (Yes vs. No)</w:t>
            </w:r>
          </w:p>
        </w:tc>
        <w:tc>
          <w:tcPr>
            <w:tcW w:w="531" w:type="dxa"/>
            <w:tcBorders>
              <w:top w:val="nil"/>
              <w:left w:val="nil"/>
              <w:bottom w:val="nil"/>
              <w:right w:val="nil"/>
            </w:tcBorders>
            <w:shd w:val="clear" w:color="auto" w:fill="auto"/>
            <w:noWrap/>
            <w:vAlign w:val="center"/>
          </w:tcPr>
          <w:p w14:paraId="5221045E" w14:textId="66EF844B"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0.87</w:t>
            </w:r>
          </w:p>
        </w:tc>
        <w:tc>
          <w:tcPr>
            <w:tcW w:w="1161" w:type="dxa"/>
            <w:tcBorders>
              <w:top w:val="nil"/>
              <w:left w:val="nil"/>
              <w:bottom w:val="nil"/>
              <w:right w:val="nil"/>
            </w:tcBorders>
            <w:shd w:val="clear" w:color="auto" w:fill="auto"/>
            <w:noWrap/>
            <w:vAlign w:val="center"/>
          </w:tcPr>
          <w:p w14:paraId="57B15CF1" w14:textId="47478C65"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0.53</w:t>
            </w:r>
          </w:p>
        </w:tc>
        <w:tc>
          <w:tcPr>
            <w:tcW w:w="1288" w:type="dxa"/>
            <w:tcBorders>
              <w:top w:val="nil"/>
              <w:left w:val="nil"/>
              <w:bottom w:val="nil"/>
              <w:right w:val="nil"/>
            </w:tcBorders>
            <w:shd w:val="clear" w:color="auto" w:fill="auto"/>
            <w:noWrap/>
            <w:vAlign w:val="center"/>
          </w:tcPr>
          <w:p w14:paraId="4A477EBD" w14:textId="1B89AC87"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1.44</w:t>
            </w:r>
          </w:p>
        </w:tc>
        <w:tc>
          <w:tcPr>
            <w:tcW w:w="680" w:type="dxa"/>
            <w:tcBorders>
              <w:top w:val="nil"/>
              <w:left w:val="nil"/>
              <w:bottom w:val="nil"/>
              <w:right w:val="single" w:sz="4" w:space="0" w:color="auto"/>
            </w:tcBorders>
            <w:shd w:val="clear" w:color="auto" w:fill="auto"/>
            <w:noWrap/>
            <w:vAlign w:val="center"/>
          </w:tcPr>
          <w:p w14:paraId="33D5F5CC" w14:textId="37CF263F"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0.582</w:t>
            </w:r>
          </w:p>
        </w:tc>
        <w:tc>
          <w:tcPr>
            <w:tcW w:w="519" w:type="dxa"/>
            <w:tcBorders>
              <w:top w:val="nil"/>
              <w:left w:val="nil"/>
              <w:bottom w:val="nil"/>
              <w:right w:val="nil"/>
            </w:tcBorders>
            <w:shd w:val="clear" w:color="auto" w:fill="auto"/>
            <w:noWrap/>
            <w:vAlign w:val="center"/>
          </w:tcPr>
          <w:p w14:paraId="3243647C" w14:textId="5C920782"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1.06</w:t>
            </w:r>
          </w:p>
        </w:tc>
        <w:tc>
          <w:tcPr>
            <w:tcW w:w="1134" w:type="dxa"/>
            <w:tcBorders>
              <w:top w:val="nil"/>
              <w:left w:val="nil"/>
              <w:bottom w:val="nil"/>
              <w:right w:val="nil"/>
            </w:tcBorders>
            <w:shd w:val="clear" w:color="auto" w:fill="auto"/>
            <w:noWrap/>
            <w:vAlign w:val="center"/>
          </w:tcPr>
          <w:p w14:paraId="5E72A690" w14:textId="6936E3CF"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0.60</w:t>
            </w:r>
          </w:p>
        </w:tc>
        <w:tc>
          <w:tcPr>
            <w:tcW w:w="1258" w:type="dxa"/>
            <w:tcBorders>
              <w:top w:val="nil"/>
              <w:left w:val="nil"/>
              <w:bottom w:val="nil"/>
              <w:right w:val="nil"/>
            </w:tcBorders>
            <w:shd w:val="clear" w:color="auto" w:fill="auto"/>
            <w:noWrap/>
            <w:vAlign w:val="center"/>
          </w:tcPr>
          <w:p w14:paraId="6F6CC105" w14:textId="79CE7761"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1.89</w:t>
            </w:r>
          </w:p>
        </w:tc>
        <w:tc>
          <w:tcPr>
            <w:tcW w:w="809" w:type="dxa"/>
            <w:tcBorders>
              <w:top w:val="nil"/>
              <w:left w:val="nil"/>
              <w:bottom w:val="nil"/>
              <w:right w:val="single" w:sz="4" w:space="0" w:color="auto"/>
            </w:tcBorders>
            <w:shd w:val="clear" w:color="auto" w:fill="auto"/>
            <w:noWrap/>
            <w:vAlign w:val="center"/>
          </w:tcPr>
          <w:p w14:paraId="3A35CD6F" w14:textId="6042B29F"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0.842</w:t>
            </w:r>
          </w:p>
        </w:tc>
      </w:tr>
      <w:tr w:rsidR="00A60BE0" w:rsidRPr="00542749" w14:paraId="621E0A2F"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34D39D6A" w14:textId="7E04AD16" w:rsidR="00A60BE0" w:rsidRPr="00542749" w:rsidRDefault="00A60BE0" w:rsidP="00A60BE0">
            <w:pPr>
              <w:rPr>
                <w:rFonts w:ascii="Times New Roman" w:eastAsia="Times New Roman" w:hAnsi="Times New Roman" w:cs="Times New Roman"/>
                <w:color w:val="000000"/>
                <w:sz w:val="20"/>
                <w:szCs w:val="20"/>
                <w:lang w:val="en-US" w:eastAsia="it-IT"/>
              </w:rPr>
            </w:pPr>
            <w:r w:rsidRPr="00542749">
              <w:rPr>
                <w:rFonts w:ascii="Times New Roman" w:eastAsia="Times New Roman" w:hAnsi="Times New Roman" w:cs="Times New Roman"/>
                <w:color w:val="000000"/>
                <w:sz w:val="20"/>
                <w:szCs w:val="20"/>
                <w:lang w:val="en-US" w:eastAsia="it-IT"/>
              </w:rPr>
              <w:t>Corticosteroids during ICI (Yes vs. No)</w:t>
            </w:r>
          </w:p>
        </w:tc>
        <w:tc>
          <w:tcPr>
            <w:tcW w:w="531" w:type="dxa"/>
            <w:tcBorders>
              <w:top w:val="nil"/>
              <w:left w:val="nil"/>
              <w:bottom w:val="nil"/>
              <w:right w:val="nil"/>
            </w:tcBorders>
            <w:shd w:val="clear" w:color="auto" w:fill="auto"/>
            <w:noWrap/>
            <w:vAlign w:val="center"/>
          </w:tcPr>
          <w:p w14:paraId="354AB46A" w14:textId="0FE4E53E"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0.58</w:t>
            </w:r>
          </w:p>
        </w:tc>
        <w:tc>
          <w:tcPr>
            <w:tcW w:w="1161" w:type="dxa"/>
            <w:tcBorders>
              <w:top w:val="nil"/>
              <w:left w:val="nil"/>
              <w:bottom w:val="nil"/>
              <w:right w:val="nil"/>
            </w:tcBorders>
            <w:shd w:val="clear" w:color="auto" w:fill="auto"/>
            <w:noWrap/>
            <w:vAlign w:val="center"/>
          </w:tcPr>
          <w:p w14:paraId="0DF8163C" w14:textId="1E058F1A"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0.39</w:t>
            </w:r>
          </w:p>
        </w:tc>
        <w:tc>
          <w:tcPr>
            <w:tcW w:w="1288" w:type="dxa"/>
            <w:tcBorders>
              <w:top w:val="nil"/>
              <w:left w:val="nil"/>
              <w:bottom w:val="nil"/>
              <w:right w:val="nil"/>
            </w:tcBorders>
            <w:shd w:val="clear" w:color="auto" w:fill="auto"/>
            <w:noWrap/>
            <w:vAlign w:val="center"/>
          </w:tcPr>
          <w:p w14:paraId="0179B978" w14:textId="40080A40"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0.85</w:t>
            </w:r>
          </w:p>
        </w:tc>
        <w:tc>
          <w:tcPr>
            <w:tcW w:w="680" w:type="dxa"/>
            <w:tcBorders>
              <w:top w:val="nil"/>
              <w:left w:val="nil"/>
              <w:bottom w:val="nil"/>
              <w:right w:val="single" w:sz="4" w:space="0" w:color="auto"/>
            </w:tcBorders>
            <w:shd w:val="clear" w:color="auto" w:fill="auto"/>
            <w:noWrap/>
            <w:vAlign w:val="center"/>
          </w:tcPr>
          <w:p w14:paraId="35CCD084" w14:textId="22376FE3" w:rsidR="00A60BE0" w:rsidRPr="00542749" w:rsidRDefault="00A60BE0" w:rsidP="00A60BE0">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0.004</w:t>
            </w:r>
          </w:p>
        </w:tc>
        <w:tc>
          <w:tcPr>
            <w:tcW w:w="519" w:type="dxa"/>
            <w:tcBorders>
              <w:top w:val="nil"/>
              <w:left w:val="nil"/>
              <w:bottom w:val="nil"/>
              <w:right w:val="nil"/>
            </w:tcBorders>
            <w:shd w:val="clear" w:color="auto" w:fill="auto"/>
            <w:noWrap/>
            <w:vAlign w:val="center"/>
          </w:tcPr>
          <w:p w14:paraId="0D6819F8" w14:textId="0B923C5D"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0.77</w:t>
            </w:r>
          </w:p>
        </w:tc>
        <w:tc>
          <w:tcPr>
            <w:tcW w:w="1134" w:type="dxa"/>
            <w:tcBorders>
              <w:top w:val="nil"/>
              <w:left w:val="nil"/>
              <w:bottom w:val="nil"/>
              <w:right w:val="nil"/>
            </w:tcBorders>
            <w:shd w:val="clear" w:color="auto" w:fill="auto"/>
            <w:noWrap/>
            <w:vAlign w:val="center"/>
          </w:tcPr>
          <w:p w14:paraId="6DB8FF01" w14:textId="2A29F893"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0.50</w:t>
            </w:r>
          </w:p>
        </w:tc>
        <w:tc>
          <w:tcPr>
            <w:tcW w:w="1258" w:type="dxa"/>
            <w:tcBorders>
              <w:top w:val="nil"/>
              <w:left w:val="nil"/>
              <w:bottom w:val="nil"/>
              <w:right w:val="nil"/>
            </w:tcBorders>
            <w:shd w:val="clear" w:color="auto" w:fill="auto"/>
            <w:noWrap/>
            <w:vAlign w:val="center"/>
          </w:tcPr>
          <w:p w14:paraId="6D1BC73E" w14:textId="4BB7EFD2"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1.19</w:t>
            </w:r>
          </w:p>
        </w:tc>
        <w:tc>
          <w:tcPr>
            <w:tcW w:w="809" w:type="dxa"/>
            <w:tcBorders>
              <w:top w:val="nil"/>
              <w:left w:val="nil"/>
              <w:bottom w:val="nil"/>
              <w:right w:val="single" w:sz="4" w:space="0" w:color="auto"/>
            </w:tcBorders>
            <w:shd w:val="clear" w:color="auto" w:fill="auto"/>
            <w:noWrap/>
            <w:vAlign w:val="center"/>
          </w:tcPr>
          <w:p w14:paraId="5DB7755B" w14:textId="387C6C72" w:rsidR="00A60BE0" w:rsidRPr="00542749" w:rsidRDefault="00A60BE0" w:rsidP="00A60BE0">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0.241</w:t>
            </w:r>
          </w:p>
        </w:tc>
      </w:tr>
      <w:tr w:rsidR="00A60BE0" w:rsidRPr="00542749" w14:paraId="1A90F2F0"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07997B87" w14:textId="77777777" w:rsidR="00A60BE0" w:rsidRPr="00542749" w:rsidRDefault="00A60BE0" w:rsidP="00A60BE0">
            <w:pPr>
              <w:rPr>
                <w:rFonts w:ascii="Times New Roman" w:eastAsia="Times New Roman" w:hAnsi="Times New Roman" w:cs="Times New Roman"/>
                <w:color w:val="000000" w:themeColor="text1"/>
                <w:sz w:val="20"/>
                <w:szCs w:val="20"/>
                <w:lang w:eastAsia="it-IT"/>
              </w:rPr>
            </w:pPr>
            <w:r w:rsidRPr="00542749">
              <w:rPr>
                <w:rFonts w:ascii="Times New Roman" w:eastAsia="Times New Roman" w:hAnsi="Times New Roman" w:cs="Times New Roman"/>
                <w:color w:val="000000" w:themeColor="text1"/>
                <w:sz w:val="20"/>
                <w:szCs w:val="20"/>
                <w:lang w:eastAsia="it-IT"/>
              </w:rPr>
              <w:t>TILs % (continous)</w:t>
            </w:r>
          </w:p>
        </w:tc>
        <w:tc>
          <w:tcPr>
            <w:tcW w:w="531" w:type="dxa"/>
            <w:tcBorders>
              <w:top w:val="nil"/>
              <w:left w:val="nil"/>
              <w:bottom w:val="nil"/>
              <w:right w:val="nil"/>
            </w:tcBorders>
            <w:shd w:val="clear" w:color="auto" w:fill="auto"/>
            <w:noWrap/>
            <w:vAlign w:val="center"/>
            <w:hideMark/>
          </w:tcPr>
          <w:p w14:paraId="26248F49"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1.00</w:t>
            </w:r>
          </w:p>
        </w:tc>
        <w:tc>
          <w:tcPr>
            <w:tcW w:w="1161" w:type="dxa"/>
            <w:tcBorders>
              <w:top w:val="nil"/>
              <w:left w:val="nil"/>
              <w:bottom w:val="nil"/>
              <w:right w:val="nil"/>
            </w:tcBorders>
            <w:shd w:val="clear" w:color="auto" w:fill="auto"/>
            <w:noWrap/>
            <w:vAlign w:val="center"/>
            <w:hideMark/>
          </w:tcPr>
          <w:p w14:paraId="6399B88D"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0.97</w:t>
            </w:r>
          </w:p>
        </w:tc>
        <w:tc>
          <w:tcPr>
            <w:tcW w:w="1288" w:type="dxa"/>
            <w:tcBorders>
              <w:top w:val="nil"/>
              <w:left w:val="nil"/>
              <w:bottom w:val="nil"/>
              <w:right w:val="nil"/>
            </w:tcBorders>
            <w:shd w:val="clear" w:color="auto" w:fill="auto"/>
            <w:noWrap/>
            <w:vAlign w:val="center"/>
            <w:hideMark/>
          </w:tcPr>
          <w:p w14:paraId="1B49F066"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1.03</w:t>
            </w:r>
          </w:p>
        </w:tc>
        <w:tc>
          <w:tcPr>
            <w:tcW w:w="680" w:type="dxa"/>
            <w:tcBorders>
              <w:top w:val="nil"/>
              <w:left w:val="nil"/>
              <w:bottom w:val="nil"/>
              <w:right w:val="single" w:sz="4" w:space="0" w:color="auto"/>
            </w:tcBorders>
            <w:shd w:val="clear" w:color="auto" w:fill="auto"/>
            <w:noWrap/>
            <w:vAlign w:val="center"/>
            <w:hideMark/>
          </w:tcPr>
          <w:p w14:paraId="7E983BE3"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0.730</w:t>
            </w:r>
          </w:p>
        </w:tc>
        <w:tc>
          <w:tcPr>
            <w:tcW w:w="519" w:type="dxa"/>
            <w:tcBorders>
              <w:top w:val="nil"/>
              <w:left w:val="nil"/>
              <w:bottom w:val="nil"/>
              <w:right w:val="nil"/>
            </w:tcBorders>
            <w:shd w:val="clear" w:color="auto" w:fill="auto"/>
            <w:noWrap/>
            <w:vAlign w:val="center"/>
            <w:hideMark/>
          </w:tcPr>
          <w:p w14:paraId="313E7491"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0.99</w:t>
            </w:r>
          </w:p>
        </w:tc>
        <w:tc>
          <w:tcPr>
            <w:tcW w:w="1134" w:type="dxa"/>
            <w:tcBorders>
              <w:top w:val="nil"/>
              <w:left w:val="nil"/>
              <w:bottom w:val="nil"/>
              <w:right w:val="nil"/>
            </w:tcBorders>
            <w:shd w:val="clear" w:color="auto" w:fill="auto"/>
            <w:noWrap/>
            <w:vAlign w:val="center"/>
            <w:hideMark/>
          </w:tcPr>
          <w:p w14:paraId="440AB751"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0.96</w:t>
            </w:r>
          </w:p>
        </w:tc>
        <w:tc>
          <w:tcPr>
            <w:tcW w:w="1258" w:type="dxa"/>
            <w:tcBorders>
              <w:top w:val="nil"/>
              <w:left w:val="nil"/>
              <w:bottom w:val="nil"/>
              <w:right w:val="nil"/>
            </w:tcBorders>
            <w:shd w:val="clear" w:color="auto" w:fill="auto"/>
            <w:noWrap/>
            <w:vAlign w:val="center"/>
            <w:hideMark/>
          </w:tcPr>
          <w:p w14:paraId="6A2773B1"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1.02</w:t>
            </w:r>
          </w:p>
        </w:tc>
        <w:tc>
          <w:tcPr>
            <w:tcW w:w="809" w:type="dxa"/>
            <w:tcBorders>
              <w:top w:val="nil"/>
              <w:left w:val="nil"/>
              <w:bottom w:val="nil"/>
              <w:right w:val="single" w:sz="4" w:space="0" w:color="auto"/>
            </w:tcBorders>
            <w:shd w:val="clear" w:color="auto" w:fill="auto"/>
            <w:noWrap/>
            <w:vAlign w:val="center"/>
            <w:hideMark/>
          </w:tcPr>
          <w:p w14:paraId="068E4245"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0.509</w:t>
            </w:r>
          </w:p>
        </w:tc>
      </w:tr>
      <w:tr w:rsidR="00A60BE0" w:rsidRPr="00542749" w14:paraId="03743BC7"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45C4988F" w14:textId="77777777" w:rsidR="00A60BE0" w:rsidRPr="00542749" w:rsidRDefault="00A60BE0" w:rsidP="00A60BE0">
            <w:pPr>
              <w:rPr>
                <w:rFonts w:ascii="Times New Roman" w:eastAsia="Times New Roman" w:hAnsi="Times New Roman" w:cs="Times New Roman"/>
                <w:color w:val="000000" w:themeColor="text1"/>
                <w:sz w:val="20"/>
                <w:szCs w:val="20"/>
                <w:lang w:eastAsia="it-IT"/>
              </w:rPr>
            </w:pPr>
            <w:r w:rsidRPr="00542749">
              <w:rPr>
                <w:rFonts w:ascii="Times New Roman" w:eastAsia="Times New Roman" w:hAnsi="Times New Roman" w:cs="Times New Roman"/>
                <w:color w:val="000000" w:themeColor="text1"/>
                <w:sz w:val="20"/>
                <w:szCs w:val="20"/>
                <w:lang w:eastAsia="it-IT"/>
              </w:rPr>
              <w:t>PD-L1 % (continuous)</w:t>
            </w:r>
          </w:p>
        </w:tc>
        <w:tc>
          <w:tcPr>
            <w:tcW w:w="531" w:type="dxa"/>
            <w:tcBorders>
              <w:top w:val="nil"/>
              <w:left w:val="nil"/>
              <w:bottom w:val="nil"/>
              <w:right w:val="nil"/>
            </w:tcBorders>
            <w:shd w:val="clear" w:color="auto" w:fill="auto"/>
            <w:noWrap/>
            <w:vAlign w:val="center"/>
            <w:hideMark/>
          </w:tcPr>
          <w:p w14:paraId="221D88B5"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0.99</w:t>
            </w:r>
          </w:p>
        </w:tc>
        <w:tc>
          <w:tcPr>
            <w:tcW w:w="1161" w:type="dxa"/>
            <w:tcBorders>
              <w:top w:val="nil"/>
              <w:left w:val="nil"/>
              <w:bottom w:val="nil"/>
              <w:right w:val="nil"/>
            </w:tcBorders>
            <w:shd w:val="clear" w:color="auto" w:fill="auto"/>
            <w:noWrap/>
            <w:vAlign w:val="center"/>
            <w:hideMark/>
          </w:tcPr>
          <w:p w14:paraId="62124AAA"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288" w:type="dxa"/>
            <w:tcBorders>
              <w:top w:val="nil"/>
              <w:left w:val="nil"/>
              <w:bottom w:val="nil"/>
              <w:right w:val="nil"/>
            </w:tcBorders>
            <w:shd w:val="clear" w:color="auto" w:fill="auto"/>
            <w:noWrap/>
            <w:vAlign w:val="center"/>
            <w:hideMark/>
          </w:tcPr>
          <w:p w14:paraId="72C73D76"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1.00</w:t>
            </w:r>
          </w:p>
        </w:tc>
        <w:tc>
          <w:tcPr>
            <w:tcW w:w="680" w:type="dxa"/>
            <w:tcBorders>
              <w:top w:val="nil"/>
              <w:left w:val="nil"/>
              <w:bottom w:val="nil"/>
              <w:right w:val="single" w:sz="4" w:space="0" w:color="auto"/>
            </w:tcBorders>
            <w:shd w:val="clear" w:color="auto" w:fill="auto"/>
            <w:noWrap/>
            <w:vAlign w:val="center"/>
            <w:hideMark/>
          </w:tcPr>
          <w:p w14:paraId="608DD2AC" w14:textId="77777777" w:rsidR="00A60BE0" w:rsidRPr="00542749" w:rsidRDefault="00A60BE0" w:rsidP="00A60BE0">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0.003</w:t>
            </w:r>
          </w:p>
        </w:tc>
        <w:tc>
          <w:tcPr>
            <w:tcW w:w="519" w:type="dxa"/>
            <w:tcBorders>
              <w:top w:val="nil"/>
              <w:left w:val="nil"/>
              <w:bottom w:val="nil"/>
              <w:right w:val="nil"/>
            </w:tcBorders>
            <w:shd w:val="clear" w:color="auto" w:fill="auto"/>
            <w:noWrap/>
            <w:vAlign w:val="center"/>
            <w:hideMark/>
          </w:tcPr>
          <w:p w14:paraId="3BD80599"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0.99</w:t>
            </w:r>
          </w:p>
        </w:tc>
        <w:tc>
          <w:tcPr>
            <w:tcW w:w="1134" w:type="dxa"/>
            <w:tcBorders>
              <w:top w:val="nil"/>
              <w:left w:val="nil"/>
              <w:bottom w:val="nil"/>
              <w:right w:val="nil"/>
            </w:tcBorders>
            <w:shd w:val="clear" w:color="auto" w:fill="auto"/>
            <w:noWrap/>
            <w:vAlign w:val="center"/>
            <w:hideMark/>
          </w:tcPr>
          <w:p w14:paraId="695B94BF"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258" w:type="dxa"/>
            <w:tcBorders>
              <w:top w:val="nil"/>
              <w:left w:val="nil"/>
              <w:bottom w:val="nil"/>
              <w:right w:val="nil"/>
            </w:tcBorders>
            <w:shd w:val="clear" w:color="auto" w:fill="auto"/>
            <w:noWrap/>
            <w:vAlign w:val="center"/>
            <w:hideMark/>
          </w:tcPr>
          <w:p w14:paraId="79665F3D"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1.00</w:t>
            </w:r>
          </w:p>
        </w:tc>
        <w:tc>
          <w:tcPr>
            <w:tcW w:w="809" w:type="dxa"/>
            <w:tcBorders>
              <w:top w:val="nil"/>
              <w:left w:val="nil"/>
              <w:bottom w:val="nil"/>
              <w:right w:val="single" w:sz="4" w:space="0" w:color="auto"/>
            </w:tcBorders>
            <w:shd w:val="clear" w:color="auto" w:fill="auto"/>
            <w:noWrap/>
            <w:vAlign w:val="center"/>
            <w:hideMark/>
          </w:tcPr>
          <w:p w14:paraId="6760B107" w14:textId="77777777" w:rsidR="00A60BE0" w:rsidRPr="00542749" w:rsidRDefault="00A60BE0" w:rsidP="00A60BE0">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0.009</w:t>
            </w:r>
          </w:p>
        </w:tc>
      </w:tr>
      <w:tr w:rsidR="004C4A8A" w:rsidRPr="00542749" w14:paraId="1CBFBF62"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tcPr>
          <w:p w14:paraId="7DE09795" w14:textId="0388512D" w:rsidR="004C4A8A" w:rsidRPr="00542749" w:rsidRDefault="004C4A8A" w:rsidP="00A60BE0">
            <w:pPr>
              <w:rPr>
                <w:rFonts w:ascii="Times New Roman" w:eastAsia="Times New Roman" w:hAnsi="Times New Roman" w:cs="Times New Roman"/>
                <w:color w:val="000000" w:themeColor="text1"/>
                <w:sz w:val="20"/>
                <w:szCs w:val="20"/>
                <w:lang w:eastAsia="it-IT"/>
              </w:rPr>
            </w:pPr>
            <w:r w:rsidRPr="00542749">
              <w:rPr>
                <w:rFonts w:ascii="Times New Roman" w:hAnsi="Times New Roman" w:cs="Times New Roman"/>
                <w:color w:val="000000" w:themeColor="text1"/>
                <w:kern w:val="36"/>
                <w:sz w:val="20"/>
                <w:szCs w:val="20"/>
              </w:rPr>
              <w:t>PD-L1 %</w:t>
            </w:r>
            <w:r w:rsidRPr="00542749">
              <w:rPr>
                <w:rFonts w:ascii="Times New Roman" w:hAnsi="Times New Roman" w:cs="Times New Roman"/>
                <w:color w:val="000000" w:themeColor="text1"/>
                <w:kern w:val="36"/>
                <w:sz w:val="20"/>
                <w:szCs w:val="20"/>
                <w:lang w:val="it-IT"/>
              </w:rPr>
              <w:t xml:space="preserve"> (</w:t>
            </w:r>
            <w:r w:rsidRPr="00542749">
              <w:rPr>
                <w:rFonts w:ascii="Times New Roman" w:hAnsi="Times New Roman" w:cs="Times New Roman"/>
                <w:color w:val="000000" w:themeColor="text1"/>
                <w:sz w:val="20"/>
                <w:szCs w:val="20"/>
                <w:lang w:val="it-IT"/>
              </w:rPr>
              <w:t>&gt;1</w:t>
            </w:r>
            <w:r w:rsidRPr="00542749">
              <w:rPr>
                <w:rFonts w:ascii="Times New Roman" w:hAnsi="Times New Roman" w:cs="Times New Roman"/>
                <w:color w:val="000000" w:themeColor="text1"/>
                <w:kern w:val="36"/>
                <w:sz w:val="20"/>
                <w:szCs w:val="20"/>
                <w:lang w:val="it-IT"/>
              </w:rPr>
              <w:t xml:space="preserve">0% vs. </w:t>
            </w:r>
            <w:r w:rsidRPr="00542749">
              <w:rPr>
                <w:rStyle w:val="code"/>
                <w:rFonts w:ascii="Times New Roman" w:hAnsi="Times New Roman" w:cs="Times New Roman"/>
                <w:color w:val="000000" w:themeColor="text1"/>
                <w:sz w:val="20"/>
                <w:szCs w:val="20"/>
                <w:bdr w:val="none" w:sz="0" w:space="0" w:color="auto" w:frame="1"/>
              </w:rPr>
              <w:t>≤</w:t>
            </w:r>
            <w:r w:rsidRPr="00542749">
              <w:rPr>
                <w:rFonts w:ascii="Times New Roman" w:hAnsi="Times New Roman" w:cs="Times New Roman"/>
                <w:color w:val="000000" w:themeColor="text1"/>
                <w:kern w:val="36"/>
                <w:sz w:val="20"/>
                <w:szCs w:val="20"/>
                <w:lang w:val="it-IT"/>
              </w:rPr>
              <w:t>10%)</w:t>
            </w:r>
          </w:p>
        </w:tc>
        <w:tc>
          <w:tcPr>
            <w:tcW w:w="531" w:type="dxa"/>
            <w:tcBorders>
              <w:top w:val="nil"/>
              <w:left w:val="nil"/>
              <w:bottom w:val="nil"/>
              <w:right w:val="nil"/>
            </w:tcBorders>
            <w:shd w:val="clear" w:color="auto" w:fill="auto"/>
            <w:noWrap/>
            <w:vAlign w:val="center"/>
          </w:tcPr>
          <w:p w14:paraId="2C24201F" w14:textId="47FABCB8" w:rsidR="004C4A8A" w:rsidRPr="00542749" w:rsidRDefault="00D3569A"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0.32</w:t>
            </w:r>
          </w:p>
        </w:tc>
        <w:tc>
          <w:tcPr>
            <w:tcW w:w="1161" w:type="dxa"/>
            <w:tcBorders>
              <w:top w:val="nil"/>
              <w:left w:val="nil"/>
              <w:bottom w:val="nil"/>
              <w:right w:val="nil"/>
            </w:tcBorders>
            <w:shd w:val="clear" w:color="auto" w:fill="auto"/>
            <w:noWrap/>
            <w:vAlign w:val="center"/>
          </w:tcPr>
          <w:p w14:paraId="00F11BCF" w14:textId="4689EC83" w:rsidR="004C4A8A" w:rsidRPr="00542749" w:rsidRDefault="00D3569A"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0.16</w:t>
            </w:r>
          </w:p>
        </w:tc>
        <w:tc>
          <w:tcPr>
            <w:tcW w:w="1288" w:type="dxa"/>
            <w:tcBorders>
              <w:top w:val="nil"/>
              <w:left w:val="nil"/>
              <w:bottom w:val="nil"/>
              <w:right w:val="nil"/>
            </w:tcBorders>
            <w:shd w:val="clear" w:color="auto" w:fill="auto"/>
            <w:noWrap/>
            <w:vAlign w:val="center"/>
          </w:tcPr>
          <w:p w14:paraId="3CC47FCF" w14:textId="5CC8935D" w:rsidR="004C4A8A" w:rsidRPr="00542749" w:rsidRDefault="00D3569A"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0.66</w:t>
            </w:r>
          </w:p>
        </w:tc>
        <w:tc>
          <w:tcPr>
            <w:tcW w:w="680" w:type="dxa"/>
            <w:tcBorders>
              <w:top w:val="nil"/>
              <w:left w:val="nil"/>
              <w:bottom w:val="nil"/>
              <w:right w:val="single" w:sz="4" w:space="0" w:color="auto"/>
            </w:tcBorders>
            <w:shd w:val="clear" w:color="auto" w:fill="auto"/>
            <w:noWrap/>
            <w:vAlign w:val="center"/>
          </w:tcPr>
          <w:p w14:paraId="5967F719" w14:textId="526031F2" w:rsidR="004C4A8A" w:rsidRPr="00542749" w:rsidRDefault="00D3569A" w:rsidP="00A60BE0">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0.002</w:t>
            </w:r>
          </w:p>
        </w:tc>
        <w:tc>
          <w:tcPr>
            <w:tcW w:w="519" w:type="dxa"/>
            <w:tcBorders>
              <w:top w:val="nil"/>
              <w:left w:val="nil"/>
              <w:bottom w:val="nil"/>
              <w:right w:val="nil"/>
            </w:tcBorders>
            <w:shd w:val="clear" w:color="auto" w:fill="auto"/>
            <w:noWrap/>
            <w:vAlign w:val="center"/>
          </w:tcPr>
          <w:p w14:paraId="047F69A7" w14:textId="39477A62" w:rsidR="004C4A8A" w:rsidRPr="00542749" w:rsidRDefault="00D3569A"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0.36</w:t>
            </w:r>
          </w:p>
        </w:tc>
        <w:tc>
          <w:tcPr>
            <w:tcW w:w="1134" w:type="dxa"/>
            <w:tcBorders>
              <w:top w:val="nil"/>
              <w:left w:val="nil"/>
              <w:bottom w:val="nil"/>
              <w:right w:val="nil"/>
            </w:tcBorders>
            <w:shd w:val="clear" w:color="auto" w:fill="auto"/>
            <w:noWrap/>
            <w:vAlign w:val="center"/>
          </w:tcPr>
          <w:p w14:paraId="2704F0E7" w14:textId="53A1A5F3" w:rsidR="004C4A8A" w:rsidRPr="00542749" w:rsidRDefault="00D3569A"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0.15</w:t>
            </w:r>
          </w:p>
        </w:tc>
        <w:tc>
          <w:tcPr>
            <w:tcW w:w="1258" w:type="dxa"/>
            <w:tcBorders>
              <w:top w:val="nil"/>
              <w:left w:val="nil"/>
              <w:bottom w:val="nil"/>
              <w:right w:val="nil"/>
            </w:tcBorders>
            <w:shd w:val="clear" w:color="auto" w:fill="auto"/>
            <w:noWrap/>
            <w:vAlign w:val="center"/>
          </w:tcPr>
          <w:p w14:paraId="039AA178" w14:textId="7E9D8EE1" w:rsidR="004C4A8A" w:rsidRPr="00542749" w:rsidRDefault="00D3569A"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0.83</w:t>
            </w:r>
          </w:p>
        </w:tc>
        <w:tc>
          <w:tcPr>
            <w:tcW w:w="809" w:type="dxa"/>
            <w:tcBorders>
              <w:top w:val="nil"/>
              <w:left w:val="nil"/>
              <w:bottom w:val="nil"/>
              <w:right w:val="single" w:sz="4" w:space="0" w:color="auto"/>
            </w:tcBorders>
            <w:shd w:val="clear" w:color="auto" w:fill="auto"/>
            <w:noWrap/>
            <w:vAlign w:val="center"/>
          </w:tcPr>
          <w:p w14:paraId="5E311A03" w14:textId="60873BFE" w:rsidR="004C4A8A" w:rsidRPr="00542749" w:rsidRDefault="00D3569A" w:rsidP="00A60BE0">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0.016</w:t>
            </w:r>
          </w:p>
        </w:tc>
      </w:tr>
      <w:tr w:rsidR="00A60BE0" w:rsidRPr="00542749" w14:paraId="4AB954B8"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1D25F9CB" w14:textId="77777777" w:rsidR="00A60BE0" w:rsidRPr="00542749" w:rsidRDefault="00A60BE0" w:rsidP="00A60BE0">
            <w:pPr>
              <w:rPr>
                <w:rFonts w:ascii="Times New Roman" w:eastAsia="Times New Roman" w:hAnsi="Times New Roman" w:cs="Times New Roman"/>
                <w:color w:val="000000" w:themeColor="text1"/>
                <w:sz w:val="20"/>
                <w:szCs w:val="20"/>
                <w:lang w:eastAsia="it-IT"/>
              </w:rPr>
            </w:pPr>
            <w:r w:rsidRPr="00542749">
              <w:rPr>
                <w:rFonts w:ascii="Times New Roman" w:eastAsia="Times New Roman" w:hAnsi="Times New Roman" w:cs="Times New Roman"/>
                <w:color w:val="000000" w:themeColor="text1"/>
                <w:sz w:val="20"/>
                <w:szCs w:val="20"/>
                <w:lang w:eastAsia="it-IT"/>
              </w:rPr>
              <w:t>PD1 mRNA (continuous)</w:t>
            </w:r>
          </w:p>
        </w:tc>
        <w:tc>
          <w:tcPr>
            <w:tcW w:w="531" w:type="dxa"/>
            <w:tcBorders>
              <w:top w:val="nil"/>
              <w:left w:val="nil"/>
              <w:bottom w:val="nil"/>
              <w:right w:val="nil"/>
            </w:tcBorders>
            <w:shd w:val="clear" w:color="auto" w:fill="auto"/>
            <w:noWrap/>
            <w:vAlign w:val="center"/>
            <w:hideMark/>
          </w:tcPr>
          <w:p w14:paraId="54EC9293"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0.97</w:t>
            </w:r>
          </w:p>
        </w:tc>
        <w:tc>
          <w:tcPr>
            <w:tcW w:w="1161" w:type="dxa"/>
            <w:tcBorders>
              <w:top w:val="nil"/>
              <w:left w:val="nil"/>
              <w:bottom w:val="nil"/>
              <w:right w:val="nil"/>
            </w:tcBorders>
            <w:shd w:val="clear" w:color="auto" w:fill="auto"/>
            <w:noWrap/>
            <w:vAlign w:val="center"/>
            <w:hideMark/>
          </w:tcPr>
          <w:p w14:paraId="12BFE33A"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0.82</w:t>
            </w:r>
          </w:p>
        </w:tc>
        <w:tc>
          <w:tcPr>
            <w:tcW w:w="1288" w:type="dxa"/>
            <w:tcBorders>
              <w:top w:val="nil"/>
              <w:left w:val="nil"/>
              <w:bottom w:val="nil"/>
              <w:right w:val="nil"/>
            </w:tcBorders>
            <w:shd w:val="clear" w:color="auto" w:fill="auto"/>
            <w:noWrap/>
            <w:vAlign w:val="center"/>
            <w:hideMark/>
          </w:tcPr>
          <w:p w14:paraId="667CE908"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1.14</w:t>
            </w:r>
          </w:p>
        </w:tc>
        <w:tc>
          <w:tcPr>
            <w:tcW w:w="680" w:type="dxa"/>
            <w:tcBorders>
              <w:top w:val="nil"/>
              <w:left w:val="nil"/>
              <w:bottom w:val="nil"/>
              <w:right w:val="single" w:sz="4" w:space="0" w:color="auto"/>
            </w:tcBorders>
            <w:shd w:val="clear" w:color="auto" w:fill="auto"/>
            <w:noWrap/>
            <w:vAlign w:val="center"/>
            <w:hideMark/>
          </w:tcPr>
          <w:p w14:paraId="6104C440"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0.682</w:t>
            </w:r>
          </w:p>
        </w:tc>
        <w:tc>
          <w:tcPr>
            <w:tcW w:w="519" w:type="dxa"/>
            <w:tcBorders>
              <w:top w:val="nil"/>
              <w:left w:val="nil"/>
              <w:bottom w:val="nil"/>
              <w:right w:val="nil"/>
            </w:tcBorders>
            <w:shd w:val="clear" w:color="auto" w:fill="auto"/>
            <w:noWrap/>
            <w:vAlign w:val="center"/>
            <w:hideMark/>
          </w:tcPr>
          <w:p w14:paraId="0EE9BE1E"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0.89</w:t>
            </w:r>
          </w:p>
        </w:tc>
        <w:tc>
          <w:tcPr>
            <w:tcW w:w="1134" w:type="dxa"/>
            <w:tcBorders>
              <w:top w:val="nil"/>
              <w:left w:val="nil"/>
              <w:bottom w:val="nil"/>
              <w:right w:val="nil"/>
            </w:tcBorders>
            <w:shd w:val="clear" w:color="auto" w:fill="auto"/>
            <w:noWrap/>
            <w:vAlign w:val="center"/>
            <w:hideMark/>
          </w:tcPr>
          <w:p w14:paraId="382F49D5"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0.74</w:t>
            </w:r>
          </w:p>
        </w:tc>
        <w:tc>
          <w:tcPr>
            <w:tcW w:w="1258" w:type="dxa"/>
            <w:tcBorders>
              <w:top w:val="nil"/>
              <w:left w:val="nil"/>
              <w:bottom w:val="nil"/>
              <w:right w:val="nil"/>
            </w:tcBorders>
            <w:shd w:val="clear" w:color="auto" w:fill="auto"/>
            <w:noWrap/>
            <w:vAlign w:val="center"/>
            <w:hideMark/>
          </w:tcPr>
          <w:p w14:paraId="09304E6B"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1.07</w:t>
            </w:r>
          </w:p>
        </w:tc>
        <w:tc>
          <w:tcPr>
            <w:tcW w:w="809" w:type="dxa"/>
            <w:tcBorders>
              <w:top w:val="nil"/>
              <w:left w:val="nil"/>
              <w:bottom w:val="nil"/>
              <w:right w:val="single" w:sz="4" w:space="0" w:color="auto"/>
            </w:tcBorders>
            <w:shd w:val="clear" w:color="auto" w:fill="auto"/>
            <w:noWrap/>
            <w:vAlign w:val="center"/>
            <w:hideMark/>
          </w:tcPr>
          <w:p w14:paraId="1D3D10C7"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0.208</w:t>
            </w:r>
          </w:p>
        </w:tc>
      </w:tr>
      <w:tr w:rsidR="00A60BE0" w:rsidRPr="00542749" w14:paraId="724FEE52" w14:textId="77777777" w:rsidTr="00A60BE0">
        <w:trPr>
          <w:trHeight w:val="320"/>
        </w:trPr>
        <w:tc>
          <w:tcPr>
            <w:tcW w:w="3440" w:type="dxa"/>
            <w:tcBorders>
              <w:top w:val="nil"/>
              <w:left w:val="single" w:sz="4" w:space="0" w:color="auto"/>
              <w:bottom w:val="nil"/>
              <w:right w:val="single" w:sz="4" w:space="0" w:color="auto"/>
            </w:tcBorders>
            <w:shd w:val="clear" w:color="auto" w:fill="auto"/>
            <w:noWrap/>
            <w:vAlign w:val="center"/>
            <w:hideMark/>
          </w:tcPr>
          <w:p w14:paraId="42F3FA0D" w14:textId="74B52319" w:rsidR="00A60BE0" w:rsidRPr="00542749" w:rsidRDefault="00A60BE0" w:rsidP="00A60BE0">
            <w:pPr>
              <w:rPr>
                <w:rFonts w:ascii="Times New Roman" w:eastAsia="Times New Roman" w:hAnsi="Times New Roman" w:cs="Times New Roman"/>
                <w:color w:val="000000" w:themeColor="text1"/>
                <w:sz w:val="20"/>
                <w:szCs w:val="20"/>
                <w:lang w:eastAsia="it-IT"/>
              </w:rPr>
            </w:pPr>
            <w:r w:rsidRPr="00542749">
              <w:rPr>
                <w:rFonts w:ascii="Times New Roman" w:eastAsia="Times New Roman" w:hAnsi="Times New Roman" w:cs="Times New Roman"/>
                <w:color w:val="000000" w:themeColor="text1"/>
                <w:sz w:val="20"/>
                <w:szCs w:val="20"/>
                <w:lang w:eastAsia="it-IT"/>
              </w:rPr>
              <w:t>TTBR (continuous)</w:t>
            </w:r>
          </w:p>
        </w:tc>
        <w:tc>
          <w:tcPr>
            <w:tcW w:w="531" w:type="dxa"/>
            <w:tcBorders>
              <w:top w:val="nil"/>
              <w:left w:val="nil"/>
              <w:bottom w:val="nil"/>
              <w:right w:val="nil"/>
            </w:tcBorders>
            <w:shd w:val="clear" w:color="auto" w:fill="auto"/>
            <w:noWrap/>
            <w:vAlign w:val="center"/>
            <w:hideMark/>
          </w:tcPr>
          <w:p w14:paraId="24CC8B15"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w:t>
            </w:r>
          </w:p>
        </w:tc>
        <w:tc>
          <w:tcPr>
            <w:tcW w:w="1161" w:type="dxa"/>
            <w:tcBorders>
              <w:top w:val="nil"/>
              <w:left w:val="nil"/>
              <w:bottom w:val="nil"/>
              <w:right w:val="nil"/>
            </w:tcBorders>
            <w:shd w:val="clear" w:color="auto" w:fill="auto"/>
            <w:noWrap/>
            <w:vAlign w:val="center"/>
            <w:hideMark/>
          </w:tcPr>
          <w:p w14:paraId="56006D9C"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w:t>
            </w:r>
          </w:p>
        </w:tc>
        <w:tc>
          <w:tcPr>
            <w:tcW w:w="1288" w:type="dxa"/>
            <w:tcBorders>
              <w:top w:val="nil"/>
              <w:left w:val="nil"/>
              <w:bottom w:val="nil"/>
              <w:right w:val="nil"/>
            </w:tcBorders>
            <w:shd w:val="clear" w:color="auto" w:fill="auto"/>
            <w:noWrap/>
            <w:vAlign w:val="center"/>
            <w:hideMark/>
          </w:tcPr>
          <w:p w14:paraId="6979D05D"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w:t>
            </w:r>
          </w:p>
        </w:tc>
        <w:tc>
          <w:tcPr>
            <w:tcW w:w="680" w:type="dxa"/>
            <w:tcBorders>
              <w:top w:val="nil"/>
              <w:left w:val="nil"/>
              <w:bottom w:val="nil"/>
              <w:right w:val="single" w:sz="4" w:space="0" w:color="auto"/>
            </w:tcBorders>
            <w:shd w:val="clear" w:color="auto" w:fill="auto"/>
            <w:noWrap/>
            <w:vAlign w:val="center"/>
            <w:hideMark/>
          </w:tcPr>
          <w:p w14:paraId="013B5FB3" w14:textId="77777777" w:rsidR="00A60BE0" w:rsidRPr="00542749" w:rsidRDefault="00A60BE0" w:rsidP="00A60BE0">
            <w:pPr>
              <w:jc w:val="center"/>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w:t>
            </w:r>
          </w:p>
        </w:tc>
        <w:tc>
          <w:tcPr>
            <w:tcW w:w="519" w:type="dxa"/>
            <w:tcBorders>
              <w:top w:val="nil"/>
              <w:left w:val="nil"/>
              <w:bottom w:val="nil"/>
              <w:right w:val="nil"/>
            </w:tcBorders>
            <w:shd w:val="clear" w:color="auto" w:fill="auto"/>
            <w:noWrap/>
            <w:vAlign w:val="center"/>
            <w:hideMark/>
          </w:tcPr>
          <w:p w14:paraId="5DD2F652"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0.54</w:t>
            </w:r>
          </w:p>
        </w:tc>
        <w:tc>
          <w:tcPr>
            <w:tcW w:w="1134" w:type="dxa"/>
            <w:tcBorders>
              <w:top w:val="nil"/>
              <w:left w:val="nil"/>
              <w:bottom w:val="nil"/>
              <w:right w:val="nil"/>
            </w:tcBorders>
            <w:shd w:val="clear" w:color="auto" w:fill="auto"/>
            <w:noWrap/>
            <w:vAlign w:val="center"/>
            <w:hideMark/>
          </w:tcPr>
          <w:p w14:paraId="01408CA6"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0.39</w:t>
            </w:r>
          </w:p>
        </w:tc>
        <w:tc>
          <w:tcPr>
            <w:tcW w:w="1258" w:type="dxa"/>
            <w:tcBorders>
              <w:top w:val="nil"/>
              <w:left w:val="nil"/>
              <w:bottom w:val="nil"/>
              <w:right w:val="nil"/>
            </w:tcBorders>
            <w:shd w:val="clear" w:color="auto" w:fill="auto"/>
            <w:noWrap/>
            <w:vAlign w:val="center"/>
            <w:hideMark/>
          </w:tcPr>
          <w:p w14:paraId="2460679E"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0.76</w:t>
            </w:r>
          </w:p>
        </w:tc>
        <w:tc>
          <w:tcPr>
            <w:tcW w:w="809" w:type="dxa"/>
            <w:tcBorders>
              <w:top w:val="nil"/>
              <w:left w:val="nil"/>
              <w:bottom w:val="nil"/>
              <w:right w:val="single" w:sz="4" w:space="0" w:color="auto"/>
            </w:tcBorders>
            <w:shd w:val="clear" w:color="auto" w:fill="auto"/>
            <w:noWrap/>
            <w:vAlign w:val="center"/>
            <w:hideMark/>
          </w:tcPr>
          <w:p w14:paraId="2173CB6E" w14:textId="77777777" w:rsidR="00A60BE0" w:rsidRPr="00542749" w:rsidRDefault="00A60BE0" w:rsidP="00A60BE0">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&lt;0.001</w:t>
            </w:r>
          </w:p>
        </w:tc>
      </w:tr>
      <w:tr w:rsidR="00A60BE0" w:rsidRPr="00542749" w14:paraId="760E66E2" w14:textId="77777777" w:rsidTr="00A60BE0">
        <w:trPr>
          <w:trHeight w:val="32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7F76C08D" w14:textId="77777777" w:rsidR="00A60BE0" w:rsidRPr="00542749" w:rsidRDefault="00A60BE0" w:rsidP="00A60BE0">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ORR (CR+PR vs. SD+PD)</w:t>
            </w:r>
          </w:p>
        </w:tc>
        <w:tc>
          <w:tcPr>
            <w:tcW w:w="531" w:type="dxa"/>
            <w:tcBorders>
              <w:top w:val="nil"/>
              <w:left w:val="nil"/>
              <w:bottom w:val="single" w:sz="4" w:space="0" w:color="auto"/>
              <w:right w:val="nil"/>
            </w:tcBorders>
            <w:shd w:val="clear" w:color="auto" w:fill="auto"/>
            <w:noWrap/>
            <w:vAlign w:val="center"/>
            <w:hideMark/>
          </w:tcPr>
          <w:p w14:paraId="09C5D417"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w:t>
            </w:r>
          </w:p>
        </w:tc>
        <w:tc>
          <w:tcPr>
            <w:tcW w:w="1161" w:type="dxa"/>
            <w:tcBorders>
              <w:top w:val="nil"/>
              <w:left w:val="nil"/>
              <w:bottom w:val="single" w:sz="4" w:space="0" w:color="auto"/>
              <w:right w:val="nil"/>
            </w:tcBorders>
            <w:shd w:val="clear" w:color="auto" w:fill="auto"/>
            <w:noWrap/>
            <w:vAlign w:val="center"/>
            <w:hideMark/>
          </w:tcPr>
          <w:p w14:paraId="05663B5E"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w:t>
            </w:r>
          </w:p>
        </w:tc>
        <w:tc>
          <w:tcPr>
            <w:tcW w:w="1288" w:type="dxa"/>
            <w:tcBorders>
              <w:top w:val="nil"/>
              <w:left w:val="nil"/>
              <w:bottom w:val="single" w:sz="4" w:space="0" w:color="auto"/>
              <w:right w:val="nil"/>
            </w:tcBorders>
            <w:shd w:val="clear" w:color="auto" w:fill="auto"/>
            <w:noWrap/>
            <w:vAlign w:val="center"/>
            <w:hideMark/>
          </w:tcPr>
          <w:p w14:paraId="3E0043CA"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w:t>
            </w:r>
          </w:p>
        </w:tc>
        <w:tc>
          <w:tcPr>
            <w:tcW w:w="680" w:type="dxa"/>
            <w:tcBorders>
              <w:top w:val="nil"/>
              <w:left w:val="nil"/>
              <w:bottom w:val="single" w:sz="4" w:space="0" w:color="auto"/>
              <w:right w:val="single" w:sz="4" w:space="0" w:color="auto"/>
            </w:tcBorders>
            <w:shd w:val="clear" w:color="auto" w:fill="auto"/>
            <w:noWrap/>
            <w:vAlign w:val="center"/>
            <w:hideMark/>
          </w:tcPr>
          <w:p w14:paraId="2B357087" w14:textId="77777777" w:rsidR="00A60BE0" w:rsidRPr="00542749" w:rsidRDefault="00A60BE0" w:rsidP="00A60BE0">
            <w:pPr>
              <w:jc w:val="center"/>
              <w:rPr>
                <w:rFonts w:ascii="Times New Roman" w:eastAsia="Times New Roman" w:hAnsi="Times New Roman" w:cs="Times New Roman"/>
                <w:i/>
                <w:iCs/>
                <w:color w:val="000000"/>
                <w:sz w:val="20"/>
                <w:szCs w:val="20"/>
                <w:lang w:eastAsia="it-IT"/>
              </w:rPr>
            </w:pPr>
            <w:r w:rsidRPr="00542749">
              <w:rPr>
                <w:rFonts w:ascii="Times New Roman" w:eastAsia="Times New Roman" w:hAnsi="Times New Roman" w:cs="Times New Roman"/>
                <w:i/>
                <w:iCs/>
                <w:color w:val="000000"/>
                <w:sz w:val="20"/>
                <w:szCs w:val="20"/>
                <w:lang w:eastAsia="it-IT"/>
              </w:rPr>
              <w:t>-</w:t>
            </w:r>
          </w:p>
        </w:tc>
        <w:tc>
          <w:tcPr>
            <w:tcW w:w="519" w:type="dxa"/>
            <w:tcBorders>
              <w:top w:val="nil"/>
              <w:left w:val="nil"/>
              <w:bottom w:val="single" w:sz="4" w:space="0" w:color="auto"/>
              <w:right w:val="nil"/>
            </w:tcBorders>
            <w:shd w:val="clear" w:color="auto" w:fill="auto"/>
            <w:noWrap/>
            <w:vAlign w:val="center"/>
            <w:hideMark/>
          </w:tcPr>
          <w:p w14:paraId="3C2AC435"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0.12</w:t>
            </w:r>
          </w:p>
        </w:tc>
        <w:tc>
          <w:tcPr>
            <w:tcW w:w="1134" w:type="dxa"/>
            <w:tcBorders>
              <w:top w:val="nil"/>
              <w:left w:val="nil"/>
              <w:bottom w:val="single" w:sz="4" w:space="0" w:color="auto"/>
              <w:right w:val="nil"/>
            </w:tcBorders>
            <w:shd w:val="clear" w:color="auto" w:fill="auto"/>
            <w:noWrap/>
            <w:vAlign w:val="center"/>
            <w:hideMark/>
          </w:tcPr>
          <w:p w14:paraId="4FB604F0"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0.05</w:t>
            </w:r>
          </w:p>
        </w:tc>
        <w:tc>
          <w:tcPr>
            <w:tcW w:w="1258" w:type="dxa"/>
            <w:tcBorders>
              <w:top w:val="nil"/>
              <w:left w:val="nil"/>
              <w:bottom w:val="single" w:sz="4" w:space="0" w:color="auto"/>
              <w:right w:val="nil"/>
            </w:tcBorders>
            <w:shd w:val="clear" w:color="auto" w:fill="auto"/>
            <w:noWrap/>
            <w:vAlign w:val="center"/>
            <w:hideMark/>
          </w:tcPr>
          <w:p w14:paraId="14E8434E" w14:textId="77777777" w:rsidR="00A60BE0" w:rsidRPr="00542749" w:rsidRDefault="00A60BE0" w:rsidP="00A60BE0">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0.30</w:t>
            </w:r>
          </w:p>
        </w:tc>
        <w:tc>
          <w:tcPr>
            <w:tcW w:w="809" w:type="dxa"/>
            <w:tcBorders>
              <w:top w:val="nil"/>
              <w:left w:val="nil"/>
              <w:bottom w:val="single" w:sz="4" w:space="0" w:color="auto"/>
              <w:right w:val="single" w:sz="4" w:space="0" w:color="auto"/>
            </w:tcBorders>
            <w:shd w:val="clear" w:color="auto" w:fill="auto"/>
            <w:noWrap/>
            <w:vAlign w:val="center"/>
            <w:hideMark/>
          </w:tcPr>
          <w:p w14:paraId="2D6AD231" w14:textId="77777777" w:rsidR="00A60BE0" w:rsidRPr="00542749" w:rsidRDefault="00A60BE0" w:rsidP="00A60BE0">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&lt;0.001</w:t>
            </w:r>
          </w:p>
        </w:tc>
      </w:tr>
    </w:tbl>
    <w:p w14:paraId="165F7C29" w14:textId="031DC15C" w:rsidR="005E7C5B" w:rsidRPr="00542749" w:rsidRDefault="00B2649C" w:rsidP="00B8200D">
      <w:pPr>
        <w:spacing w:line="360" w:lineRule="auto"/>
        <w:jc w:val="both"/>
        <w:rPr>
          <w:rFonts w:ascii="Times New Roman" w:hAnsi="Times New Roman" w:cs="Times New Roman"/>
          <w:sz w:val="20"/>
          <w:szCs w:val="20"/>
          <w:lang w:val="en-US"/>
        </w:rPr>
      </w:pPr>
      <w:r w:rsidRPr="00542749">
        <w:rPr>
          <w:rFonts w:ascii="Times New Roman" w:hAnsi="Times New Roman" w:cs="Times New Roman"/>
          <w:b/>
          <w:bCs/>
          <w:sz w:val="20"/>
          <w:szCs w:val="20"/>
          <w:lang w:val="en-US"/>
        </w:rPr>
        <w:t xml:space="preserve">Legend. </w:t>
      </w:r>
      <w:r w:rsidRPr="00542749">
        <w:rPr>
          <w:rFonts w:ascii="Times New Roman" w:hAnsi="Times New Roman" w:cs="Times New Roman"/>
          <w:sz w:val="20"/>
          <w:szCs w:val="20"/>
          <w:lang w:val="en-US"/>
        </w:rPr>
        <w:t>HR: hazard ratio; inferior; Sup: superior; PFS: progression-free survival; OS: overall survival; ICI: immune-checkpoint inhibitor; TILs: tumor-infiltrating lymphocytes; TTBR: time-to-best response; ORR: overall response rates; CR: complete response; PR: partial response; SD: stable disease; PD: progressive disease; NSCLC:</w:t>
      </w:r>
      <w:r w:rsidR="00302860" w:rsidRPr="00542749">
        <w:rPr>
          <w:rFonts w:ascii="Times New Roman" w:hAnsi="Times New Roman" w:cs="Times New Roman"/>
          <w:sz w:val="20"/>
          <w:szCs w:val="20"/>
          <w:lang w:val="en-US"/>
        </w:rPr>
        <w:t xml:space="preserve"> </w:t>
      </w:r>
      <w:r w:rsidRPr="00542749">
        <w:rPr>
          <w:rFonts w:ascii="Times New Roman" w:hAnsi="Times New Roman" w:cs="Times New Roman"/>
          <w:sz w:val="20"/>
          <w:szCs w:val="20"/>
          <w:lang w:val="en-US"/>
        </w:rPr>
        <w:lastRenderedPageBreak/>
        <w:t>non-small cell lung cancer; H&amp;N: head and neck tumors; GI: gastrointestinal; GU: genitourinary</w:t>
      </w:r>
      <w:r w:rsidR="00A60BE0" w:rsidRPr="00542749">
        <w:rPr>
          <w:rFonts w:ascii="Times New Roman" w:hAnsi="Times New Roman" w:cs="Times New Roman"/>
          <w:sz w:val="20"/>
          <w:szCs w:val="20"/>
          <w:lang w:val="en-US"/>
        </w:rPr>
        <w:t>; sATB: systemic antibiotics; RT: radiotherapy</w:t>
      </w:r>
      <w:r w:rsidRPr="00542749">
        <w:rPr>
          <w:rFonts w:ascii="Times New Roman" w:hAnsi="Times New Roman" w:cs="Times New Roman"/>
          <w:sz w:val="20"/>
          <w:szCs w:val="20"/>
          <w:lang w:val="en-US"/>
        </w:rPr>
        <w:t>.</w:t>
      </w:r>
    </w:p>
    <w:p w14:paraId="278FA716" w14:textId="77777777" w:rsidR="004C4A8A" w:rsidRPr="00542749" w:rsidRDefault="004C4A8A" w:rsidP="00B8200D">
      <w:pPr>
        <w:spacing w:line="360" w:lineRule="auto"/>
        <w:jc w:val="both"/>
        <w:rPr>
          <w:rFonts w:ascii="Times New Roman" w:hAnsi="Times New Roman" w:cs="Times New Roman"/>
          <w:sz w:val="20"/>
          <w:szCs w:val="20"/>
          <w:lang w:val="en-US"/>
        </w:rPr>
      </w:pPr>
    </w:p>
    <w:p w14:paraId="12781B99" w14:textId="526E3018" w:rsidR="001B0607" w:rsidRPr="00542749" w:rsidRDefault="001B0607" w:rsidP="00F354A3">
      <w:pPr>
        <w:pStyle w:val="Heading2"/>
        <w:jc w:val="both"/>
        <w:rPr>
          <w:rFonts w:ascii="Times New Roman" w:hAnsi="Times New Roman" w:cs="Times New Roman"/>
          <w:b/>
          <w:bCs/>
          <w:color w:val="000000" w:themeColor="text1"/>
          <w:sz w:val="24"/>
          <w:szCs w:val="24"/>
          <w:lang w:val="en-US"/>
        </w:rPr>
      </w:pPr>
      <w:bookmarkStart w:id="10" w:name="_Toc121843851"/>
      <w:r w:rsidRPr="00542749">
        <w:rPr>
          <w:rFonts w:ascii="Times New Roman" w:hAnsi="Times New Roman" w:cs="Times New Roman"/>
          <w:b/>
          <w:bCs/>
          <w:color w:val="000000" w:themeColor="text1"/>
          <w:sz w:val="24"/>
          <w:szCs w:val="24"/>
          <w:lang w:val="en-US"/>
        </w:rPr>
        <w:t xml:space="preserve">Supplementary table </w:t>
      </w:r>
      <w:r w:rsidR="006D02F4" w:rsidRPr="00542749">
        <w:rPr>
          <w:rFonts w:ascii="Times New Roman" w:hAnsi="Times New Roman" w:cs="Times New Roman"/>
          <w:b/>
          <w:bCs/>
          <w:color w:val="000000" w:themeColor="text1"/>
          <w:sz w:val="24"/>
          <w:szCs w:val="24"/>
          <w:lang w:val="en-US"/>
        </w:rPr>
        <w:t>2</w:t>
      </w:r>
      <w:r w:rsidRPr="00542749">
        <w:rPr>
          <w:rFonts w:ascii="Times New Roman" w:hAnsi="Times New Roman" w:cs="Times New Roman"/>
          <w:b/>
          <w:bCs/>
          <w:color w:val="000000" w:themeColor="text1"/>
          <w:sz w:val="24"/>
          <w:szCs w:val="24"/>
          <w:lang w:val="en-US"/>
        </w:rPr>
        <w:t xml:space="preserve">. Univariate analyses of overall response rates and </w:t>
      </w:r>
      <w:r w:rsidR="00BD1F45" w:rsidRPr="00542749">
        <w:rPr>
          <w:rFonts w:ascii="Times New Roman" w:hAnsi="Times New Roman" w:cs="Times New Roman"/>
          <w:b/>
          <w:bCs/>
          <w:color w:val="000000" w:themeColor="text1"/>
          <w:sz w:val="24"/>
          <w:szCs w:val="24"/>
          <w:lang w:val="en-US"/>
        </w:rPr>
        <w:t>durable clinical benefit</w:t>
      </w:r>
      <w:bookmarkEnd w:id="10"/>
    </w:p>
    <w:p w14:paraId="0F6AF6BC" w14:textId="77777777" w:rsidR="00F354A3" w:rsidRPr="00542749" w:rsidRDefault="00F354A3" w:rsidP="00F354A3">
      <w:pPr>
        <w:rPr>
          <w:lang w:val="en-US"/>
        </w:rPr>
      </w:pPr>
    </w:p>
    <w:tbl>
      <w:tblPr>
        <w:tblW w:w="10632" w:type="dxa"/>
        <w:tblInd w:w="-714" w:type="dxa"/>
        <w:tblCellMar>
          <w:left w:w="70" w:type="dxa"/>
          <w:right w:w="70" w:type="dxa"/>
        </w:tblCellMar>
        <w:tblLook w:val="04A0" w:firstRow="1" w:lastRow="0" w:firstColumn="1" w:lastColumn="0" w:noHBand="0" w:noVBand="1"/>
      </w:tblPr>
      <w:tblGrid>
        <w:gridCol w:w="3261"/>
        <w:gridCol w:w="840"/>
        <w:gridCol w:w="974"/>
        <w:gridCol w:w="1021"/>
        <w:gridCol w:w="850"/>
        <w:gridCol w:w="851"/>
        <w:gridCol w:w="992"/>
        <w:gridCol w:w="992"/>
        <w:gridCol w:w="851"/>
      </w:tblGrid>
      <w:tr w:rsidR="00C72B92" w:rsidRPr="00542749" w14:paraId="458513EF" w14:textId="77777777" w:rsidTr="00622BAC">
        <w:trPr>
          <w:trHeight w:val="280"/>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BE8EB61"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Variables</w:t>
            </w:r>
          </w:p>
        </w:tc>
        <w:tc>
          <w:tcPr>
            <w:tcW w:w="7371"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219AAA54"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Univariate Analyses</w:t>
            </w:r>
          </w:p>
        </w:tc>
      </w:tr>
      <w:tr w:rsidR="00C72B92" w:rsidRPr="00542749" w14:paraId="771F782D" w14:textId="77777777" w:rsidTr="00622BAC">
        <w:trPr>
          <w:trHeight w:val="280"/>
        </w:trPr>
        <w:tc>
          <w:tcPr>
            <w:tcW w:w="3261" w:type="dxa"/>
            <w:vMerge/>
            <w:tcBorders>
              <w:top w:val="single" w:sz="4" w:space="0" w:color="auto"/>
              <w:left w:val="single" w:sz="4" w:space="0" w:color="auto"/>
              <w:bottom w:val="single" w:sz="4" w:space="0" w:color="000000"/>
              <w:right w:val="single" w:sz="4" w:space="0" w:color="auto"/>
            </w:tcBorders>
            <w:vAlign w:val="center"/>
            <w:hideMark/>
          </w:tcPr>
          <w:p w14:paraId="1D5A933D" w14:textId="77777777" w:rsidR="00C72B92" w:rsidRPr="00542749" w:rsidRDefault="00C72B92" w:rsidP="00763E21">
            <w:pPr>
              <w:rPr>
                <w:rFonts w:ascii="Times New Roman" w:eastAsia="Times New Roman" w:hAnsi="Times New Roman" w:cs="Times New Roman"/>
                <w:b/>
                <w:bCs/>
                <w:color w:val="000000"/>
                <w:sz w:val="20"/>
                <w:szCs w:val="20"/>
                <w:lang w:eastAsia="it-IT"/>
              </w:rPr>
            </w:pPr>
          </w:p>
        </w:tc>
        <w:tc>
          <w:tcPr>
            <w:tcW w:w="3685"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CF55B7"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ORR</w:t>
            </w:r>
          </w:p>
        </w:tc>
        <w:tc>
          <w:tcPr>
            <w:tcW w:w="3686" w:type="dxa"/>
            <w:gridSpan w:val="4"/>
            <w:tcBorders>
              <w:top w:val="single" w:sz="4" w:space="0" w:color="auto"/>
              <w:left w:val="nil"/>
              <w:bottom w:val="single" w:sz="4" w:space="0" w:color="auto"/>
              <w:right w:val="single" w:sz="4" w:space="0" w:color="auto"/>
            </w:tcBorders>
            <w:shd w:val="clear" w:color="auto" w:fill="auto"/>
            <w:noWrap/>
            <w:vAlign w:val="center"/>
            <w:hideMark/>
          </w:tcPr>
          <w:p w14:paraId="4B181D0E" w14:textId="3A6CB2BC" w:rsidR="00C72B92" w:rsidRPr="00542749" w:rsidRDefault="00C05EA2" w:rsidP="00763E21">
            <w:pPr>
              <w:jc w:val="center"/>
              <w:rPr>
                <w:rFonts w:ascii="Times New Roman" w:eastAsia="Times New Roman" w:hAnsi="Times New Roman" w:cs="Times New Roman"/>
                <w:b/>
                <w:bCs/>
                <w:color w:val="000000"/>
                <w:sz w:val="20"/>
                <w:szCs w:val="20"/>
                <w:lang w:val="it-IT" w:eastAsia="it-IT"/>
              </w:rPr>
            </w:pPr>
            <w:r w:rsidRPr="00542749">
              <w:rPr>
                <w:rFonts w:ascii="Times New Roman" w:eastAsia="Times New Roman" w:hAnsi="Times New Roman" w:cs="Times New Roman"/>
                <w:b/>
                <w:bCs/>
                <w:color w:val="000000"/>
                <w:sz w:val="20"/>
                <w:szCs w:val="20"/>
                <w:lang w:val="it-IT" w:eastAsia="it-IT"/>
              </w:rPr>
              <w:t>DCB</w:t>
            </w:r>
          </w:p>
        </w:tc>
      </w:tr>
      <w:tr w:rsidR="00C72B92" w:rsidRPr="00542749" w14:paraId="72DFB3BC" w14:textId="77777777" w:rsidTr="00622BAC">
        <w:trPr>
          <w:trHeight w:val="280"/>
        </w:trPr>
        <w:tc>
          <w:tcPr>
            <w:tcW w:w="3261" w:type="dxa"/>
            <w:vMerge/>
            <w:tcBorders>
              <w:top w:val="single" w:sz="4" w:space="0" w:color="auto"/>
              <w:left w:val="single" w:sz="4" w:space="0" w:color="auto"/>
              <w:bottom w:val="single" w:sz="4" w:space="0" w:color="000000"/>
              <w:right w:val="single" w:sz="4" w:space="0" w:color="auto"/>
            </w:tcBorders>
            <w:vAlign w:val="center"/>
            <w:hideMark/>
          </w:tcPr>
          <w:p w14:paraId="0D524B3D" w14:textId="77777777" w:rsidR="00C72B92" w:rsidRPr="00542749" w:rsidRDefault="00C72B92" w:rsidP="00763E21">
            <w:pPr>
              <w:rPr>
                <w:rFonts w:ascii="Times New Roman" w:eastAsia="Times New Roman" w:hAnsi="Times New Roman" w:cs="Times New Roman"/>
                <w:b/>
                <w:bCs/>
                <w:color w:val="000000"/>
                <w:sz w:val="20"/>
                <w:szCs w:val="20"/>
                <w:lang w:eastAsia="it-IT"/>
              </w:rPr>
            </w:pPr>
          </w:p>
        </w:tc>
        <w:tc>
          <w:tcPr>
            <w:tcW w:w="840" w:type="dxa"/>
            <w:tcBorders>
              <w:top w:val="nil"/>
              <w:left w:val="nil"/>
              <w:bottom w:val="single" w:sz="4" w:space="0" w:color="auto"/>
              <w:right w:val="single" w:sz="4" w:space="0" w:color="auto"/>
            </w:tcBorders>
            <w:shd w:val="clear" w:color="auto" w:fill="auto"/>
            <w:noWrap/>
            <w:vAlign w:val="center"/>
            <w:hideMark/>
          </w:tcPr>
          <w:p w14:paraId="291D246D"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OR</w:t>
            </w:r>
          </w:p>
        </w:tc>
        <w:tc>
          <w:tcPr>
            <w:tcW w:w="974" w:type="dxa"/>
            <w:tcBorders>
              <w:top w:val="nil"/>
              <w:left w:val="nil"/>
              <w:bottom w:val="single" w:sz="4" w:space="0" w:color="auto"/>
              <w:right w:val="single" w:sz="4" w:space="0" w:color="auto"/>
            </w:tcBorders>
            <w:shd w:val="clear" w:color="auto" w:fill="auto"/>
            <w:noWrap/>
            <w:vAlign w:val="center"/>
            <w:hideMark/>
          </w:tcPr>
          <w:p w14:paraId="5E0B2517"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Inf 95%CI</w:t>
            </w:r>
          </w:p>
        </w:tc>
        <w:tc>
          <w:tcPr>
            <w:tcW w:w="1021" w:type="dxa"/>
            <w:tcBorders>
              <w:top w:val="nil"/>
              <w:left w:val="nil"/>
              <w:bottom w:val="single" w:sz="4" w:space="0" w:color="auto"/>
              <w:right w:val="single" w:sz="4" w:space="0" w:color="auto"/>
            </w:tcBorders>
            <w:shd w:val="clear" w:color="auto" w:fill="auto"/>
            <w:noWrap/>
            <w:vAlign w:val="center"/>
            <w:hideMark/>
          </w:tcPr>
          <w:p w14:paraId="6C9AC5BC"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Sup 95%CI</w:t>
            </w:r>
          </w:p>
        </w:tc>
        <w:tc>
          <w:tcPr>
            <w:tcW w:w="850" w:type="dxa"/>
            <w:tcBorders>
              <w:top w:val="nil"/>
              <w:left w:val="nil"/>
              <w:bottom w:val="single" w:sz="4" w:space="0" w:color="auto"/>
              <w:right w:val="single" w:sz="4" w:space="0" w:color="auto"/>
            </w:tcBorders>
            <w:shd w:val="clear" w:color="auto" w:fill="auto"/>
            <w:noWrap/>
            <w:vAlign w:val="center"/>
            <w:hideMark/>
          </w:tcPr>
          <w:p w14:paraId="08A0AA19"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P</w:t>
            </w:r>
          </w:p>
        </w:tc>
        <w:tc>
          <w:tcPr>
            <w:tcW w:w="851" w:type="dxa"/>
            <w:tcBorders>
              <w:top w:val="nil"/>
              <w:left w:val="nil"/>
              <w:bottom w:val="single" w:sz="4" w:space="0" w:color="auto"/>
              <w:right w:val="single" w:sz="4" w:space="0" w:color="auto"/>
            </w:tcBorders>
            <w:shd w:val="clear" w:color="auto" w:fill="auto"/>
            <w:noWrap/>
            <w:vAlign w:val="center"/>
            <w:hideMark/>
          </w:tcPr>
          <w:p w14:paraId="16AA2AAC"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OR</w:t>
            </w:r>
          </w:p>
        </w:tc>
        <w:tc>
          <w:tcPr>
            <w:tcW w:w="992" w:type="dxa"/>
            <w:tcBorders>
              <w:top w:val="nil"/>
              <w:left w:val="nil"/>
              <w:bottom w:val="single" w:sz="4" w:space="0" w:color="auto"/>
              <w:right w:val="single" w:sz="4" w:space="0" w:color="auto"/>
            </w:tcBorders>
            <w:shd w:val="clear" w:color="auto" w:fill="auto"/>
            <w:noWrap/>
            <w:vAlign w:val="center"/>
            <w:hideMark/>
          </w:tcPr>
          <w:p w14:paraId="1933B4B2"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Inf 95%CI</w:t>
            </w:r>
          </w:p>
        </w:tc>
        <w:tc>
          <w:tcPr>
            <w:tcW w:w="992" w:type="dxa"/>
            <w:tcBorders>
              <w:top w:val="nil"/>
              <w:left w:val="nil"/>
              <w:bottom w:val="single" w:sz="4" w:space="0" w:color="auto"/>
              <w:right w:val="single" w:sz="4" w:space="0" w:color="auto"/>
            </w:tcBorders>
            <w:shd w:val="clear" w:color="auto" w:fill="auto"/>
            <w:noWrap/>
            <w:vAlign w:val="center"/>
            <w:hideMark/>
          </w:tcPr>
          <w:p w14:paraId="6FA7CA95"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Sup 95%CI</w:t>
            </w:r>
          </w:p>
        </w:tc>
        <w:tc>
          <w:tcPr>
            <w:tcW w:w="851" w:type="dxa"/>
            <w:tcBorders>
              <w:top w:val="nil"/>
              <w:left w:val="nil"/>
              <w:bottom w:val="single" w:sz="4" w:space="0" w:color="auto"/>
              <w:right w:val="single" w:sz="4" w:space="0" w:color="auto"/>
            </w:tcBorders>
            <w:shd w:val="clear" w:color="auto" w:fill="auto"/>
            <w:noWrap/>
            <w:vAlign w:val="center"/>
            <w:hideMark/>
          </w:tcPr>
          <w:p w14:paraId="13139FA2" w14:textId="77777777" w:rsidR="00C72B92" w:rsidRPr="00542749" w:rsidRDefault="00C72B92" w:rsidP="00763E21">
            <w:pPr>
              <w:jc w:val="center"/>
              <w:rPr>
                <w:rFonts w:ascii="Times New Roman" w:eastAsia="Times New Roman" w:hAnsi="Times New Roman" w:cs="Times New Roman"/>
                <w:b/>
                <w:bCs/>
                <w:color w:val="000000"/>
                <w:sz w:val="20"/>
                <w:szCs w:val="20"/>
                <w:lang w:eastAsia="it-IT"/>
              </w:rPr>
            </w:pPr>
            <w:r w:rsidRPr="00542749">
              <w:rPr>
                <w:rFonts w:ascii="Times New Roman" w:eastAsia="Times New Roman" w:hAnsi="Times New Roman" w:cs="Times New Roman"/>
                <w:b/>
                <w:bCs/>
                <w:color w:val="000000"/>
                <w:sz w:val="20"/>
                <w:szCs w:val="20"/>
                <w:lang w:eastAsia="it-IT"/>
              </w:rPr>
              <w:t>P</w:t>
            </w:r>
          </w:p>
        </w:tc>
      </w:tr>
      <w:tr w:rsidR="00C72B92" w:rsidRPr="00542749" w14:paraId="5E385947"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0AFF21BF"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Age (continuous)</w:t>
            </w:r>
          </w:p>
        </w:tc>
        <w:tc>
          <w:tcPr>
            <w:tcW w:w="840" w:type="dxa"/>
            <w:tcBorders>
              <w:top w:val="nil"/>
              <w:left w:val="nil"/>
              <w:bottom w:val="nil"/>
              <w:right w:val="nil"/>
            </w:tcBorders>
            <w:shd w:val="clear" w:color="auto" w:fill="auto"/>
            <w:noWrap/>
            <w:vAlign w:val="center"/>
            <w:hideMark/>
          </w:tcPr>
          <w:p w14:paraId="78BE45F8"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1.02</w:t>
            </w:r>
          </w:p>
        </w:tc>
        <w:tc>
          <w:tcPr>
            <w:tcW w:w="974" w:type="dxa"/>
            <w:tcBorders>
              <w:top w:val="nil"/>
              <w:left w:val="nil"/>
              <w:bottom w:val="nil"/>
              <w:right w:val="nil"/>
            </w:tcBorders>
            <w:shd w:val="clear" w:color="auto" w:fill="auto"/>
            <w:noWrap/>
            <w:vAlign w:val="center"/>
            <w:hideMark/>
          </w:tcPr>
          <w:p w14:paraId="368F3407"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021" w:type="dxa"/>
            <w:tcBorders>
              <w:top w:val="nil"/>
              <w:left w:val="nil"/>
              <w:bottom w:val="nil"/>
              <w:right w:val="nil"/>
            </w:tcBorders>
            <w:shd w:val="clear" w:color="auto" w:fill="auto"/>
            <w:noWrap/>
            <w:vAlign w:val="center"/>
            <w:hideMark/>
          </w:tcPr>
          <w:p w14:paraId="2ECBD0FA"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1.05</w:t>
            </w:r>
          </w:p>
        </w:tc>
        <w:tc>
          <w:tcPr>
            <w:tcW w:w="850" w:type="dxa"/>
            <w:tcBorders>
              <w:top w:val="nil"/>
              <w:left w:val="nil"/>
              <w:bottom w:val="nil"/>
              <w:right w:val="single" w:sz="4" w:space="0" w:color="auto"/>
            </w:tcBorders>
            <w:shd w:val="clear" w:color="auto" w:fill="auto"/>
            <w:noWrap/>
            <w:vAlign w:val="center"/>
            <w:hideMark/>
          </w:tcPr>
          <w:p w14:paraId="5C1CD7E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0.439</w:t>
            </w:r>
          </w:p>
        </w:tc>
        <w:tc>
          <w:tcPr>
            <w:tcW w:w="851" w:type="dxa"/>
            <w:tcBorders>
              <w:top w:val="nil"/>
              <w:left w:val="nil"/>
              <w:bottom w:val="nil"/>
              <w:right w:val="nil"/>
            </w:tcBorders>
            <w:shd w:val="clear" w:color="auto" w:fill="auto"/>
            <w:noWrap/>
            <w:vAlign w:val="center"/>
            <w:hideMark/>
          </w:tcPr>
          <w:p w14:paraId="59933432"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2</w:t>
            </w:r>
          </w:p>
        </w:tc>
        <w:tc>
          <w:tcPr>
            <w:tcW w:w="992" w:type="dxa"/>
            <w:tcBorders>
              <w:top w:val="nil"/>
              <w:left w:val="nil"/>
              <w:bottom w:val="nil"/>
              <w:right w:val="nil"/>
            </w:tcBorders>
            <w:shd w:val="clear" w:color="auto" w:fill="auto"/>
            <w:noWrap/>
            <w:vAlign w:val="center"/>
            <w:hideMark/>
          </w:tcPr>
          <w:p w14:paraId="7F46515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w:t>
            </w:r>
            <w:r w:rsidRPr="00542749">
              <w:rPr>
                <w:rFonts w:ascii="Times New Roman" w:eastAsia="Times New Roman" w:hAnsi="Times New Roman" w:cs="Times New Roman"/>
                <w:color w:val="000000"/>
                <w:sz w:val="20"/>
                <w:szCs w:val="20"/>
                <w:lang w:val="it-IT" w:eastAsia="it-IT"/>
              </w:rPr>
              <w:t>8</w:t>
            </w:r>
          </w:p>
        </w:tc>
        <w:tc>
          <w:tcPr>
            <w:tcW w:w="992" w:type="dxa"/>
            <w:tcBorders>
              <w:top w:val="nil"/>
              <w:left w:val="nil"/>
              <w:bottom w:val="nil"/>
              <w:right w:val="nil"/>
            </w:tcBorders>
            <w:shd w:val="clear" w:color="auto" w:fill="auto"/>
            <w:noWrap/>
            <w:vAlign w:val="center"/>
            <w:hideMark/>
          </w:tcPr>
          <w:p w14:paraId="47ABFF2D"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6</w:t>
            </w:r>
          </w:p>
        </w:tc>
        <w:tc>
          <w:tcPr>
            <w:tcW w:w="851" w:type="dxa"/>
            <w:tcBorders>
              <w:top w:val="nil"/>
              <w:left w:val="nil"/>
              <w:bottom w:val="nil"/>
              <w:right w:val="single" w:sz="4" w:space="0" w:color="auto"/>
            </w:tcBorders>
            <w:shd w:val="clear" w:color="auto" w:fill="auto"/>
            <w:noWrap/>
            <w:vAlign w:val="center"/>
            <w:hideMark/>
          </w:tcPr>
          <w:p w14:paraId="2C694993"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0.319</w:t>
            </w:r>
          </w:p>
        </w:tc>
      </w:tr>
      <w:tr w:rsidR="00C72B92" w:rsidRPr="00542749" w14:paraId="78D230E0"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32C5E092"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Sex (Male vs. Female)</w:t>
            </w:r>
          </w:p>
        </w:tc>
        <w:tc>
          <w:tcPr>
            <w:tcW w:w="840" w:type="dxa"/>
            <w:tcBorders>
              <w:top w:val="nil"/>
              <w:left w:val="nil"/>
              <w:bottom w:val="nil"/>
              <w:right w:val="nil"/>
            </w:tcBorders>
            <w:shd w:val="clear" w:color="auto" w:fill="auto"/>
            <w:noWrap/>
            <w:vAlign w:val="center"/>
            <w:hideMark/>
          </w:tcPr>
          <w:p w14:paraId="6C450A77"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1.46</w:t>
            </w:r>
          </w:p>
        </w:tc>
        <w:tc>
          <w:tcPr>
            <w:tcW w:w="974" w:type="dxa"/>
            <w:tcBorders>
              <w:top w:val="nil"/>
              <w:left w:val="nil"/>
              <w:bottom w:val="nil"/>
              <w:right w:val="nil"/>
            </w:tcBorders>
            <w:shd w:val="clear" w:color="auto" w:fill="auto"/>
            <w:noWrap/>
            <w:vAlign w:val="center"/>
            <w:hideMark/>
          </w:tcPr>
          <w:p w14:paraId="2FAF77BC"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0.57</w:t>
            </w:r>
          </w:p>
        </w:tc>
        <w:tc>
          <w:tcPr>
            <w:tcW w:w="1021" w:type="dxa"/>
            <w:tcBorders>
              <w:top w:val="nil"/>
              <w:left w:val="nil"/>
              <w:bottom w:val="nil"/>
              <w:right w:val="nil"/>
            </w:tcBorders>
            <w:shd w:val="clear" w:color="auto" w:fill="auto"/>
            <w:noWrap/>
            <w:vAlign w:val="center"/>
            <w:hideMark/>
          </w:tcPr>
          <w:p w14:paraId="79912E8D"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3.76</w:t>
            </w:r>
          </w:p>
        </w:tc>
        <w:tc>
          <w:tcPr>
            <w:tcW w:w="850" w:type="dxa"/>
            <w:tcBorders>
              <w:top w:val="nil"/>
              <w:left w:val="nil"/>
              <w:bottom w:val="nil"/>
              <w:right w:val="single" w:sz="4" w:space="0" w:color="auto"/>
            </w:tcBorders>
            <w:shd w:val="clear" w:color="auto" w:fill="auto"/>
            <w:noWrap/>
            <w:vAlign w:val="center"/>
            <w:hideMark/>
          </w:tcPr>
          <w:p w14:paraId="51B3CD75"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0.431</w:t>
            </w:r>
          </w:p>
        </w:tc>
        <w:tc>
          <w:tcPr>
            <w:tcW w:w="851" w:type="dxa"/>
            <w:tcBorders>
              <w:top w:val="nil"/>
              <w:left w:val="nil"/>
              <w:bottom w:val="nil"/>
              <w:right w:val="nil"/>
            </w:tcBorders>
            <w:shd w:val="clear" w:color="auto" w:fill="auto"/>
            <w:noWrap/>
            <w:vAlign w:val="center"/>
            <w:hideMark/>
          </w:tcPr>
          <w:p w14:paraId="79DDF39E"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w:t>
            </w:r>
            <w:r w:rsidRPr="00542749">
              <w:rPr>
                <w:rFonts w:ascii="Times New Roman" w:eastAsia="Times New Roman" w:hAnsi="Times New Roman" w:cs="Times New Roman"/>
                <w:color w:val="000000"/>
                <w:sz w:val="20"/>
                <w:szCs w:val="20"/>
                <w:lang w:val="it-IT" w:eastAsia="it-IT"/>
              </w:rPr>
              <w:t>12</w:t>
            </w:r>
          </w:p>
        </w:tc>
        <w:tc>
          <w:tcPr>
            <w:tcW w:w="992" w:type="dxa"/>
            <w:tcBorders>
              <w:top w:val="nil"/>
              <w:left w:val="nil"/>
              <w:bottom w:val="nil"/>
              <w:right w:val="nil"/>
            </w:tcBorders>
            <w:shd w:val="clear" w:color="auto" w:fill="auto"/>
            <w:noWrap/>
            <w:vAlign w:val="center"/>
            <w:hideMark/>
          </w:tcPr>
          <w:p w14:paraId="52D7E6BD"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47</w:t>
            </w:r>
          </w:p>
        </w:tc>
        <w:tc>
          <w:tcPr>
            <w:tcW w:w="992" w:type="dxa"/>
            <w:tcBorders>
              <w:top w:val="nil"/>
              <w:left w:val="nil"/>
              <w:bottom w:val="nil"/>
              <w:right w:val="nil"/>
            </w:tcBorders>
            <w:shd w:val="clear" w:color="auto" w:fill="auto"/>
            <w:noWrap/>
            <w:vAlign w:val="center"/>
            <w:hideMark/>
          </w:tcPr>
          <w:p w14:paraId="3FBBC1B1"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2.63</w:t>
            </w:r>
          </w:p>
        </w:tc>
        <w:tc>
          <w:tcPr>
            <w:tcW w:w="851" w:type="dxa"/>
            <w:tcBorders>
              <w:top w:val="nil"/>
              <w:left w:val="nil"/>
              <w:bottom w:val="nil"/>
              <w:right w:val="single" w:sz="4" w:space="0" w:color="auto"/>
            </w:tcBorders>
            <w:shd w:val="clear" w:color="auto" w:fill="auto"/>
            <w:noWrap/>
            <w:vAlign w:val="center"/>
            <w:hideMark/>
          </w:tcPr>
          <w:p w14:paraId="210285C2"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802</w:t>
            </w:r>
          </w:p>
        </w:tc>
      </w:tr>
      <w:tr w:rsidR="00C72B92" w:rsidRPr="00542749" w14:paraId="5EDE9D0A"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32A9F391"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ECOG (0-1 vs. 2-3)</w:t>
            </w:r>
          </w:p>
        </w:tc>
        <w:tc>
          <w:tcPr>
            <w:tcW w:w="840" w:type="dxa"/>
            <w:tcBorders>
              <w:top w:val="nil"/>
              <w:left w:val="nil"/>
              <w:bottom w:val="nil"/>
              <w:right w:val="nil"/>
            </w:tcBorders>
            <w:shd w:val="clear" w:color="auto" w:fill="auto"/>
            <w:noWrap/>
            <w:vAlign w:val="center"/>
            <w:hideMark/>
          </w:tcPr>
          <w:p w14:paraId="3CF1D49F"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1.21</w:t>
            </w:r>
          </w:p>
        </w:tc>
        <w:tc>
          <w:tcPr>
            <w:tcW w:w="974" w:type="dxa"/>
            <w:tcBorders>
              <w:top w:val="nil"/>
              <w:left w:val="nil"/>
              <w:bottom w:val="nil"/>
              <w:right w:val="nil"/>
            </w:tcBorders>
            <w:shd w:val="clear" w:color="auto" w:fill="auto"/>
            <w:noWrap/>
            <w:vAlign w:val="center"/>
            <w:hideMark/>
          </w:tcPr>
          <w:p w14:paraId="2476B486"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0.31</w:t>
            </w:r>
          </w:p>
        </w:tc>
        <w:tc>
          <w:tcPr>
            <w:tcW w:w="1021" w:type="dxa"/>
            <w:tcBorders>
              <w:top w:val="nil"/>
              <w:left w:val="nil"/>
              <w:bottom w:val="nil"/>
              <w:right w:val="nil"/>
            </w:tcBorders>
            <w:shd w:val="clear" w:color="auto" w:fill="auto"/>
            <w:noWrap/>
            <w:vAlign w:val="center"/>
            <w:hideMark/>
          </w:tcPr>
          <w:p w14:paraId="78F84D92"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4.72</w:t>
            </w:r>
          </w:p>
        </w:tc>
        <w:tc>
          <w:tcPr>
            <w:tcW w:w="850" w:type="dxa"/>
            <w:tcBorders>
              <w:top w:val="nil"/>
              <w:left w:val="nil"/>
              <w:bottom w:val="nil"/>
              <w:right w:val="single" w:sz="4" w:space="0" w:color="auto"/>
            </w:tcBorders>
            <w:shd w:val="clear" w:color="auto" w:fill="auto"/>
            <w:noWrap/>
            <w:vAlign w:val="center"/>
            <w:hideMark/>
          </w:tcPr>
          <w:p w14:paraId="68C4D286"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0.779</w:t>
            </w:r>
          </w:p>
        </w:tc>
        <w:tc>
          <w:tcPr>
            <w:tcW w:w="851" w:type="dxa"/>
            <w:tcBorders>
              <w:top w:val="nil"/>
              <w:left w:val="nil"/>
              <w:bottom w:val="nil"/>
              <w:right w:val="nil"/>
            </w:tcBorders>
            <w:shd w:val="clear" w:color="auto" w:fill="auto"/>
            <w:noWrap/>
            <w:vAlign w:val="center"/>
            <w:hideMark/>
          </w:tcPr>
          <w:p w14:paraId="61CD3B8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0.50</w:t>
            </w:r>
          </w:p>
        </w:tc>
        <w:tc>
          <w:tcPr>
            <w:tcW w:w="992" w:type="dxa"/>
            <w:tcBorders>
              <w:top w:val="nil"/>
              <w:left w:val="nil"/>
              <w:bottom w:val="nil"/>
              <w:right w:val="nil"/>
            </w:tcBorders>
            <w:shd w:val="clear" w:color="auto" w:fill="auto"/>
            <w:noWrap/>
            <w:vAlign w:val="center"/>
            <w:hideMark/>
          </w:tcPr>
          <w:p w14:paraId="197112D1"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14</w:t>
            </w:r>
          </w:p>
        </w:tc>
        <w:tc>
          <w:tcPr>
            <w:tcW w:w="992" w:type="dxa"/>
            <w:tcBorders>
              <w:top w:val="nil"/>
              <w:left w:val="nil"/>
              <w:bottom w:val="nil"/>
              <w:right w:val="nil"/>
            </w:tcBorders>
            <w:shd w:val="clear" w:color="auto" w:fill="auto"/>
            <w:noWrap/>
            <w:vAlign w:val="center"/>
            <w:hideMark/>
          </w:tcPr>
          <w:p w14:paraId="21EBA9EE"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1.75</w:t>
            </w:r>
          </w:p>
        </w:tc>
        <w:tc>
          <w:tcPr>
            <w:tcW w:w="851" w:type="dxa"/>
            <w:tcBorders>
              <w:top w:val="nil"/>
              <w:left w:val="nil"/>
              <w:bottom w:val="nil"/>
              <w:right w:val="single" w:sz="4" w:space="0" w:color="auto"/>
            </w:tcBorders>
            <w:shd w:val="clear" w:color="auto" w:fill="auto"/>
            <w:noWrap/>
            <w:vAlign w:val="center"/>
            <w:hideMark/>
          </w:tcPr>
          <w:p w14:paraId="68E2C64E"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279</w:t>
            </w:r>
          </w:p>
        </w:tc>
      </w:tr>
      <w:tr w:rsidR="00C72B92" w:rsidRPr="00542749" w14:paraId="16C29E39"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1D3B6865"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Metastatic at diagnosis (Yes vs. No)</w:t>
            </w:r>
          </w:p>
        </w:tc>
        <w:tc>
          <w:tcPr>
            <w:tcW w:w="840" w:type="dxa"/>
            <w:tcBorders>
              <w:top w:val="nil"/>
              <w:left w:val="nil"/>
              <w:bottom w:val="nil"/>
              <w:right w:val="nil"/>
            </w:tcBorders>
            <w:shd w:val="clear" w:color="auto" w:fill="auto"/>
            <w:noWrap/>
            <w:vAlign w:val="center"/>
            <w:hideMark/>
          </w:tcPr>
          <w:p w14:paraId="0B20A36A"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1.55</w:t>
            </w:r>
          </w:p>
        </w:tc>
        <w:tc>
          <w:tcPr>
            <w:tcW w:w="974" w:type="dxa"/>
            <w:tcBorders>
              <w:top w:val="nil"/>
              <w:left w:val="nil"/>
              <w:bottom w:val="nil"/>
              <w:right w:val="nil"/>
            </w:tcBorders>
            <w:shd w:val="clear" w:color="auto" w:fill="auto"/>
            <w:noWrap/>
            <w:vAlign w:val="center"/>
            <w:hideMark/>
          </w:tcPr>
          <w:p w14:paraId="7E29E03D"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0.64</w:t>
            </w:r>
          </w:p>
        </w:tc>
        <w:tc>
          <w:tcPr>
            <w:tcW w:w="1021" w:type="dxa"/>
            <w:tcBorders>
              <w:top w:val="nil"/>
              <w:left w:val="nil"/>
              <w:bottom w:val="nil"/>
              <w:right w:val="nil"/>
            </w:tcBorders>
            <w:shd w:val="clear" w:color="auto" w:fill="auto"/>
            <w:noWrap/>
            <w:vAlign w:val="center"/>
            <w:hideMark/>
          </w:tcPr>
          <w:p w14:paraId="278C6FFC"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3.74</w:t>
            </w:r>
          </w:p>
        </w:tc>
        <w:tc>
          <w:tcPr>
            <w:tcW w:w="850" w:type="dxa"/>
            <w:tcBorders>
              <w:top w:val="nil"/>
              <w:left w:val="nil"/>
              <w:bottom w:val="nil"/>
              <w:right w:val="single" w:sz="4" w:space="0" w:color="auto"/>
            </w:tcBorders>
            <w:shd w:val="clear" w:color="auto" w:fill="auto"/>
            <w:noWrap/>
            <w:vAlign w:val="center"/>
            <w:hideMark/>
          </w:tcPr>
          <w:p w14:paraId="51B0D8B5"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0.335</w:t>
            </w:r>
          </w:p>
        </w:tc>
        <w:tc>
          <w:tcPr>
            <w:tcW w:w="851" w:type="dxa"/>
            <w:tcBorders>
              <w:top w:val="nil"/>
              <w:left w:val="nil"/>
              <w:bottom w:val="nil"/>
              <w:right w:val="nil"/>
            </w:tcBorders>
            <w:shd w:val="clear" w:color="auto" w:fill="auto"/>
            <w:noWrap/>
            <w:vAlign w:val="center"/>
            <w:hideMark/>
          </w:tcPr>
          <w:p w14:paraId="08768082"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1.55</w:t>
            </w:r>
          </w:p>
        </w:tc>
        <w:tc>
          <w:tcPr>
            <w:tcW w:w="992" w:type="dxa"/>
            <w:tcBorders>
              <w:top w:val="nil"/>
              <w:left w:val="nil"/>
              <w:bottom w:val="nil"/>
              <w:right w:val="nil"/>
            </w:tcBorders>
            <w:shd w:val="clear" w:color="auto" w:fill="auto"/>
            <w:noWrap/>
            <w:vAlign w:val="center"/>
            <w:hideMark/>
          </w:tcPr>
          <w:p w14:paraId="452CAC28"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0.64</w:t>
            </w:r>
          </w:p>
        </w:tc>
        <w:tc>
          <w:tcPr>
            <w:tcW w:w="992" w:type="dxa"/>
            <w:tcBorders>
              <w:top w:val="nil"/>
              <w:left w:val="nil"/>
              <w:bottom w:val="nil"/>
              <w:right w:val="nil"/>
            </w:tcBorders>
            <w:shd w:val="clear" w:color="auto" w:fill="auto"/>
            <w:noWrap/>
            <w:vAlign w:val="center"/>
            <w:hideMark/>
          </w:tcPr>
          <w:p w14:paraId="5DD5457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eastAsia="it-IT"/>
              </w:rPr>
              <w:t>3.74</w:t>
            </w:r>
          </w:p>
        </w:tc>
        <w:tc>
          <w:tcPr>
            <w:tcW w:w="851" w:type="dxa"/>
            <w:tcBorders>
              <w:top w:val="nil"/>
              <w:left w:val="nil"/>
              <w:bottom w:val="nil"/>
              <w:right w:val="single" w:sz="4" w:space="0" w:color="auto"/>
            </w:tcBorders>
            <w:shd w:val="clear" w:color="auto" w:fill="auto"/>
            <w:noWrap/>
            <w:vAlign w:val="center"/>
            <w:hideMark/>
          </w:tcPr>
          <w:p w14:paraId="59D68BE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eastAsia="it-IT"/>
              </w:rPr>
              <w:t>0.335</w:t>
            </w:r>
          </w:p>
        </w:tc>
      </w:tr>
      <w:tr w:rsidR="00C72B92" w:rsidRPr="00542749" w14:paraId="3DE5B722"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433CC11B"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Cancer site (NSCLC+GU</w:t>
            </w:r>
            <w:r w:rsidRPr="00542749">
              <w:rPr>
                <w:rFonts w:ascii="Times New Roman" w:eastAsia="Times New Roman" w:hAnsi="Times New Roman" w:cs="Times New Roman"/>
                <w:color w:val="000000"/>
                <w:sz w:val="20"/>
                <w:szCs w:val="20"/>
                <w:lang w:val="en-US" w:eastAsia="it-IT"/>
              </w:rPr>
              <w:t xml:space="preserve"> vs. all others</w:t>
            </w:r>
            <w:r w:rsidRPr="00542749">
              <w:rPr>
                <w:rFonts w:ascii="Times New Roman" w:eastAsia="Times New Roman" w:hAnsi="Times New Roman" w:cs="Times New Roman"/>
                <w:color w:val="000000"/>
                <w:sz w:val="20"/>
                <w:szCs w:val="20"/>
                <w:lang w:eastAsia="it-IT"/>
              </w:rPr>
              <w:t>)</w:t>
            </w:r>
          </w:p>
        </w:tc>
        <w:tc>
          <w:tcPr>
            <w:tcW w:w="840" w:type="dxa"/>
            <w:tcBorders>
              <w:top w:val="nil"/>
              <w:left w:val="nil"/>
              <w:bottom w:val="nil"/>
              <w:right w:val="nil"/>
            </w:tcBorders>
            <w:shd w:val="clear" w:color="auto" w:fill="auto"/>
            <w:noWrap/>
            <w:vAlign w:val="center"/>
            <w:hideMark/>
          </w:tcPr>
          <w:p w14:paraId="0CC8FED4"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3.15</w:t>
            </w:r>
          </w:p>
        </w:tc>
        <w:tc>
          <w:tcPr>
            <w:tcW w:w="974" w:type="dxa"/>
            <w:tcBorders>
              <w:top w:val="nil"/>
              <w:left w:val="nil"/>
              <w:bottom w:val="nil"/>
              <w:right w:val="nil"/>
            </w:tcBorders>
            <w:shd w:val="clear" w:color="auto" w:fill="auto"/>
            <w:noWrap/>
            <w:vAlign w:val="center"/>
            <w:hideMark/>
          </w:tcPr>
          <w:p w14:paraId="15E4D293"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1.30</w:t>
            </w:r>
          </w:p>
        </w:tc>
        <w:tc>
          <w:tcPr>
            <w:tcW w:w="1021" w:type="dxa"/>
            <w:tcBorders>
              <w:top w:val="nil"/>
              <w:left w:val="nil"/>
              <w:bottom w:val="nil"/>
              <w:right w:val="nil"/>
            </w:tcBorders>
            <w:shd w:val="clear" w:color="auto" w:fill="auto"/>
            <w:noWrap/>
            <w:vAlign w:val="center"/>
            <w:hideMark/>
          </w:tcPr>
          <w:p w14:paraId="066F16CA"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7.65</w:t>
            </w:r>
          </w:p>
        </w:tc>
        <w:tc>
          <w:tcPr>
            <w:tcW w:w="850" w:type="dxa"/>
            <w:tcBorders>
              <w:top w:val="nil"/>
              <w:left w:val="nil"/>
              <w:bottom w:val="nil"/>
              <w:right w:val="single" w:sz="4" w:space="0" w:color="auto"/>
            </w:tcBorders>
            <w:shd w:val="clear" w:color="auto" w:fill="auto"/>
            <w:noWrap/>
            <w:vAlign w:val="center"/>
            <w:hideMark/>
          </w:tcPr>
          <w:p w14:paraId="6EC9FE80" w14:textId="77777777" w:rsidR="00C72B92" w:rsidRPr="00542749" w:rsidRDefault="00C72B92" w:rsidP="00622BAC">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w:t>
            </w:r>
            <w:r w:rsidRPr="00542749">
              <w:rPr>
                <w:rFonts w:ascii="Times New Roman" w:eastAsia="Times New Roman" w:hAnsi="Times New Roman" w:cs="Times New Roman"/>
                <w:b/>
                <w:bCs/>
                <w:i/>
                <w:iCs/>
                <w:color w:val="000000"/>
                <w:sz w:val="20"/>
                <w:szCs w:val="20"/>
                <w:lang w:val="it-IT" w:eastAsia="it-IT"/>
              </w:rPr>
              <w:t>011</w:t>
            </w:r>
          </w:p>
        </w:tc>
        <w:tc>
          <w:tcPr>
            <w:tcW w:w="851" w:type="dxa"/>
            <w:tcBorders>
              <w:top w:val="nil"/>
              <w:left w:val="nil"/>
              <w:bottom w:val="nil"/>
              <w:right w:val="nil"/>
            </w:tcBorders>
            <w:shd w:val="clear" w:color="auto" w:fill="auto"/>
            <w:noWrap/>
            <w:vAlign w:val="center"/>
            <w:hideMark/>
          </w:tcPr>
          <w:p w14:paraId="56355A67"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3.15</w:t>
            </w:r>
          </w:p>
        </w:tc>
        <w:tc>
          <w:tcPr>
            <w:tcW w:w="992" w:type="dxa"/>
            <w:tcBorders>
              <w:top w:val="nil"/>
              <w:left w:val="nil"/>
              <w:bottom w:val="nil"/>
              <w:right w:val="nil"/>
            </w:tcBorders>
            <w:shd w:val="clear" w:color="auto" w:fill="auto"/>
            <w:noWrap/>
            <w:vAlign w:val="center"/>
            <w:hideMark/>
          </w:tcPr>
          <w:p w14:paraId="57D9FC7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1.30</w:t>
            </w:r>
          </w:p>
        </w:tc>
        <w:tc>
          <w:tcPr>
            <w:tcW w:w="992" w:type="dxa"/>
            <w:tcBorders>
              <w:top w:val="nil"/>
              <w:left w:val="nil"/>
              <w:bottom w:val="nil"/>
              <w:right w:val="nil"/>
            </w:tcBorders>
            <w:shd w:val="clear" w:color="auto" w:fill="auto"/>
            <w:noWrap/>
            <w:vAlign w:val="center"/>
            <w:hideMark/>
          </w:tcPr>
          <w:p w14:paraId="60B6E29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7.65</w:t>
            </w:r>
          </w:p>
        </w:tc>
        <w:tc>
          <w:tcPr>
            <w:tcW w:w="851" w:type="dxa"/>
            <w:tcBorders>
              <w:top w:val="nil"/>
              <w:left w:val="nil"/>
              <w:bottom w:val="nil"/>
              <w:right w:val="single" w:sz="4" w:space="0" w:color="auto"/>
            </w:tcBorders>
            <w:shd w:val="clear" w:color="auto" w:fill="auto"/>
            <w:noWrap/>
            <w:vAlign w:val="center"/>
            <w:hideMark/>
          </w:tcPr>
          <w:p w14:paraId="631F2BF1" w14:textId="77777777" w:rsidR="00C72B92" w:rsidRPr="00542749" w:rsidRDefault="00C72B92" w:rsidP="00622BAC">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w:t>
            </w:r>
            <w:r w:rsidRPr="00542749">
              <w:rPr>
                <w:rFonts w:ascii="Times New Roman" w:eastAsia="Times New Roman" w:hAnsi="Times New Roman" w:cs="Times New Roman"/>
                <w:b/>
                <w:bCs/>
                <w:i/>
                <w:iCs/>
                <w:color w:val="000000"/>
                <w:sz w:val="20"/>
                <w:szCs w:val="20"/>
                <w:lang w:val="it-IT" w:eastAsia="it-IT"/>
              </w:rPr>
              <w:t>011</w:t>
            </w:r>
          </w:p>
        </w:tc>
      </w:tr>
      <w:tr w:rsidR="00C72B92" w:rsidRPr="00542749" w14:paraId="662E75F1"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30AF737C"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ICI treatment line (1st vs. ≥2nd)</w:t>
            </w:r>
          </w:p>
        </w:tc>
        <w:tc>
          <w:tcPr>
            <w:tcW w:w="840" w:type="dxa"/>
            <w:tcBorders>
              <w:top w:val="nil"/>
              <w:left w:val="nil"/>
              <w:bottom w:val="nil"/>
              <w:right w:val="nil"/>
            </w:tcBorders>
            <w:shd w:val="clear" w:color="auto" w:fill="auto"/>
            <w:noWrap/>
            <w:vAlign w:val="center"/>
            <w:hideMark/>
          </w:tcPr>
          <w:p w14:paraId="55EE379C"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2.82</w:t>
            </w:r>
          </w:p>
        </w:tc>
        <w:tc>
          <w:tcPr>
            <w:tcW w:w="974" w:type="dxa"/>
            <w:tcBorders>
              <w:top w:val="nil"/>
              <w:left w:val="nil"/>
              <w:bottom w:val="nil"/>
              <w:right w:val="nil"/>
            </w:tcBorders>
            <w:shd w:val="clear" w:color="auto" w:fill="auto"/>
            <w:noWrap/>
            <w:vAlign w:val="center"/>
            <w:hideMark/>
          </w:tcPr>
          <w:p w14:paraId="2ED8342A"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1.17</w:t>
            </w:r>
          </w:p>
        </w:tc>
        <w:tc>
          <w:tcPr>
            <w:tcW w:w="1021" w:type="dxa"/>
            <w:tcBorders>
              <w:top w:val="nil"/>
              <w:left w:val="nil"/>
              <w:bottom w:val="nil"/>
              <w:right w:val="nil"/>
            </w:tcBorders>
            <w:shd w:val="clear" w:color="auto" w:fill="auto"/>
            <w:noWrap/>
            <w:vAlign w:val="center"/>
            <w:hideMark/>
          </w:tcPr>
          <w:p w14:paraId="3755F697"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6.79</w:t>
            </w:r>
          </w:p>
        </w:tc>
        <w:tc>
          <w:tcPr>
            <w:tcW w:w="850" w:type="dxa"/>
            <w:tcBorders>
              <w:top w:val="nil"/>
              <w:left w:val="nil"/>
              <w:bottom w:val="nil"/>
              <w:right w:val="single" w:sz="4" w:space="0" w:color="auto"/>
            </w:tcBorders>
            <w:shd w:val="clear" w:color="auto" w:fill="auto"/>
            <w:noWrap/>
            <w:vAlign w:val="center"/>
            <w:hideMark/>
          </w:tcPr>
          <w:p w14:paraId="77E1D5B2" w14:textId="77777777" w:rsidR="00C72B92" w:rsidRPr="00542749" w:rsidRDefault="00C72B92" w:rsidP="00622BAC">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0.021</w:t>
            </w:r>
          </w:p>
        </w:tc>
        <w:tc>
          <w:tcPr>
            <w:tcW w:w="851" w:type="dxa"/>
            <w:tcBorders>
              <w:top w:val="nil"/>
              <w:left w:val="nil"/>
              <w:bottom w:val="nil"/>
              <w:right w:val="nil"/>
            </w:tcBorders>
            <w:shd w:val="clear" w:color="auto" w:fill="auto"/>
            <w:noWrap/>
            <w:vAlign w:val="center"/>
            <w:hideMark/>
          </w:tcPr>
          <w:p w14:paraId="2DCFFB83"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1.52</w:t>
            </w:r>
          </w:p>
        </w:tc>
        <w:tc>
          <w:tcPr>
            <w:tcW w:w="992" w:type="dxa"/>
            <w:tcBorders>
              <w:top w:val="nil"/>
              <w:left w:val="nil"/>
              <w:bottom w:val="nil"/>
              <w:right w:val="nil"/>
            </w:tcBorders>
            <w:shd w:val="clear" w:color="auto" w:fill="auto"/>
            <w:noWrap/>
            <w:vAlign w:val="center"/>
            <w:hideMark/>
          </w:tcPr>
          <w:p w14:paraId="1EF08F28"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0.62</w:t>
            </w:r>
          </w:p>
        </w:tc>
        <w:tc>
          <w:tcPr>
            <w:tcW w:w="992" w:type="dxa"/>
            <w:tcBorders>
              <w:top w:val="nil"/>
              <w:left w:val="nil"/>
              <w:bottom w:val="nil"/>
              <w:right w:val="nil"/>
            </w:tcBorders>
            <w:shd w:val="clear" w:color="auto" w:fill="auto"/>
            <w:noWrap/>
            <w:vAlign w:val="center"/>
            <w:hideMark/>
          </w:tcPr>
          <w:p w14:paraId="0DB0BEB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3.76</w:t>
            </w:r>
          </w:p>
        </w:tc>
        <w:tc>
          <w:tcPr>
            <w:tcW w:w="851" w:type="dxa"/>
            <w:tcBorders>
              <w:top w:val="nil"/>
              <w:left w:val="nil"/>
              <w:bottom w:val="nil"/>
              <w:right w:val="single" w:sz="4" w:space="0" w:color="auto"/>
            </w:tcBorders>
            <w:shd w:val="clear" w:color="auto" w:fill="auto"/>
            <w:noWrap/>
            <w:vAlign w:val="center"/>
            <w:hideMark/>
          </w:tcPr>
          <w:p w14:paraId="5091030A"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0.365</w:t>
            </w:r>
          </w:p>
        </w:tc>
      </w:tr>
      <w:tr w:rsidR="00C72B92" w:rsidRPr="00542749" w14:paraId="4EEEA8EA"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1F6F7A31"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ICI treatment line (continuous)</w:t>
            </w:r>
          </w:p>
        </w:tc>
        <w:tc>
          <w:tcPr>
            <w:tcW w:w="840" w:type="dxa"/>
            <w:tcBorders>
              <w:top w:val="nil"/>
              <w:left w:val="nil"/>
              <w:bottom w:val="nil"/>
              <w:right w:val="nil"/>
            </w:tcBorders>
            <w:shd w:val="clear" w:color="auto" w:fill="auto"/>
            <w:noWrap/>
            <w:vAlign w:val="center"/>
            <w:hideMark/>
          </w:tcPr>
          <w:p w14:paraId="12AF62E6"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0.61</w:t>
            </w:r>
          </w:p>
        </w:tc>
        <w:tc>
          <w:tcPr>
            <w:tcW w:w="974" w:type="dxa"/>
            <w:tcBorders>
              <w:top w:val="nil"/>
              <w:left w:val="nil"/>
              <w:bottom w:val="nil"/>
              <w:right w:val="nil"/>
            </w:tcBorders>
            <w:shd w:val="clear" w:color="auto" w:fill="auto"/>
            <w:noWrap/>
            <w:vAlign w:val="center"/>
            <w:hideMark/>
          </w:tcPr>
          <w:p w14:paraId="6D71D4C3"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0.40</w:t>
            </w:r>
          </w:p>
        </w:tc>
        <w:tc>
          <w:tcPr>
            <w:tcW w:w="1021" w:type="dxa"/>
            <w:tcBorders>
              <w:top w:val="nil"/>
              <w:left w:val="nil"/>
              <w:bottom w:val="nil"/>
              <w:right w:val="nil"/>
            </w:tcBorders>
            <w:shd w:val="clear" w:color="auto" w:fill="auto"/>
            <w:noWrap/>
            <w:vAlign w:val="center"/>
            <w:hideMark/>
          </w:tcPr>
          <w:p w14:paraId="42FC3A6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0.91</w:t>
            </w:r>
          </w:p>
        </w:tc>
        <w:tc>
          <w:tcPr>
            <w:tcW w:w="850" w:type="dxa"/>
            <w:tcBorders>
              <w:top w:val="nil"/>
              <w:left w:val="nil"/>
              <w:bottom w:val="nil"/>
              <w:right w:val="single" w:sz="4" w:space="0" w:color="auto"/>
            </w:tcBorders>
            <w:shd w:val="clear" w:color="auto" w:fill="auto"/>
            <w:noWrap/>
            <w:vAlign w:val="center"/>
            <w:hideMark/>
          </w:tcPr>
          <w:p w14:paraId="615A0531" w14:textId="77777777" w:rsidR="00C72B92" w:rsidRPr="00542749" w:rsidRDefault="00C72B92" w:rsidP="00622BAC">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0.016</w:t>
            </w:r>
          </w:p>
        </w:tc>
        <w:tc>
          <w:tcPr>
            <w:tcW w:w="851" w:type="dxa"/>
            <w:tcBorders>
              <w:top w:val="nil"/>
              <w:left w:val="nil"/>
              <w:bottom w:val="nil"/>
              <w:right w:val="nil"/>
            </w:tcBorders>
            <w:shd w:val="clear" w:color="auto" w:fill="auto"/>
            <w:noWrap/>
            <w:vAlign w:val="center"/>
            <w:hideMark/>
          </w:tcPr>
          <w:p w14:paraId="55861F5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0.78</w:t>
            </w:r>
          </w:p>
        </w:tc>
        <w:tc>
          <w:tcPr>
            <w:tcW w:w="992" w:type="dxa"/>
            <w:tcBorders>
              <w:top w:val="nil"/>
              <w:left w:val="nil"/>
              <w:bottom w:val="nil"/>
              <w:right w:val="nil"/>
            </w:tcBorders>
            <w:shd w:val="clear" w:color="auto" w:fill="auto"/>
            <w:noWrap/>
            <w:vAlign w:val="center"/>
            <w:hideMark/>
          </w:tcPr>
          <w:p w14:paraId="156D0DB9"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0.56</w:t>
            </w:r>
          </w:p>
        </w:tc>
        <w:tc>
          <w:tcPr>
            <w:tcW w:w="992" w:type="dxa"/>
            <w:tcBorders>
              <w:top w:val="nil"/>
              <w:left w:val="nil"/>
              <w:bottom w:val="nil"/>
              <w:right w:val="nil"/>
            </w:tcBorders>
            <w:shd w:val="clear" w:color="auto" w:fill="auto"/>
            <w:noWrap/>
            <w:vAlign w:val="center"/>
            <w:hideMark/>
          </w:tcPr>
          <w:p w14:paraId="13B41FC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1.09</w:t>
            </w:r>
          </w:p>
        </w:tc>
        <w:tc>
          <w:tcPr>
            <w:tcW w:w="851" w:type="dxa"/>
            <w:tcBorders>
              <w:top w:val="nil"/>
              <w:left w:val="nil"/>
              <w:bottom w:val="nil"/>
              <w:right w:val="single" w:sz="4" w:space="0" w:color="auto"/>
            </w:tcBorders>
            <w:shd w:val="clear" w:color="auto" w:fill="auto"/>
            <w:noWrap/>
            <w:vAlign w:val="center"/>
            <w:hideMark/>
          </w:tcPr>
          <w:p w14:paraId="00336678"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0.149</w:t>
            </w:r>
          </w:p>
        </w:tc>
      </w:tr>
      <w:tr w:rsidR="00C72B92" w:rsidRPr="00542749" w14:paraId="0F6EBFC1"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34D2F001"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Immuno-naive status (Yes vs. No)</w:t>
            </w:r>
          </w:p>
        </w:tc>
        <w:tc>
          <w:tcPr>
            <w:tcW w:w="840" w:type="dxa"/>
            <w:tcBorders>
              <w:top w:val="nil"/>
              <w:left w:val="nil"/>
              <w:bottom w:val="nil"/>
              <w:right w:val="nil"/>
            </w:tcBorders>
            <w:shd w:val="clear" w:color="auto" w:fill="auto"/>
            <w:noWrap/>
            <w:vAlign w:val="center"/>
            <w:hideMark/>
          </w:tcPr>
          <w:p w14:paraId="1B4E13CF"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3.57</w:t>
            </w:r>
          </w:p>
        </w:tc>
        <w:tc>
          <w:tcPr>
            <w:tcW w:w="974" w:type="dxa"/>
            <w:tcBorders>
              <w:top w:val="nil"/>
              <w:left w:val="nil"/>
              <w:bottom w:val="nil"/>
              <w:right w:val="nil"/>
            </w:tcBorders>
            <w:shd w:val="clear" w:color="auto" w:fill="auto"/>
            <w:noWrap/>
            <w:vAlign w:val="center"/>
            <w:hideMark/>
          </w:tcPr>
          <w:p w14:paraId="1D5A9D9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0.45</w:t>
            </w:r>
          </w:p>
        </w:tc>
        <w:tc>
          <w:tcPr>
            <w:tcW w:w="1021" w:type="dxa"/>
            <w:tcBorders>
              <w:top w:val="nil"/>
              <w:left w:val="nil"/>
              <w:bottom w:val="nil"/>
              <w:right w:val="nil"/>
            </w:tcBorders>
            <w:shd w:val="clear" w:color="auto" w:fill="auto"/>
            <w:noWrap/>
            <w:vAlign w:val="center"/>
            <w:hideMark/>
          </w:tcPr>
          <w:p w14:paraId="385C052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28.32</w:t>
            </w:r>
          </w:p>
        </w:tc>
        <w:tc>
          <w:tcPr>
            <w:tcW w:w="850" w:type="dxa"/>
            <w:tcBorders>
              <w:top w:val="nil"/>
              <w:left w:val="nil"/>
              <w:bottom w:val="nil"/>
              <w:right w:val="single" w:sz="4" w:space="0" w:color="auto"/>
            </w:tcBorders>
            <w:shd w:val="clear" w:color="auto" w:fill="auto"/>
            <w:noWrap/>
            <w:vAlign w:val="center"/>
            <w:hideMark/>
          </w:tcPr>
          <w:p w14:paraId="3D3E0FC5"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0.228</w:t>
            </w:r>
          </w:p>
        </w:tc>
        <w:tc>
          <w:tcPr>
            <w:tcW w:w="851" w:type="dxa"/>
            <w:tcBorders>
              <w:top w:val="nil"/>
              <w:left w:val="nil"/>
              <w:bottom w:val="nil"/>
              <w:right w:val="nil"/>
            </w:tcBorders>
            <w:shd w:val="clear" w:color="auto" w:fill="auto"/>
            <w:noWrap/>
            <w:vAlign w:val="center"/>
            <w:hideMark/>
          </w:tcPr>
          <w:p w14:paraId="10EFBC4E"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3.57</w:t>
            </w:r>
          </w:p>
        </w:tc>
        <w:tc>
          <w:tcPr>
            <w:tcW w:w="992" w:type="dxa"/>
            <w:tcBorders>
              <w:top w:val="nil"/>
              <w:left w:val="nil"/>
              <w:bottom w:val="nil"/>
              <w:right w:val="nil"/>
            </w:tcBorders>
            <w:shd w:val="clear" w:color="auto" w:fill="auto"/>
            <w:noWrap/>
            <w:vAlign w:val="center"/>
            <w:hideMark/>
          </w:tcPr>
          <w:p w14:paraId="5817B79A"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0.45</w:t>
            </w:r>
          </w:p>
        </w:tc>
        <w:tc>
          <w:tcPr>
            <w:tcW w:w="992" w:type="dxa"/>
            <w:tcBorders>
              <w:top w:val="nil"/>
              <w:left w:val="nil"/>
              <w:bottom w:val="nil"/>
              <w:right w:val="nil"/>
            </w:tcBorders>
            <w:shd w:val="clear" w:color="auto" w:fill="auto"/>
            <w:noWrap/>
            <w:vAlign w:val="center"/>
            <w:hideMark/>
          </w:tcPr>
          <w:p w14:paraId="20EB82C9"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28.32</w:t>
            </w:r>
          </w:p>
        </w:tc>
        <w:tc>
          <w:tcPr>
            <w:tcW w:w="851" w:type="dxa"/>
            <w:tcBorders>
              <w:top w:val="nil"/>
              <w:left w:val="nil"/>
              <w:bottom w:val="nil"/>
              <w:right w:val="single" w:sz="4" w:space="0" w:color="auto"/>
            </w:tcBorders>
            <w:shd w:val="clear" w:color="auto" w:fill="auto"/>
            <w:noWrap/>
            <w:vAlign w:val="center"/>
            <w:hideMark/>
          </w:tcPr>
          <w:p w14:paraId="06052BD2"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0.228</w:t>
            </w:r>
          </w:p>
        </w:tc>
      </w:tr>
      <w:tr w:rsidR="00C72B92" w:rsidRPr="00542749" w14:paraId="59706553"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26BF05E3"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Regimen (Monotherapy vs. Combination)</w:t>
            </w:r>
          </w:p>
        </w:tc>
        <w:tc>
          <w:tcPr>
            <w:tcW w:w="840" w:type="dxa"/>
            <w:tcBorders>
              <w:top w:val="nil"/>
              <w:left w:val="nil"/>
              <w:bottom w:val="nil"/>
              <w:right w:val="nil"/>
            </w:tcBorders>
            <w:shd w:val="clear" w:color="auto" w:fill="auto"/>
            <w:noWrap/>
            <w:vAlign w:val="center"/>
            <w:hideMark/>
          </w:tcPr>
          <w:p w14:paraId="0951A6D7"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1.47</w:t>
            </w:r>
          </w:p>
        </w:tc>
        <w:tc>
          <w:tcPr>
            <w:tcW w:w="974" w:type="dxa"/>
            <w:tcBorders>
              <w:top w:val="nil"/>
              <w:left w:val="nil"/>
              <w:bottom w:val="nil"/>
              <w:right w:val="nil"/>
            </w:tcBorders>
            <w:shd w:val="clear" w:color="auto" w:fill="auto"/>
            <w:noWrap/>
            <w:vAlign w:val="center"/>
            <w:hideMark/>
          </w:tcPr>
          <w:p w14:paraId="1C7A43A0"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0.63</w:t>
            </w:r>
          </w:p>
        </w:tc>
        <w:tc>
          <w:tcPr>
            <w:tcW w:w="1021" w:type="dxa"/>
            <w:tcBorders>
              <w:top w:val="nil"/>
              <w:left w:val="nil"/>
              <w:bottom w:val="nil"/>
              <w:right w:val="nil"/>
            </w:tcBorders>
            <w:shd w:val="clear" w:color="auto" w:fill="auto"/>
            <w:noWrap/>
            <w:vAlign w:val="center"/>
            <w:hideMark/>
          </w:tcPr>
          <w:p w14:paraId="19810979"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3.45</w:t>
            </w:r>
          </w:p>
        </w:tc>
        <w:tc>
          <w:tcPr>
            <w:tcW w:w="850" w:type="dxa"/>
            <w:tcBorders>
              <w:top w:val="nil"/>
              <w:left w:val="nil"/>
              <w:bottom w:val="nil"/>
              <w:right w:val="single" w:sz="4" w:space="0" w:color="auto"/>
            </w:tcBorders>
            <w:shd w:val="clear" w:color="auto" w:fill="auto"/>
            <w:noWrap/>
            <w:vAlign w:val="center"/>
            <w:hideMark/>
          </w:tcPr>
          <w:p w14:paraId="06553137"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0.371</w:t>
            </w:r>
          </w:p>
        </w:tc>
        <w:tc>
          <w:tcPr>
            <w:tcW w:w="851" w:type="dxa"/>
            <w:tcBorders>
              <w:top w:val="nil"/>
              <w:left w:val="nil"/>
              <w:bottom w:val="nil"/>
              <w:right w:val="nil"/>
            </w:tcBorders>
            <w:shd w:val="clear" w:color="auto" w:fill="auto"/>
            <w:noWrap/>
            <w:vAlign w:val="center"/>
            <w:hideMark/>
          </w:tcPr>
          <w:p w14:paraId="0D4DBEAF"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0.69</w:t>
            </w:r>
          </w:p>
        </w:tc>
        <w:tc>
          <w:tcPr>
            <w:tcW w:w="992" w:type="dxa"/>
            <w:tcBorders>
              <w:top w:val="nil"/>
              <w:left w:val="nil"/>
              <w:bottom w:val="nil"/>
              <w:right w:val="nil"/>
            </w:tcBorders>
            <w:shd w:val="clear" w:color="auto" w:fill="auto"/>
            <w:noWrap/>
            <w:vAlign w:val="center"/>
            <w:hideMark/>
          </w:tcPr>
          <w:p w14:paraId="7A98FFC9"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0.29</w:t>
            </w:r>
          </w:p>
        </w:tc>
        <w:tc>
          <w:tcPr>
            <w:tcW w:w="992" w:type="dxa"/>
            <w:tcBorders>
              <w:top w:val="nil"/>
              <w:left w:val="nil"/>
              <w:bottom w:val="nil"/>
              <w:right w:val="nil"/>
            </w:tcBorders>
            <w:shd w:val="clear" w:color="auto" w:fill="auto"/>
            <w:noWrap/>
            <w:vAlign w:val="center"/>
            <w:hideMark/>
          </w:tcPr>
          <w:p w14:paraId="5A99B568"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1.65</w:t>
            </w:r>
          </w:p>
        </w:tc>
        <w:tc>
          <w:tcPr>
            <w:tcW w:w="851" w:type="dxa"/>
            <w:tcBorders>
              <w:top w:val="nil"/>
              <w:left w:val="nil"/>
              <w:bottom w:val="nil"/>
              <w:right w:val="single" w:sz="4" w:space="0" w:color="auto"/>
            </w:tcBorders>
            <w:shd w:val="clear" w:color="auto" w:fill="auto"/>
            <w:noWrap/>
            <w:vAlign w:val="center"/>
            <w:hideMark/>
          </w:tcPr>
          <w:p w14:paraId="55D14C7E"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0.403</w:t>
            </w:r>
          </w:p>
        </w:tc>
      </w:tr>
      <w:tr w:rsidR="00C72B92" w:rsidRPr="00542749" w14:paraId="74D3A118"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47EBFC0A"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ICI target (Anti-PD-L1 vs. Anti-PD1)</w:t>
            </w:r>
          </w:p>
        </w:tc>
        <w:tc>
          <w:tcPr>
            <w:tcW w:w="840" w:type="dxa"/>
            <w:tcBorders>
              <w:top w:val="nil"/>
              <w:left w:val="nil"/>
              <w:bottom w:val="nil"/>
              <w:right w:val="nil"/>
            </w:tcBorders>
            <w:shd w:val="clear" w:color="auto" w:fill="auto"/>
            <w:noWrap/>
            <w:vAlign w:val="center"/>
            <w:hideMark/>
          </w:tcPr>
          <w:p w14:paraId="4330F223"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0.82</w:t>
            </w:r>
          </w:p>
        </w:tc>
        <w:tc>
          <w:tcPr>
            <w:tcW w:w="974" w:type="dxa"/>
            <w:tcBorders>
              <w:top w:val="nil"/>
              <w:left w:val="nil"/>
              <w:bottom w:val="nil"/>
              <w:right w:val="nil"/>
            </w:tcBorders>
            <w:shd w:val="clear" w:color="auto" w:fill="auto"/>
            <w:noWrap/>
            <w:vAlign w:val="center"/>
            <w:hideMark/>
          </w:tcPr>
          <w:p w14:paraId="47C5EEC6"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0.28</w:t>
            </w:r>
          </w:p>
        </w:tc>
        <w:tc>
          <w:tcPr>
            <w:tcW w:w="1021" w:type="dxa"/>
            <w:tcBorders>
              <w:top w:val="nil"/>
              <w:left w:val="nil"/>
              <w:bottom w:val="nil"/>
              <w:right w:val="nil"/>
            </w:tcBorders>
            <w:shd w:val="clear" w:color="auto" w:fill="auto"/>
            <w:noWrap/>
            <w:vAlign w:val="center"/>
            <w:hideMark/>
          </w:tcPr>
          <w:p w14:paraId="0F65F567"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2.38</w:t>
            </w:r>
          </w:p>
        </w:tc>
        <w:tc>
          <w:tcPr>
            <w:tcW w:w="850" w:type="dxa"/>
            <w:tcBorders>
              <w:top w:val="nil"/>
              <w:left w:val="nil"/>
              <w:bottom w:val="nil"/>
              <w:right w:val="single" w:sz="4" w:space="0" w:color="auto"/>
            </w:tcBorders>
            <w:shd w:val="clear" w:color="auto" w:fill="auto"/>
            <w:noWrap/>
            <w:vAlign w:val="center"/>
            <w:hideMark/>
          </w:tcPr>
          <w:p w14:paraId="5584313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0.715</w:t>
            </w:r>
          </w:p>
        </w:tc>
        <w:tc>
          <w:tcPr>
            <w:tcW w:w="851" w:type="dxa"/>
            <w:tcBorders>
              <w:top w:val="nil"/>
              <w:left w:val="nil"/>
              <w:bottom w:val="nil"/>
              <w:right w:val="nil"/>
            </w:tcBorders>
            <w:shd w:val="clear" w:color="auto" w:fill="auto"/>
            <w:noWrap/>
            <w:vAlign w:val="center"/>
            <w:hideMark/>
          </w:tcPr>
          <w:p w14:paraId="4B6182D8"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1.40</w:t>
            </w:r>
          </w:p>
        </w:tc>
        <w:tc>
          <w:tcPr>
            <w:tcW w:w="992" w:type="dxa"/>
            <w:tcBorders>
              <w:top w:val="nil"/>
              <w:left w:val="nil"/>
              <w:bottom w:val="nil"/>
              <w:right w:val="nil"/>
            </w:tcBorders>
            <w:shd w:val="clear" w:color="auto" w:fill="auto"/>
            <w:noWrap/>
            <w:vAlign w:val="center"/>
            <w:hideMark/>
          </w:tcPr>
          <w:p w14:paraId="76E56D3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0.53</w:t>
            </w:r>
          </w:p>
        </w:tc>
        <w:tc>
          <w:tcPr>
            <w:tcW w:w="992" w:type="dxa"/>
            <w:tcBorders>
              <w:top w:val="nil"/>
              <w:left w:val="nil"/>
              <w:bottom w:val="nil"/>
              <w:right w:val="nil"/>
            </w:tcBorders>
            <w:shd w:val="clear" w:color="auto" w:fill="auto"/>
            <w:noWrap/>
            <w:vAlign w:val="center"/>
            <w:hideMark/>
          </w:tcPr>
          <w:p w14:paraId="5A9B9B2A"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3.70</w:t>
            </w:r>
          </w:p>
        </w:tc>
        <w:tc>
          <w:tcPr>
            <w:tcW w:w="851" w:type="dxa"/>
            <w:tcBorders>
              <w:top w:val="nil"/>
              <w:left w:val="nil"/>
              <w:bottom w:val="nil"/>
              <w:right w:val="single" w:sz="4" w:space="0" w:color="auto"/>
            </w:tcBorders>
            <w:shd w:val="clear" w:color="auto" w:fill="auto"/>
            <w:noWrap/>
            <w:vAlign w:val="center"/>
            <w:hideMark/>
          </w:tcPr>
          <w:p w14:paraId="1E9C7F7D"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0.498</w:t>
            </w:r>
          </w:p>
        </w:tc>
      </w:tr>
      <w:tr w:rsidR="00C72B92" w:rsidRPr="00542749" w14:paraId="72E58110"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75D808E1"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Visceral disease (Yes vs. No)</w:t>
            </w:r>
          </w:p>
        </w:tc>
        <w:tc>
          <w:tcPr>
            <w:tcW w:w="840" w:type="dxa"/>
            <w:tcBorders>
              <w:top w:val="nil"/>
              <w:left w:val="nil"/>
              <w:bottom w:val="nil"/>
              <w:right w:val="nil"/>
            </w:tcBorders>
            <w:shd w:val="clear" w:color="auto" w:fill="auto"/>
            <w:noWrap/>
            <w:vAlign w:val="center"/>
            <w:hideMark/>
          </w:tcPr>
          <w:p w14:paraId="7BD9A6FB"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1.28</w:t>
            </w:r>
          </w:p>
        </w:tc>
        <w:tc>
          <w:tcPr>
            <w:tcW w:w="974" w:type="dxa"/>
            <w:tcBorders>
              <w:top w:val="nil"/>
              <w:left w:val="nil"/>
              <w:bottom w:val="nil"/>
              <w:right w:val="nil"/>
            </w:tcBorders>
            <w:shd w:val="clear" w:color="auto" w:fill="auto"/>
            <w:noWrap/>
            <w:vAlign w:val="center"/>
            <w:hideMark/>
          </w:tcPr>
          <w:p w14:paraId="67E7E62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0.44</w:t>
            </w:r>
          </w:p>
        </w:tc>
        <w:tc>
          <w:tcPr>
            <w:tcW w:w="1021" w:type="dxa"/>
            <w:tcBorders>
              <w:top w:val="nil"/>
              <w:left w:val="nil"/>
              <w:bottom w:val="nil"/>
              <w:right w:val="nil"/>
            </w:tcBorders>
            <w:shd w:val="clear" w:color="auto" w:fill="auto"/>
            <w:noWrap/>
            <w:vAlign w:val="center"/>
            <w:hideMark/>
          </w:tcPr>
          <w:p w14:paraId="4674CFC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3.70</w:t>
            </w:r>
          </w:p>
        </w:tc>
        <w:tc>
          <w:tcPr>
            <w:tcW w:w="850" w:type="dxa"/>
            <w:tcBorders>
              <w:top w:val="nil"/>
              <w:left w:val="nil"/>
              <w:bottom w:val="nil"/>
              <w:right w:val="single" w:sz="4" w:space="0" w:color="auto"/>
            </w:tcBorders>
            <w:shd w:val="clear" w:color="auto" w:fill="auto"/>
            <w:noWrap/>
            <w:vAlign w:val="center"/>
            <w:hideMark/>
          </w:tcPr>
          <w:p w14:paraId="0A536022"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0.651</w:t>
            </w:r>
          </w:p>
        </w:tc>
        <w:tc>
          <w:tcPr>
            <w:tcW w:w="851" w:type="dxa"/>
            <w:tcBorders>
              <w:top w:val="nil"/>
              <w:left w:val="nil"/>
              <w:bottom w:val="nil"/>
              <w:right w:val="nil"/>
            </w:tcBorders>
            <w:shd w:val="clear" w:color="auto" w:fill="auto"/>
            <w:noWrap/>
            <w:vAlign w:val="center"/>
            <w:hideMark/>
          </w:tcPr>
          <w:p w14:paraId="3B9BA83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1.23</w:t>
            </w:r>
          </w:p>
        </w:tc>
        <w:tc>
          <w:tcPr>
            <w:tcW w:w="992" w:type="dxa"/>
            <w:tcBorders>
              <w:top w:val="nil"/>
              <w:left w:val="nil"/>
              <w:bottom w:val="nil"/>
              <w:right w:val="nil"/>
            </w:tcBorders>
            <w:shd w:val="clear" w:color="auto" w:fill="auto"/>
            <w:noWrap/>
            <w:vAlign w:val="center"/>
            <w:hideMark/>
          </w:tcPr>
          <w:p w14:paraId="5D91BBE5"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44</w:t>
            </w:r>
          </w:p>
        </w:tc>
        <w:tc>
          <w:tcPr>
            <w:tcW w:w="992" w:type="dxa"/>
            <w:tcBorders>
              <w:top w:val="nil"/>
              <w:left w:val="nil"/>
              <w:bottom w:val="nil"/>
              <w:right w:val="nil"/>
            </w:tcBorders>
            <w:shd w:val="clear" w:color="auto" w:fill="auto"/>
            <w:noWrap/>
            <w:vAlign w:val="center"/>
            <w:hideMark/>
          </w:tcPr>
          <w:p w14:paraId="3AE21F93"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3.70</w:t>
            </w:r>
          </w:p>
        </w:tc>
        <w:tc>
          <w:tcPr>
            <w:tcW w:w="851" w:type="dxa"/>
            <w:tcBorders>
              <w:top w:val="nil"/>
              <w:left w:val="nil"/>
              <w:bottom w:val="nil"/>
              <w:right w:val="single" w:sz="4" w:space="0" w:color="auto"/>
            </w:tcBorders>
            <w:shd w:val="clear" w:color="auto" w:fill="auto"/>
            <w:noWrap/>
            <w:vAlign w:val="center"/>
            <w:hideMark/>
          </w:tcPr>
          <w:p w14:paraId="0FE22D03"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0.651</w:t>
            </w:r>
          </w:p>
        </w:tc>
      </w:tr>
      <w:tr w:rsidR="00C72B92" w:rsidRPr="00542749" w14:paraId="7DFC503A"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69952CC2"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Number of metastases (≥3 vs. &lt;3)</w:t>
            </w:r>
          </w:p>
        </w:tc>
        <w:tc>
          <w:tcPr>
            <w:tcW w:w="840" w:type="dxa"/>
            <w:tcBorders>
              <w:top w:val="nil"/>
              <w:left w:val="nil"/>
              <w:bottom w:val="nil"/>
              <w:right w:val="nil"/>
            </w:tcBorders>
            <w:shd w:val="clear" w:color="auto" w:fill="auto"/>
            <w:noWrap/>
            <w:vAlign w:val="center"/>
            <w:hideMark/>
          </w:tcPr>
          <w:p w14:paraId="1AE308B0"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0.79</w:t>
            </w:r>
          </w:p>
        </w:tc>
        <w:tc>
          <w:tcPr>
            <w:tcW w:w="974" w:type="dxa"/>
            <w:tcBorders>
              <w:top w:val="nil"/>
              <w:left w:val="nil"/>
              <w:bottom w:val="nil"/>
              <w:right w:val="nil"/>
            </w:tcBorders>
            <w:shd w:val="clear" w:color="auto" w:fill="auto"/>
            <w:noWrap/>
            <w:vAlign w:val="center"/>
            <w:hideMark/>
          </w:tcPr>
          <w:p w14:paraId="12D1053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0.29</w:t>
            </w:r>
          </w:p>
        </w:tc>
        <w:tc>
          <w:tcPr>
            <w:tcW w:w="1021" w:type="dxa"/>
            <w:tcBorders>
              <w:top w:val="nil"/>
              <w:left w:val="nil"/>
              <w:bottom w:val="nil"/>
              <w:right w:val="nil"/>
            </w:tcBorders>
            <w:shd w:val="clear" w:color="auto" w:fill="auto"/>
            <w:noWrap/>
            <w:vAlign w:val="center"/>
            <w:hideMark/>
          </w:tcPr>
          <w:p w14:paraId="77C2723C"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2.19</w:t>
            </w:r>
          </w:p>
        </w:tc>
        <w:tc>
          <w:tcPr>
            <w:tcW w:w="850" w:type="dxa"/>
            <w:tcBorders>
              <w:top w:val="nil"/>
              <w:left w:val="nil"/>
              <w:bottom w:val="nil"/>
              <w:right w:val="single" w:sz="4" w:space="0" w:color="auto"/>
            </w:tcBorders>
            <w:shd w:val="clear" w:color="auto" w:fill="auto"/>
            <w:noWrap/>
            <w:vAlign w:val="center"/>
            <w:hideMark/>
          </w:tcPr>
          <w:p w14:paraId="79A564C6"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0.651</w:t>
            </w:r>
          </w:p>
        </w:tc>
        <w:tc>
          <w:tcPr>
            <w:tcW w:w="851" w:type="dxa"/>
            <w:tcBorders>
              <w:top w:val="nil"/>
              <w:left w:val="nil"/>
              <w:bottom w:val="nil"/>
              <w:right w:val="nil"/>
            </w:tcBorders>
            <w:shd w:val="clear" w:color="auto" w:fill="auto"/>
            <w:noWrap/>
            <w:vAlign w:val="center"/>
            <w:hideMark/>
          </w:tcPr>
          <w:p w14:paraId="5917FF3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2.12</w:t>
            </w:r>
          </w:p>
        </w:tc>
        <w:tc>
          <w:tcPr>
            <w:tcW w:w="992" w:type="dxa"/>
            <w:tcBorders>
              <w:top w:val="nil"/>
              <w:left w:val="nil"/>
              <w:bottom w:val="nil"/>
              <w:right w:val="nil"/>
            </w:tcBorders>
            <w:shd w:val="clear" w:color="auto" w:fill="auto"/>
            <w:noWrap/>
            <w:vAlign w:val="center"/>
            <w:hideMark/>
          </w:tcPr>
          <w:p w14:paraId="08A76BA7"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59</w:t>
            </w:r>
          </w:p>
        </w:tc>
        <w:tc>
          <w:tcPr>
            <w:tcW w:w="992" w:type="dxa"/>
            <w:tcBorders>
              <w:top w:val="nil"/>
              <w:left w:val="nil"/>
              <w:bottom w:val="nil"/>
              <w:right w:val="nil"/>
            </w:tcBorders>
            <w:shd w:val="clear" w:color="auto" w:fill="auto"/>
            <w:noWrap/>
            <w:vAlign w:val="center"/>
            <w:hideMark/>
          </w:tcPr>
          <w:p w14:paraId="19D9AAC1"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7.62</w:t>
            </w:r>
          </w:p>
        </w:tc>
        <w:tc>
          <w:tcPr>
            <w:tcW w:w="851" w:type="dxa"/>
            <w:tcBorders>
              <w:top w:val="nil"/>
              <w:left w:val="nil"/>
              <w:bottom w:val="nil"/>
              <w:right w:val="single" w:sz="4" w:space="0" w:color="auto"/>
            </w:tcBorders>
            <w:shd w:val="clear" w:color="auto" w:fill="auto"/>
            <w:noWrap/>
            <w:vAlign w:val="center"/>
            <w:hideMark/>
          </w:tcPr>
          <w:p w14:paraId="4E7873B9"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0.249</w:t>
            </w:r>
          </w:p>
        </w:tc>
      </w:tr>
      <w:tr w:rsidR="00C72B92" w:rsidRPr="00542749" w14:paraId="26D3F7C1"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539EC0F9"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Basal Hb (continous)</w:t>
            </w:r>
          </w:p>
        </w:tc>
        <w:tc>
          <w:tcPr>
            <w:tcW w:w="840" w:type="dxa"/>
            <w:tcBorders>
              <w:top w:val="nil"/>
              <w:left w:val="nil"/>
              <w:bottom w:val="nil"/>
              <w:right w:val="nil"/>
            </w:tcBorders>
            <w:shd w:val="clear" w:color="auto" w:fill="auto"/>
            <w:noWrap/>
            <w:vAlign w:val="center"/>
            <w:hideMark/>
          </w:tcPr>
          <w:p w14:paraId="0C5DECB2"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974" w:type="dxa"/>
            <w:tcBorders>
              <w:top w:val="nil"/>
              <w:left w:val="nil"/>
              <w:bottom w:val="nil"/>
              <w:right w:val="nil"/>
            </w:tcBorders>
            <w:shd w:val="clear" w:color="auto" w:fill="auto"/>
            <w:noWrap/>
            <w:vAlign w:val="center"/>
            <w:hideMark/>
          </w:tcPr>
          <w:p w14:paraId="0A4E3325"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0.98</w:t>
            </w:r>
          </w:p>
        </w:tc>
        <w:tc>
          <w:tcPr>
            <w:tcW w:w="1021" w:type="dxa"/>
            <w:tcBorders>
              <w:top w:val="nil"/>
              <w:left w:val="nil"/>
              <w:bottom w:val="nil"/>
              <w:right w:val="nil"/>
            </w:tcBorders>
            <w:shd w:val="clear" w:color="auto" w:fill="auto"/>
            <w:noWrap/>
            <w:vAlign w:val="center"/>
            <w:hideMark/>
          </w:tcPr>
          <w:p w14:paraId="750CDB0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1.03</w:t>
            </w:r>
          </w:p>
        </w:tc>
        <w:tc>
          <w:tcPr>
            <w:tcW w:w="850" w:type="dxa"/>
            <w:tcBorders>
              <w:top w:val="nil"/>
              <w:left w:val="nil"/>
              <w:bottom w:val="nil"/>
              <w:right w:val="single" w:sz="4" w:space="0" w:color="auto"/>
            </w:tcBorders>
            <w:shd w:val="clear" w:color="auto" w:fill="auto"/>
            <w:noWrap/>
            <w:vAlign w:val="center"/>
            <w:hideMark/>
          </w:tcPr>
          <w:p w14:paraId="093C359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0.462</w:t>
            </w:r>
          </w:p>
        </w:tc>
        <w:tc>
          <w:tcPr>
            <w:tcW w:w="851" w:type="dxa"/>
            <w:tcBorders>
              <w:top w:val="nil"/>
              <w:left w:val="nil"/>
              <w:bottom w:val="nil"/>
              <w:right w:val="nil"/>
            </w:tcBorders>
            <w:shd w:val="clear" w:color="auto" w:fill="auto"/>
            <w:noWrap/>
            <w:vAlign w:val="center"/>
            <w:hideMark/>
          </w:tcPr>
          <w:p w14:paraId="65E0168D"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0.98</w:t>
            </w:r>
          </w:p>
        </w:tc>
        <w:tc>
          <w:tcPr>
            <w:tcW w:w="992" w:type="dxa"/>
            <w:tcBorders>
              <w:top w:val="nil"/>
              <w:left w:val="nil"/>
              <w:bottom w:val="nil"/>
              <w:right w:val="nil"/>
            </w:tcBorders>
            <w:shd w:val="clear" w:color="auto" w:fill="auto"/>
            <w:noWrap/>
            <w:vAlign w:val="center"/>
            <w:hideMark/>
          </w:tcPr>
          <w:p w14:paraId="60CE0A5E"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it-IT" w:eastAsia="it-IT"/>
              </w:rPr>
              <w:t>0.96</w:t>
            </w:r>
          </w:p>
        </w:tc>
        <w:tc>
          <w:tcPr>
            <w:tcW w:w="992" w:type="dxa"/>
            <w:tcBorders>
              <w:top w:val="nil"/>
              <w:left w:val="nil"/>
              <w:bottom w:val="nil"/>
              <w:right w:val="nil"/>
            </w:tcBorders>
            <w:shd w:val="clear" w:color="auto" w:fill="auto"/>
            <w:noWrap/>
            <w:vAlign w:val="center"/>
            <w:hideMark/>
          </w:tcPr>
          <w:p w14:paraId="5B70AE9C"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1</w:t>
            </w:r>
          </w:p>
        </w:tc>
        <w:tc>
          <w:tcPr>
            <w:tcW w:w="851" w:type="dxa"/>
            <w:tcBorders>
              <w:top w:val="nil"/>
              <w:left w:val="nil"/>
              <w:bottom w:val="nil"/>
              <w:right w:val="single" w:sz="4" w:space="0" w:color="auto"/>
            </w:tcBorders>
            <w:shd w:val="clear" w:color="auto" w:fill="auto"/>
            <w:noWrap/>
            <w:vAlign w:val="center"/>
            <w:hideMark/>
          </w:tcPr>
          <w:p w14:paraId="0CE7772F"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w:t>
            </w:r>
            <w:r w:rsidRPr="00542749">
              <w:rPr>
                <w:rFonts w:ascii="Times New Roman" w:eastAsia="Times New Roman" w:hAnsi="Times New Roman" w:cs="Times New Roman"/>
                <w:color w:val="000000"/>
                <w:sz w:val="20"/>
                <w:szCs w:val="20"/>
                <w:lang w:val="it-IT" w:eastAsia="it-IT"/>
              </w:rPr>
              <w:t>216</w:t>
            </w:r>
          </w:p>
        </w:tc>
      </w:tr>
      <w:tr w:rsidR="00C72B92" w:rsidRPr="00542749" w14:paraId="495D2485" w14:textId="77777777" w:rsidTr="00622BAC">
        <w:trPr>
          <w:trHeight w:val="321"/>
        </w:trPr>
        <w:tc>
          <w:tcPr>
            <w:tcW w:w="3261" w:type="dxa"/>
            <w:tcBorders>
              <w:top w:val="nil"/>
              <w:left w:val="single" w:sz="4" w:space="0" w:color="auto"/>
              <w:bottom w:val="nil"/>
              <w:right w:val="single" w:sz="4" w:space="0" w:color="auto"/>
            </w:tcBorders>
            <w:shd w:val="clear" w:color="auto" w:fill="auto"/>
            <w:noWrap/>
            <w:vAlign w:val="center"/>
            <w:hideMark/>
          </w:tcPr>
          <w:p w14:paraId="2CD46B00"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Basal Albumin (continous)</w:t>
            </w:r>
          </w:p>
        </w:tc>
        <w:tc>
          <w:tcPr>
            <w:tcW w:w="840" w:type="dxa"/>
            <w:tcBorders>
              <w:top w:val="nil"/>
              <w:left w:val="nil"/>
              <w:bottom w:val="nil"/>
              <w:right w:val="nil"/>
            </w:tcBorders>
            <w:shd w:val="clear" w:color="auto" w:fill="auto"/>
            <w:noWrap/>
            <w:vAlign w:val="center"/>
            <w:hideMark/>
          </w:tcPr>
          <w:p w14:paraId="6C19A834"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1.02</w:t>
            </w:r>
          </w:p>
        </w:tc>
        <w:tc>
          <w:tcPr>
            <w:tcW w:w="974" w:type="dxa"/>
            <w:tcBorders>
              <w:top w:val="nil"/>
              <w:left w:val="nil"/>
              <w:bottom w:val="nil"/>
              <w:right w:val="nil"/>
            </w:tcBorders>
            <w:shd w:val="clear" w:color="auto" w:fill="auto"/>
            <w:noWrap/>
            <w:vAlign w:val="center"/>
            <w:hideMark/>
          </w:tcPr>
          <w:p w14:paraId="2F56BE7D"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0.92</w:t>
            </w:r>
          </w:p>
        </w:tc>
        <w:tc>
          <w:tcPr>
            <w:tcW w:w="1021" w:type="dxa"/>
            <w:tcBorders>
              <w:top w:val="nil"/>
              <w:left w:val="nil"/>
              <w:bottom w:val="nil"/>
              <w:right w:val="nil"/>
            </w:tcBorders>
            <w:shd w:val="clear" w:color="auto" w:fill="auto"/>
            <w:noWrap/>
            <w:vAlign w:val="center"/>
            <w:hideMark/>
          </w:tcPr>
          <w:p w14:paraId="2DD694F5"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1.13</w:t>
            </w:r>
          </w:p>
        </w:tc>
        <w:tc>
          <w:tcPr>
            <w:tcW w:w="850" w:type="dxa"/>
            <w:tcBorders>
              <w:top w:val="nil"/>
              <w:left w:val="nil"/>
              <w:bottom w:val="nil"/>
              <w:right w:val="single" w:sz="4" w:space="0" w:color="auto"/>
            </w:tcBorders>
            <w:shd w:val="clear" w:color="auto" w:fill="auto"/>
            <w:noWrap/>
            <w:vAlign w:val="center"/>
            <w:hideMark/>
          </w:tcPr>
          <w:p w14:paraId="1C1D42CA"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0.729</w:t>
            </w:r>
          </w:p>
        </w:tc>
        <w:tc>
          <w:tcPr>
            <w:tcW w:w="851" w:type="dxa"/>
            <w:tcBorders>
              <w:top w:val="nil"/>
              <w:left w:val="nil"/>
              <w:bottom w:val="nil"/>
              <w:right w:val="nil"/>
            </w:tcBorders>
            <w:shd w:val="clear" w:color="auto" w:fill="auto"/>
            <w:noWrap/>
            <w:vAlign w:val="center"/>
            <w:hideMark/>
          </w:tcPr>
          <w:p w14:paraId="2997F34F"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1.00</w:t>
            </w:r>
          </w:p>
        </w:tc>
        <w:tc>
          <w:tcPr>
            <w:tcW w:w="992" w:type="dxa"/>
            <w:tcBorders>
              <w:top w:val="nil"/>
              <w:left w:val="nil"/>
              <w:bottom w:val="nil"/>
              <w:right w:val="nil"/>
            </w:tcBorders>
            <w:shd w:val="clear" w:color="auto" w:fill="auto"/>
            <w:noWrap/>
            <w:vAlign w:val="center"/>
            <w:hideMark/>
          </w:tcPr>
          <w:p w14:paraId="455DF2D1"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w:t>
            </w:r>
            <w:r w:rsidRPr="00542749">
              <w:rPr>
                <w:rFonts w:ascii="Times New Roman" w:eastAsia="Times New Roman" w:hAnsi="Times New Roman" w:cs="Times New Roman"/>
                <w:color w:val="000000"/>
                <w:sz w:val="20"/>
                <w:szCs w:val="20"/>
                <w:lang w:val="it-IT" w:eastAsia="it-IT"/>
              </w:rPr>
              <w:t>1</w:t>
            </w:r>
          </w:p>
        </w:tc>
        <w:tc>
          <w:tcPr>
            <w:tcW w:w="992" w:type="dxa"/>
            <w:tcBorders>
              <w:top w:val="nil"/>
              <w:left w:val="nil"/>
              <w:bottom w:val="nil"/>
              <w:right w:val="nil"/>
            </w:tcBorders>
            <w:shd w:val="clear" w:color="auto" w:fill="auto"/>
            <w:noWrap/>
            <w:vAlign w:val="center"/>
            <w:hideMark/>
          </w:tcPr>
          <w:p w14:paraId="403922F4"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1.1</w:t>
            </w:r>
            <w:r w:rsidRPr="00542749">
              <w:rPr>
                <w:rFonts w:ascii="Times New Roman" w:eastAsia="Times New Roman" w:hAnsi="Times New Roman" w:cs="Times New Roman"/>
                <w:color w:val="000000"/>
                <w:sz w:val="20"/>
                <w:szCs w:val="20"/>
                <w:lang w:val="it-IT" w:eastAsia="it-IT"/>
              </w:rPr>
              <w:t>1</w:t>
            </w:r>
          </w:p>
        </w:tc>
        <w:tc>
          <w:tcPr>
            <w:tcW w:w="851" w:type="dxa"/>
            <w:tcBorders>
              <w:top w:val="nil"/>
              <w:left w:val="nil"/>
              <w:bottom w:val="nil"/>
              <w:right w:val="single" w:sz="4" w:space="0" w:color="auto"/>
            </w:tcBorders>
            <w:shd w:val="clear" w:color="auto" w:fill="auto"/>
            <w:noWrap/>
            <w:vAlign w:val="center"/>
            <w:hideMark/>
          </w:tcPr>
          <w:p w14:paraId="6AFEBB1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1.00</w:t>
            </w:r>
          </w:p>
        </w:tc>
      </w:tr>
      <w:tr w:rsidR="00C72B92" w:rsidRPr="00542749" w14:paraId="50B1A819"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tcPr>
          <w:p w14:paraId="154EEC31"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RT within 30 days from ICI start (Yes vs. No)</w:t>
            </w:r>
          </w:p>
        </w:tc>
        <w:tc>
          <w:tcPr>
            <w:tcW w:w="840" w:type="dxa"/>
            <w:tcBorders>
              <w:top w:val="nil"/>
              <w:left w:val="nil"/>
              <w:bottom w:val="nil"/>
              <w:right w:val="nil"/>
            </w:tcBorders>
            <w:shd w:val="clear" w:color="auto" w:fill="auto"/>
            <w:noWrap/>
            <w:vAlign w:val="center"/>
          </w:tcPr>
          <w:p w14:paraId="0FC7E088"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0.57</w:t>
            </w:r>
          </w:p>
        </w:tc>
        <w:tc>
          <w:tcPr>
            <w:tcW w:w="974" w:type="dxa"/>
            <w:tcBorders>
              <w:top w:val="nil"/>
              <w:left w:val="nil"/>
              <w:bottom w:val="nil"/>
              <w:right w:val="nil"/>
            </w:tcBorders>
            <w:shd w:val="clear" w:color="auto" w:fill="auto"/>
            <w:noWrap/>
            <w:vAlign w:val="center"/>
          </w:tcPr>
          <w:p w14:paraId="01FD74E3"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0.07</w:t>
            </w:r>
          </w:p>
        </w:tc>
        <w:tc>
          <w:tcPr>
            <w:tcW w:w="1021" w:type="dxa"/>
            <w:tcBorders>
              <w:top w:val="nil"/>
              <w:left w:val="nil"/>
              <w:bottom w:val="nil"/>
              <w:right w:val="nil"/>
            </w:tcBorders>
            <w:shd w:val="clear" w:color="auto" w:fill="auto"/>
            <w:noWrap/>
            <w:vAlign w:val="center"/>
          </w:tcPr>
          <w:p w14:paraId="7379D3C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4.80</w:t>
            </w:r>
          </w:p>
        </w:tc>
        <w:tc>
          <w:tcPr>
            <w:tcW w:w="850" w:type="dxa"/>
            <w:tcBorders>
              <w:top w:val="nil"/>
              <w:left w:val="nil"/>
              <w:bottom w:val="nil"/>
              <w:right w:val="single" w:sz="4" w:space="0" w:color="auto"/>
            </w:tcBorders>
            <w:shd w:val="clear" w:color="auto" w:fill="auto"/>
            <w:noWrap/>
            <w:vAlign w:val="center"/>
          </w:tcPr>
          <w:p w14:paraId="23BE2C53"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0.607</w:t>
            </w:r>
          </w:p>
        </w:tc>
        <w:tc>
          <w:tcPr>
            <w:tcW w:w="851" w:type="dxa"/>
            <w:tcBorders>
              <w:top w:val="nil"/>
              <w:left w:val="nil"/>
              <w:bottom w:val="nil"/>
              <w:right w:val="nil"/>
            </w:tcBorders>
            <w:shd w:val="clear" w:color="auto" w:fill="auto"/>
            <w:noWrap/>
            <w:vAlign w:val="center"/>
          </w:tcPr>
          <w:p w14:paraId="51B72B0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0.57</w:t>
            </w:r>
          </w:p>
        </w:tc>
        <w:tc>
          <w:tcPr>
            <w:tcW w:w="992" w:type="dxa"/>
            <w:tcBorders>
              <w:top w:val="nil"/>
              <w:left w:val="nil"/>
              <w:bottom w:val="nil"/>
              <w:right w:val="nil"/>
            </w:tcBorders>
            <w:shd w:val="clear" w:color="auto" w:fill="auto"/>
            <w:noWrap/>
            <w:vAlign w:val="center"/>
          </w:tcPr>
          <w:p w14:paraId="7AFA2180"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0.07</w:t>
            </w:r>
          </w:p>
        </w:tc>
        <w:tc>
          <w:tcPr>
            <w:tcW w:w="992" w:type="dxa"/>
            <w:tcBorders>
              <w:top w:val="nil"/>
              <w:left w:val="nil"/>
              <w:bottom w:val="nil"/>
              <w:right w:val="nil"/>
            </w:tcBorders>
            <w:shd w:val="clear" w:color="auto" w:fill="auto"/>
            <w:noWrap/>
            <w:vAlign w:val="center"/>
          </w:tcPr>
          <w:p w14:paraId="68E41EAA"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4.80</w:t>
            </w:r>
          </w:p>
        </w:tc>
        <w:tc>
          <w:tcPr>
            <w:tcW w:w="851" w:type="dxa"/>
            <w:tcBorders>
              <w:top w:val="nil"/>
              <w:left w:val="nil"/>
              <w:bottom w:val="nil"/>
              <w:right w:val="single" w:sz="4" w:space="0" w:color="auto"/>
            </w:tcBorders>
            <w:shd w:val="clear" w:color="auto" w:fill="auto"/>
            <w:noWrap/>
            <w:vAlign w:val="center"/>
          </w:tcPr>
          <w:p w14:paraId="127940A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0.607</w:t>
            </w:r>
          </w:p>
        </w:tc>
      </w:tr>
      <w:tr w:rsidR="00C72B92" w:rsidRPr="00542749" w14:paraId="70DB49B8"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tcPr>
          <w:p w14:paraId="4A8A9CBA"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RT during ICI (Yes vs. No)</w:t>
            </w:r>
          </w:p>
        </w:tc>
        <w:tc>
          <w:tcPr>
            <w:tcW w:w="840" w:type="dxa"/>
            <w:tcBorders>
              <w:top w:val="nil"/>
              <w:left w:val="nil"/>
              <w:bottom w:val="nil"/>
              <w:right w:val="nil"/>
            </w:tcBorders>
            <w:shd w:val="clear" w:color="auto" w:fill="auto"/>
            <w:noWrap/>
            <w:vAlign w:val="center"/>
          </w:tcPr>
          <w:p w14:paraId="42AB56A6"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0.93</w:t>
            </w:r>
          </w:p>
        </w:tc>
        <w:tc>
          <w:tcPr>
            <w:tcW w:w="974" w:type="dxa"/>
            <w:tcBorders>
              <w:top w:val="nil"/>
              <w:left w:val="nil"/>
              <w:bottom w:val="nil"/>
              <w:right w:val="nil"/>
            </w:tcBorders>
            <w:shd w:val="clear" w:color="auto" w:fill="auto"/>
            <w:noWrap/>
            <w:vAlign w:val="center"/>
          </w:tcPr>
          <w:p w14:paraId="4227F84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0.34</w:t>
            </w:r>
          </w:p>
        </w:tc>
        <w:tc>
          <w:tcPr>
            <w:tcW w:w="1021" w:type="dxa"/>
            <w:tcBorders>
              <w:top w:val="nil"/>
              <w:left w:val="nil"/>
              <w:bottom w:val="nil"/>
              <w:right w:val="nil"/>
            </w:tcBorders>
            <w:shd w:val="clear" w:color="auto" w:fill="auto"/>
            <w:noWrap/>
            <w:vAlign w:val="center"/>
          </w:tcPr>
          <w:p w14:paraId="126D34D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2.54</w:t>
            </w:r>
          </w:p>
        </w:tc>
        <w:tc>
          <w:tcPr>
            <w:tcW w:w="850" w:type="dxa"/>
            <w:tcBorders>
              <w:top w:val="nil"/>
              <w:left w:val="nil"/>
              <w:bottom w:val="nil"/>
              <w:right w:val="single" w:sz="4" w:space="0" w:color="auto"/>
            </w:tcBorders>
            <w:shd w:val="clear" w:color="auto" w:fill="auto"/>
            <w:noWrap/>
            <w:vAlign w:val="center"/>
          </w:tcPr>
          <w:p w14:paraId="029186B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0.882</w:t>
            </w:r>
          </w:p>
        </w:tc>
        <w:tc>
          <w:tcPr>
            <w:tcW w:w="851" w:type="dxa"/>
            <w:tcBorders>
              <w:top w:val="nil"/>
              <w:left w:val="nil"/>
              <w:bottom w:val="nil"/>
              <w:right w:val="nil"/>
            </w:tcBorders>
            <w:shd w:val="clear" w:color="auto" w:fill="auto"/>
            <w:noWrap/>
            <w:vAlign w:val="center"/>
          </w:tcPr>
          <w:p w14:paraId="23E99CB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1.19</w:t>
            </w:r>
          </w:p>
        </w:tc>
        <w:tc>
          <w:tcPr>
            <w:tcW w:w="992" w:type="dxa"/>
            <w:tcBorders>
              <w:top w:val="nil"/>
              <w:left w:val="nil"/>
              <w:bottom w:val="nil"/>
              <w:right w:val="nil"/>
            </w:tcBorders>
            <w:shd w:val="clear" w:color="auto" w:fill="auto"/>
            <w:noWrap/>
            <w:vAlign w:val="center"/>
          </w:tcPr>
          <w:p w14:paraId="542E76A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0.45</w:t>
            </w:r>
          </w:p>
        </w:tc>
        <w:tc>
          <w:tcPr>
            <w:tcW w:w="992" w:type="dxa"/>
            <w:tcBorders>
              <w:top w:val="nil"/>
              <w:left w:val="nil"/>
              <w:bottom w:val="nil"/>
              <w:right w:val="nil"/>
            </w:tcBorders>
            <w:shd w:val="clear" w:color="auto" w:fill="auto"/>
            <w:noWrap/>
            <w:vAlign w:val="center"/>
          </w:tcPr>
          <w:p w14:paraId="158A781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3.14</w:t>
            </w:r>
          </w:p>
        </w:tc>
        <w:tc>
          <w:tcPr>
            <w:tcW w:w="851" w:type="dxa"/>
            <w:tcBorders>
              <w:top w:val="nil"/>
              <w:left w:val="nil"/>
              <w:bottom w:val="nil"/>
              <w:right w:val="single" w:sz="4" w:space="0" w:color="auto"/>
            </w:tcBorders>
            <w:shd w:val="clear" w:color="auto" w:fill="auto"/>
            <w:noWrap/>
            <w:vAlign w:val="center"/>
          </w:tcPr>
          <w:p w14:paraId="7C2D4C7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0.720</w:t>
            </w:r>
          </w:p>
        </w:tc>
      </w:tr>
      <w:tr w:rsidR="00C72B92" w:rsidRPr="00542749" w14:paraId="3D6FEB96"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tcPr>
          <w:p w14:paraId="27A8059E"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sATB within 30 days from ICI start (Yes vs. No)</w:t>
            </w:r>
          </w:p>
        </w:tc>
        <w:tc>
          <w:tcPr>
            <w:tcW w:w="840" w:type="dxa"/>
            <w:tcBorders>
              <w:top w:val="nil"/>
              <w:left w:val="nil"/>
              <w:bottom w:val="nil"/>
              <w:right w:val="nil"/>
            </w:tcBorders>
            <w:shd w:val="clear" w:color="auto" w:fill="auto"/>
            <w:noWrap/>
            <w:vAlign w:val="center"/>
          </w:tcPr>
          <w:p w14:paraId="73EC35EB"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0.76</w:t>
            </w:r>
          </w:p>
        </w:tc>
        <w:tc>
          <w:tcPr>
            <w:tcW w:w="974" w:type="dxa"/>
            <w:tcBorders>
              <w:top w:val="nil"/>
              <w:left w:val="nil"/>
              <w:bottom w:val="nil"/>
              <w:right w:val="nil"/>
            </w:tcBorders>
            <w:shd w:val="clear" w:color="auto" w:fill="auto"/>
            <w:noWrap/>
            <w:vAlign w:val="center"/>
          </w:tcPr>
          <w:p w14:paraId="47DD6910"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0.09</w:t>
            </w:r>
          </w:p>
        </w:tc>
        <w:tc>
          <w:tcPr>
            <w:tcW w:w="1021" w:type="dxa"/>
            <w:tcBorders>
              <w:top w:val="nil"/>
              <w:left w:val="nil"/>
              <w:bottom w:val="nil"/>
              <w:right w:val="nil"/>
            </w:tcBorders>
            <w:shd w:val="clear" w:color="auto" w:fill="auto"/>
            <w:noWrap/>
            <w:vAlign w:val="center"/>
          </w:tcPr>
          <w:p w14:paraId="14146BD9"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6.60</w:t>
            </w:r>
          </w:p>
        </w:tc>
        <w:tc>
          <w:tcPr>
            <w:tcW w:w="850" w:type="dxa"/>
            <w:tcBorders>
              <w:top w:val="nil"/>
              <w:left w:val="nil"/>
              <w:bottom w:val="nil"/>
              <w:right w:val="single" w:sz="4" w:space="0" w:color="auto"/>
            </w:tcBorders>
            <w:shd w:val="clear" w:color="auto" w:fill="auto"/>
            <w:noWrap/>
            <w:vAlign w:val="center"/>
          </w:tcPr>
          <w:p w14:paraId="6E7A1FE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0.803</w:t>
            </w:r>
          </w:p>
        </w:tc>
        <w:tc>
          <w:tcPr>
            <w:tcW w:w="851" w:type="dxa"/>
            <w:tcBorders>
              <w:top w:val="nil"/>
              <w:left w:val="nil"/>
              <w:bottom w:val="nil"/>
              <w:right w:val="nil"/>
            </w:tcBorders>
            <w:shd w:val="clear" w:color="auto" w:fill="auto"/>
            <w:noWrap/>
            <w:vAlign w:val="center"/>
          </w:tcPr>
          <w:p w14:paraId="5E27947F"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0.76</w:t>
            </w:r>
          </w:p>
        </w:tc>
        <w:tc>
          <w:tcPr>
            <w:tcW w:w="992" w:type="dxa"/>
            <w:tcBorders>
              <w:top w:val="nil"/>
              <w:left w:val="nil"/>
              <w:bottom w:val="nil"/>
              <w:right w:val="nil"/>
            </w:tcBorders>
            <w:shd w:val="clear" w:color="auto" w:fill="auto"/>
            <w:noWrap/>
            <w:vAlign w:val="center"/>
          </w:tcPr>
          <w:p w14:paraId="2F78BE67"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0.09</w:t>
            </w:r>
          </w:p>
        </w:tc>
        <w:tc>
          <w:tcPr>
            <w:tcW w:w="992" w:type="dxa"/>
            <w:tcBorders>
              <w:top w:val="nil"/>
              <w:left w:val="nil"/>
              <w:bottom w:val="nil"/>
              <w:right w:val="nil"/>
            </w:tcBorders>
            <w:shd w:val="clear" w:color="auto" w:fill="auto"/>
            <w:noWrap/>
            <w:vAlign w:val="center"/>
          </w:tcPr>
          <w:p w14:paraId="462D4F5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6.60</w:t>
            </w:r>
          </w:p>
        </w:tc>
        <w:tc>
          <w:tcPr>
            <w:tcW w:w="851" w:type="dxa"/>
            <w:tcBorders>
              <w:top w:val="nil"/>
              <w:left w:val="nil"/>
              <w:bottom w:val="nil"/>
              <w:right w:val="single" w:sz="4" w:space="0" w:color="auto"/>
            </w:tcBorders>
            <w:shd w:val="clear" w:color="auto" w:fill="auto"/>
            <w:noWrap/>
            <w:vAlign w:val="center"/>
          </w:tcPr>
          <w:p w14:paraId="5349488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0.803</w:t>
            </w:r>
          </w:p>
        </w:tc>
      </w:tr>
      <w:tr w:rsidR="00C72B92" w:rsidRPr="00542749" w14:paraId="174CF7C3"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tcPr>
          <w:p w14:paraId="09ADA818"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sATB during ICI (Yes vs. No)</w:t>
            </w:r>
          </w:p>
        </w:tc>
        <w:tc>
          <w:tcPr>
            <w:tcW w:w="840" w:type="dxa"/>
            <w:tcBorders>
              <w:top w:val="nil"/>
              <w:left w:val="nil"/>
              <w:bottom w:val="nil"/>
              <w:right w:val="nil"/>
            </w:tcBorders>
            <w:shd w:val="clear" w:color="auto" w:fill="auto"/>
            <w:noWrap/>
            <w:vAlign w:val="center"/>
          </w:tcPr>
          <w:p w14:paraId="661668F3"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2.15</w:t>
            </w:r>
          </w:p>
        </w:tc>
        <w:tc>
          <w:tcPr>
            <w:tcW w:w="974" w:type="dxa"/>
            <w:tcBorders>
              <w:top w:val="nil"/>
              <w:left w:val="nil"/>
              <w:bottom w:val="nil"/>
              <w:right w:val="nil"/>
            </w:tcBorders>
            <w:shd w:val="clear" w:color="auto" w:fill="auto"/>
            <w:noWrap/>
            <w:vAlign w:val="center"/>
          </w:tcPr>
          <w:p w14:paraId="04C5100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0.89</w:t>
            </w:r>
          </w:p>
        </w:tc>
        <w:tc>
          <w:tcPr>
            <w:tcW w:w="1021" w:type="dxa"/>
            <w:tcBorders>
              <w:top w:val="nil"/>
              <w:left w:val="nil"/>
              <w:bottom w:val="nil"/>
              <w:right w:val="nil"/>
            </w:tcBorders>
            <w:shd w:val="clear" w:color="auto" w:fill="auto"/>
            <w:noWrap/>
            <w:vAlign w:val="center"/>
          </w:tcPr>
          <w:p w14:paraId="170425D9"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5.19</w:t>
            </w:r>
          </w:p>
        </w:tc>
        <w:tc>
          <w:tcPr>
            <w:tcW w:w="850" w:type="dxa"/>
            <w:tcBorders>
              <w:top w:val="nil"/>
              <w:left w:val="nil"/>
              <w:bottom w:val="nil"/>
              <w:right w:val="single" w:sz="4" w:space="0" w:color="auto"/>
            </w:tcBorders>
            <w:shd w:val="clear" w:color="auto" w:fill="auto"/>
            <w:noWrap/>
            <w:vAlign w:val="center"/>
          </w:tcPr>
          <w:p w14:paraId="152CB8BF"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0.089</w:t>
            </w:r>
          </w:p>
        </w:tc>
        <w:tc>
          <w:tcPr>
            <w:tcW w:w="851" w:type="dxa"/>
            <w:tcBorders>
              <w:top w:val="nil"/>
              <w:left w:val="nil"/>
              <w:bottom w:val="nil"/>
              <w:right w:val="nil"/>
            </w:tcBorders>
            <w:shd w:val="clear" w:color="auto" w:fill="auto"/>
            <w:noWrap/>
            <w:vAlign w:val="center"/>
          </w:tcPr>
          <w:p w14:paraId="6FB832BA"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4.83</w:t>
            </w:r>
          </w:p>
        </w:tc>
        <w:tc>
          <w:tcPr>
            <w:tcW w:w="992" w:type="dxa"/>
            <w:tcBorders>
              <w:top w:val="nil"/>
              <w:left w:val="nil"/>
              <w:bottom w:val="nil"/>
              <w:right w:val="nil"/>
            </w:tcBorders>
            <w:shd w:val="clear" w:color="auto" w:fill="auto"/>
            <w:noWrap/>
            <w:vAlign w:val="center"/>
          </w:tcPr>
          <w:p w14:paraId="087F0462"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1.98</w:t>
            </w:r>
          </w:p>
        </w:tc>
        <w:tc>
          <w:tcPr>
            <w:tcW w:w="992" w:type="dxa"/>
            <w:tcBorders>
              <w:top w:val="nil"/>
              <w:left w:val="nil"/>
              <w:bottom w:val="nil"/>
              <w:right w:val="nil"/>
            </w:tcBorders>
            <w:shd w:val="clear" w:color="auto" w:fill="auto"/>
            <w:noWrap/>
            <w:vAlign w:val="center"/>
          </w:tcPr>
          <w:p w14:paraId="0BD7CBFE"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11.77</w:t>
            </w:r>
          </w:p>
        </w:tc>
        <w:tc>
          <w:tcPr>
            <w:tcW w:w="851" w:type="dxa"/>
            <w:tcBorders>
              <w:top w:val="nil"/>
              <w:left w:val="nil"/>
              <w:bottom w:val="nil"/>
              <w:right w:val="single" w:sz="4" w:space="0" w:color="auto"/>
            </w:tcBorders>
            <w:shd w:val="clear" w:color="auto" w:fill="auto"/>
            <w:noWrap/>
            <w:vAlign w:val="center"/>
          </w:tcPr>
          <w:p w14:paraId="70B97F13" w14:textId="77777777" w:rsidR="00C72B92" w:rsidRPr="00542749" w:rsidRDefault="00C72B92" w:rsidP="00622BAC">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0.001</w:t>
            </w:r>
          </w:p>
        </w:tc>
      </w:tr>
      <w:tr w:rsidR="00C72B92" w:rsidRPr="00542749" w14:paraId="3DC5F508"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tcPr>
          <w:p w14:paraId="7EC9B10E"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Corticosteroids within 30 days from ICI start (Yes vs. No)</w:t>
            </w:r>
          </w:p>
        </w:tc>
        <w:tc>
          <w:tcPr>
            <w:tcW w:w="840" w:type="dxa"/>
            <w:tcBorders>
              <w:top w:val="nil"/>
              <w:left w:val="nil"/>
              <w:bottom w:val="nil"/>
              <w:right w:val="nil"/>
            </w:tcBorders>
            <w:shd w:val="clear" w:color="auto" w:fill="auto"/>
            <w:noWrap/>
            <w:vAlign w:val="center"/>
          </w:tcPr>
          <w:p w14:paraId="1A9A4F4A"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0.73</w:t>
            </w:r>
          </w:p>
        </w:tc>
        <w:tc>
          <w:tcPr>
            <w:tcW w:w="974" w:type="dxa"/>
            <w:tcBorders>
              <w:top w:val="nil"/>
              <w:left w:val="nil"/>
              <w:bottom w:val="nil"/>
              <w:right w:val="nil"/>
            </w:tcBorders>
            <w:shd w:val="clear" w:color="auto" w:fill="auto"/>
            <w:noWrap/>
            <w:vAlign w:val="center"/>
          </w:tcPr>
          <w:p w14:paraId="2CE07E42"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0.20</w:t>
            </w:r>
          </w:p>
        </w:tc>
        <w:tc>
          <w:tcPr>
            <w:tcW w:w="1021" w:type="dxa"/>
            <w:tcBorders>
              <w:top w:val="nil"/>
              <w:left w:val="nil"/>
              <w:bottom w:val="nil"/>
              <w:right w:val="nil"/>
            </w:tcBorders>
            <w:shd w:val="clear" w:color="auto" w:fill="auto"/>
            <w:noWrap/>
            <w:vAlign w:val="center"/>
          </w:tcPr>
          <w:p w14:paraId="3B58828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2.66</w:t>
            </w:r>
          </w:p>
        </w:tc>
        <w:tc>
          <w:tcPr>
            <w:tcW w:w="850" w:type="dxa"/>
            <w:tcBorders>
              <w:top w:val="nil"/>
              <w:left w:val="nil"/>
              <w:bottom w:val="nil"/>
              <w:right w:val="single" w:sz="4" w:space="0" w:color="auto"/>
            </w:tcBorders>
            <w:shd w:val="clear" w:color="auto" w:fill="auto"/>
            <w:noWrap/>
            <w:vAlign w:val="center"/>
          </w:tcPr>
          <w:p w14:paraId="4D94DCC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0.628</w:t>
            </w:r>
          </w:p>
        </w:tc>
        <w:tc>
          <w:tcPr>
            <w:tcW w:w="851" w:type="dxa"/>
            <w:tcBorders>
              <w:top w:val="nil"/>
              <w:left w:val="nil"/>
              <w:bottom w:val="nil"/>
              <w:right w:val="nil"/>
            </w:tcBorders>
            <w:shd w:val="clear" w:color="auto" w:fill="auto"/>
            <w:noWrap/>
            <w:vAlign w:val="center"/>
          </w:tcPr>
          <w:p w14:paraId="62E750D4"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0.69</w:t>
            </w:r>
          </w:p>
        </w:tc>
        <w:tc>
          <w:tcPr>
            <w:tcW w:w="992" w:type="dxa"/>
            <w:tcBorders>
              <w:top w:val="nil"/>
              <w:left w:val="nil"/>
              <w:bottom w:val="nil"/>
              <w:right w:val="nil"/>
            </w:tcBorders>
            <w:shd w:val="clear" w:color="auto" w:fill="auto"/>
            <w:noWrap/>
            <w:vAlign w:val="center"/>
          </w:tcPr>
          <w:p w14:paraId="5F14C33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0.19</w:t>
            </w:r>
          </w:p>
        </w:tc>
        <w:tc>
          <w:tcPr>
            <w:tcW w:w="992" w:type="dxa"/>
            <w:tcBorders>
              <w:top w:val="nil"/>
              <w:left w:val="nil"/>
              <w:bottom w:val="nil"/>
              <w:right w:val="nil"/>
            </w:tcBorders>
            <w:shd w:val="clear" w:color="auto" w:fill="auto"/>
            <w:noWrap/>
            <w:vAlign w:val="center"/>
          </w:tcPr>
          <w:p w14:paraId="3A92B60E"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2.52</w:t>
            </w:r>
          </w:p>
        </w:tc>
        <w:tc>
          <w:tcPr>
            <w:tcW w:w="851" w:type="dxa"/>
            <w:tcBorders>
              <w:top w:val="nil"/>
              <w:left w:val="nil"/>
              <w:bottom w:val="nil"/>
              <w:right w:val="single" w:sz="4" w:space="0" w:color="auto"/>
            </w:tcBorders>
            <w:shd w:val="clear" w:color="auto" w:fill="auto"/>
            <w:noWrap/>
            <w:vAlign w:val="center"/>
          </w:tcPr>
          <w:p w14:paraId="295F081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0.570</w:t>
            </w:r>
          </w:p>
        </w:tc>
      </w:tr>
      <w:tr w:rsidR="00C72B92" w:rsidRPr="00542749" w14:paraId="0D482B2C" w14:textId="77777777" w:rsidTr="00622BAC">
        <w:trPr>
          <w:trHeight w:val="503"/>
        </w:trPr>
        <w:tc>
          <w:tcPr>
            <w:tcW w:w="3261" w:type="dxa"/>
            <w:tcBorders>
              <w:top w:val="nil"/>
              <w:left w:val="single" w:sz="4" w:space="0" w:color="auto"/>
              <w:bottom w:val="nil"/>
              <w:right w:val="single" w:sz="4" w:space="0" w:color="auto"/>
            </w:tcBorders>
            <w:shd w:val="clear" w:color="auto" w:fill="auto"/>
            <w:noWrap/>
            <w:vAlign w:val="center"/>
          </w:tcPr>
          <w:p w14:paraId="6E5600DB"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val="en-US" w:eastAsia="it-IT"/>
              </w:rPr>
              <w:t>Corticosteroids during ICI (Yes vs. No)</w:t>
            </w:r>
          </w:p>
        </w:tc>
        <w:tc>
          <w:tcPr>
            <w:tcW w:w="840" w:type="dxa"/>
            <w:tcBorders>
              <w:top w:val="nil"/>
              <w:left w:val="nil"/>
              <w:bottom w:val="nil"/>
              <w:right w:val="nil"/>
            </w:tcBorders>
            <w:shd w:val="clear" w:color="auto" w:fill="auto"/>
            <w:noWrap/>
            <w:vAlign w:val="center"/>
          </w:tcPr>
          <w:p w14:paraId="746BC04D" w14:textId="77777777"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2.42</w:t>
            </w:r>
          </w:p>
        </w:tc>
        <w:tc>
          <w:tcPr>
            <w:tcW w:w="974" w:type="dxa"/>
            <w:tcBorders>
              <w:top w:val="nil"/>
              <w:left w:val="nil"/>
              <w:bottom w:val="nil"/>
              <w:right w:val="nil"/>
            </w:tcBorders>
            <w:shd w:val="clear" w:color="auto" w:fill="auto"/>
            <w:noWrap/>
            <w:vAlign w:val="center"/>
          </w:tcPr>
          <w:p w14:paraId="64BD35CB"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1.03</w:t>
            </w:r>
          </w:p>
        </w:tc>
        <w:tc>
          <w:tcPr>
            <w:tcW w:w="1021" w:type="dxa"/>
            <w:tcBorders>
              <w:top w:val="nil"/>
              <w:left w:val="nil"/>
              <w:bottom w:val="nil"/>
              <w:right w:val="nil"/>
            </w:tcBorders>
            <w:shd w:val="clear" w:color="auto" w:fill="auto"/>
            <w:noWrap/>
            <w:vAlign w:val="center"/>
          </w:tcPr>
          <w:p w14:paraId="49C5954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5.73</w:t>
            </w:r>
          </w:p>
        </w:tc>
        <w:tc>
          <w:tcPr>
            <w:tcW w:w="850" w:type="dxa"/>
            <w:tcBorders>
              <w:top w:val="nil"/>
              <w:left w:val="nil"/>
              <w:bottom w:val="nil"/>
              <w:right w:val="single" w:sz="4" w:space="0" w:color="auto"/>
            </w:tcBorders>
            <w:shd w:val="clear" w:color="auto" w:fill="auto"/>
            <w:noWrap/>
            <w:vAlign w:val="center"/>
          </w:tcPr>
          <w:p w14:paraId="3BFC60D1" w14:textId="77777777" w:rsidR="00C72B92" w:rsidRPr="00542749" w:rsidRDefault="00C72B92" w:rsidP="00622BAC">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0.044</w:t>
            </w:r>
          </w:p>
        </w:tc>
        <w:tc>
          <w:tcPr>
            <w:tcW w:w="851" w:type="dxa"/>
            <w:tcBorders>
              <w:top w:val="nil"/>
              <w:left w:val="nil"/>
              <w:bottom w:val="nil"/>
              <w:right w:val="nil"/>
            </w:tcBorders>
            <w:shd w:val="clear" w:color="auto" w:fill="auto"/>
            <w:noWrap/>
            <w:vAlign w:val="center"/>
          </w:tcPr>
          <w:p w14:paraId="5C1B0937"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2.94</w:t>
            </w:r>
          </w:p>
        </w:tc>
        <w:tc>
          <w:tcPr>
            <w:tcW w:w="992" w:type="dxa"/>
            <w:tcBorders>
              <w:top w:val="nil"/>
              <w:left w:val="nil"/>
              <w:bottom w:val="nil"/>
              <w:right w:val="nil"/>
            </w:tcBorders>
            <w:shd w:val="clear" w:color="auto" w:fill="auto"/>
            <w:noWrap/>
            <w:vAlign w:val="center"/>
          </w:tcPr>
          <w:p w14:paraId="143D744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1.24</w:t>
            </w:r>
          </w:p>
        </w:tc>
        <w:tc>
          <w:tcPr>
            <w:tcW w:w="992" w:type="dxa"/>
            <w:tcBorders>
              <w:top w:val="nil"/>
              <w:left w:val="nil"/>
              <w:bottom w:val="nil"/>
              <w:right w:val="nil"/>
            </w:tcBorders>
            <w:shd w:val="clear" w:color="auto" w:fill="auto"/>
            <w:noWrap/>
            <w:vAlign w:val="center"/>
          </w:tcPr>
          <w:p w14:paraId="14A26D7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7.01</w:t>
            </w:r>
          </w:p>
        </w:tc>
        <w:tc>
          <w:tcPr>
            <w:tcW w:w="851" w:type="dxa"/>
            <w:tcBorders>
              <w:top w:val="nil"/>
              <w:left w:val="nil"/>
              <w:bottom w:val="nil"/>
              <w:right w:val="single" w:sz="4" w:space="0" w:color="auto"/>
            </w:tcBorders>
            <w:shd w:val="clear" w:color="auto" w:fill="auto"/>
            <w:noWrap/>
            <w:vAlign w:val="center"/>
          </w:tcPr>
          <w:p w14:paraId="364EEF89" w14:textId="77777777" w:rsidR="00C72B92" w:rsidRPr="00542749" w:rsidRDefault="00C72B92" w:rsidP="00622BAC">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0.015</w:t>
            </w:r>
          </w:p>
        </w:tc>
      </w:tr>
      <w:tr w:rsidR="00C72B92" w:rsidRPr="00542749" w14:paraId="51D77440"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24ACE6A4"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TILs % (continous)</w:t>
            </w:r>
          </w:p>
        </w:tc>
        <w:tc>
          <w:tcPr>
            <w:tcW w:w="840" w:type="dxa"/>
            <w:tcBorders>
              <w:top w:val="nil"/>
              <w:left w:val="nil"/>
              <w:bottom w:val="nil"/>
              <w:right w:val="nil"/>
            </w:tcBorders>
            <w:shd w:val="clear" w:color="auto" w:fill="auto"/>
            <w:noWrap/>
            <w:vAlign w:val="center"/>
            <w:hideMark/>
          </w:tcPr>
          <w:p w14:paraId="1818E923"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974" w:type="dxa"/>
            <w:tcBorders>
              <w:top w:val="nil"/>
              <w:left w:val="nil"/>
              <w:bottom w:val="nil"/>
              <w:right w:val="nil"/>
            </w:tcBorders>
            <w:shd w:val="clear" w:color="auto" w:fill="auto"/>
            <w:noWrap/>
            <w:vAlign w:val="center"/>
            <w:hideMark/>
          </w:tcPr>
          <w:p w14:paraId="0EB4A91A"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0.95</w:t>
            </w:r>
          </w:p>
        </w:tc>
        <w:tc>
          <w:tcPr>
            <w:tcW w:w="1021" w:type="dxa"/>
            <w:tcBorders>
              <w:top w:val="nil"/>
              <w:left w:val="nil"/>
              <w:bottom w:val="nil"/>
              <w:right w:val="nil"/>
            </w:tcBorders>
            <w:shd w:val="clear" w:color="auto" w:fill="auto"/>
            <w:noWrap/>
            <w:vAlign w:val="center"/>
            <w:hideMark/>
          </w:tcPr>
          <w:p w14:paraId="43C80590"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1.07</w:t>
            </w:r>
          </w:p>
        </w:tc>
        <w:tc>
          <w:tcPr>
            <w:tcW w:w="850" w:type="dxa"/>
            <w:tcBorders>
              <w:top w:val="nil"/>
              <w:left w:val="nil"/>
              <w:bottom w:val="nil"/>
              <w:right w:val="single" w:sz="4" w:space="0" w:color="auto"/>
            </w:tcBorders>
            <w:shd w:val="clear" w:color="auto" w:fill="auto"/>
            <w:noWrap/>
            <w:vAlign w:val="center"/>
            <w:hideMark/>
          </w:tcPr>
          <w:p w14:paraId="6B8A4B36"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0.788</w:t>
            </w:r>
          </w:p>
        </w:tc>
        <w:tc>
          <w:tcPr>
            <w:tcW w:w="851" w:type="dxa"/>
            <w:tcBorders>
              <w:top w:val="nil"/>
              <w:left w:val="nil"/>
              <w:bottom w:val="nil"/>
              <w:right w:val="nil"/>
            </w:tcBorders>
            <w:shd w:val="clear" w:color="auto" w:fill="auto"/>
            <w:noWrap/>
            <w:vAlign w:val="center"/>
            <w:hideMark/>
          </w:tcPr>
          <w:p w14:paraId="33745805"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1.01</w:t>
            </w:r>
          </w:p>
        </w:tc>
        <w:tc>
          <w:tcPr>
            <w:tcW w:w="992" w:type="dxa"/>
            <w:tcBorders>
              <w:top w:val="nil"/>
              <w:left w:val="nil"/>
              <w:bottom w:val="nil"/>
              <w:right w:val="nil"/>
            </w:tcBorders>
            <w:shd w:val="clear" w:color="auto" w:fill="auto"/>
            <w:noWrap/>
            <w:vAlign w:val="center"/>
            <w:hideMark/>
          </w:tcPr>
          <w:p w14:paraId="116185F8"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0.9</w:t>
            </w:r>
            <w:r w:rsidRPr="00542749">
              <w:rPr>
                <w:rFonts w:ascii="Times New Roman" w:eastAsia="Times New Roman" w:hAnsi="Times New Roman" w:cs="Times New Roman"/>
                <w:color w:val="000000"/>
                <w:sz w:val="20"/>
                <w:szCs w:val="20"/>
                <w:lang w:val="it-IT" w:eastAsia="it-IT"/>
              </w:rPr>
              <w:t>5</w:t>
            </w:r>
          </w:p>
        </w:tc>
        <w:tc>
          <w:tcPr>
            <w:tcW w:w="992" w:type="dxa"/>
            <w:tcBorders>
              <w:top w:val="nil"/>
              <w:left w:val="nil"/>
              <w:bottom w:val="nil"/>
              <w:right w:val="nil"/>
            </w:tcBorders>
            <w:shd w:val="clear" w:color="auto" w:fill="auto"/>
            <w:noWrap/>
            <w:vAlign w:val="center"/>
            <w:hideMark/>
          </w:tcPr>
          <w:p w14:paraId="655D3FE0"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7</w:t>
            </w:r>
          </w:p>
        </w:tc>
        <w:tc>
          <w:tcPr>
            <w:tcW w:w="851" w:type="dxa"/>
            <w:tcBorders>
              <w:top w:val="nil"/>
              <w:left w:val="nil"/>
              <w:bottom w:val="nil"/>
              <w:right w:val="single" w:sz="4" w:space="0" w:color="auto"/>
            </w:tcBorders>
            <w:shd w:val="clear" w:color="auto" w:fill="auto"/>
            <w:noWrap/>
            <w:vAlign w:val="center"/>
            <w:hideMark/>
          </w:tcPr>
          <w:p w14:paraId="45686AD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0.870</w:t>
            </w:r>
          </w:p>
        </w:tc>
      </w:tr>
      <w:tr w:rsidR="00C72B92" w:rsidRPr="00542749" w14:paraId="1F559D80" w14:textId="77777777" w:rsidTr="00622BAC">
        <w:trPr>
          <w:trHeight w:val="280"/>
        </w:trPr>
        <w:tc>
          <w:tcPr>
            <w:tcW w:w="3261" w:type="dxa"/>
            <w:tcBorders>
              <w:top w:val="nil"/>
              <w:left w:val="single" w:sz="4" w:space="0" w:color="auto"/>
              <w:bottom w:val="nil"/>
              <w:right w:val="single" w:sz="4" w:space="0" w:color="auto"/>
            </w:tcBorders>
            <w:shd w:val="clear" w:color="auto" w:fill="auto"/>
            <w:noWrap/>
            <w:vAlign w:val="center"/>
            <w:hideMark/>
          </w:tcPr>
          <w:p w14:paraId="5193934A"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PD-L1 % (continuous)</w:t>
            </w:r>
          </w:p>
        </w:tc>
        <w:tc>
          <w:tcPr>
            <w:tcW w:w="840" w:type="dxa"/>
            <w:tcBorders>
              <w:top w:val="nil"/>
              <w:left w:val="nil"/>
              <w:bottom w:val="nil"/>
              <w:right w:val="nil"/>
            </w:tcBorders>
            <w:shd w:val="clear" w:color="auto" w:fill="auto"/>
            <w:noWrap/>
            <w:vAlign w:val="center"/>
            <w:hideMark/>
          </w:tcPr>
          <w:p w14:paraId="25866822"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1.03</w:t>
            </w:r>
          </w:p>
        </w:tc>
        <w:tc>
          <w:tcPr>
            <w:tcW w:w="974" w:type="dxa"/>
            <w:tcBorders>
              <w:top w:val="nil"/>
              <w:left w:val="nil"/>
              <w:bottom w:val="nil"/>
              <w:right w:val="nil"/>
            </w:tcBorders>
            <w:shd w:val="clear" w:color="auto" w:fill="auto"/>
            <w:noWrap/>
            <w:vAlign w:val="center"/>
            <w:hideMark/>
          </w:tcPr>
          <w:p w14:paraId="3055A98F"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1.01</w:t>
            </w:r>
          </w:p>
        </w:tc>
        <w:tc>
          <w:tcPr>
            <w:tcW w:w="1021" w:type="dxa"/>
            <w:tcBorders>
              <w:top w:val="nil"/>
              <w:left w:val="nil"/>
              <w:bottom w:val="nil"/>
              <w:right w:val="nil"/>
            </w:tcBorders>
            <w:shd w:val="clear" w:color="auto" w:fill="auto"/>
            <w:noWrap/>
            <w:vAlign w:val="center"/>
            <w:hideMark/>
          </w:tcPr>
          <w:p w14:paraId="6156982E"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1.05</w:t>
            </w:r>
          </w:p>
        </w:tc>
        <w:tc>
          <w:tcPr>
            <w:tcW w:w="850" w:type="dxa"/>
            <w:tcBorders>
              <w:top w:val="nil"/>
              <w:left w:val="nil"/>
              <w:bottom w:val="nil"/>
              <w:right w:val="single" w:sz="4" w:space="0" w:color="auto"/>
            </w:tcBorders>
            <w:shd w:val="clear" w:color="auto" w:fill="auto"/>
            <w:noWrap/>
            <w:vAlign w:val="center"/>
            <w:hideMark/>
          </w:tcPr>
          <w:p w14:paraId="5219169E" w14:textId="77777777" w:rsidR="00C72B92" w:rsidRPr="00542749" w:rsidRDefault="00C72B92" w:rsidP="00622BAC">
            <w:pPr>
              <w:jc w:val="center"/>
              <w:rPr>
                <w:rFonts w:ascii="Times New Roman" w:eastAsia="Times New Roman" w:hAnsi="Times New Roman" w:cs="Times New Roman"/>
                <w:b/>
                <w:bCs/>
                <w:i/>
                <w:iCs/>
                <w:color w:val="000000"/>
                <w:sz w:val="20"/>
                <w:szCs w:val="20"/>
                <w:lang w:eastAsia="it-IT"/>
              </w:rPr>
            </w:pPr>
            <w:r w:rsidRPr="00542749">
              <w:rPr>
                <w:rFonts w:ascii="Times New Roman" w:eastAsia="Times New Roman" w:hAnsi="Times New Roman" w:cs="Times New Roman"/>
                <w:b/>
                <w:bCs/>
                <w:i/>
                <w:iCs/>
                <w:color w:val="000000"/>
                <w:sz w:val="20"/>
                <w:szCs w:val="20"/>
                <w:lang w:eastAsia="it-IT"/>
              </w:rPr>
              <w:t>0.007</w:t>
            </w:r>
          </w:p>
        </w:tc>
        <w:tc>
          <w:tcPr>
            <w:tcW w:w="851" w:type="dxa"/>
            <w:tcBorders>
              <w:top w:val="nil"/>
              <w:left w:val="nil"/>
              <w:bottom w:val="nil"/>
              <w:right w:val="nil"/>
            </w:tcBorders>
            <w:shd w:val="clear" w:color="auto" w:fill="auto"/>
            <w:noWrap/>
            <w:vAlign w:val="center"/>
            <w:hideMark/>
          </w:tcPr>
          <w:p w14:paraId="2785998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3</w:t>
            </w:r>
          </w:p>
        </w:tc>
        <w:tc>
          <w:tcPr>
            <w:tcW w:w="992" w:type="dxa"/>
            <w:tcBorders>
              <w:top w:val="nil"/>
              <w:left w:val="nil"/>
              <w:bottom w:val="nil"/>
              <w:right w:val="nil"/>
            </w:tcBorders>
            <w:shd w:val="clear" w:color="auto" w:fill="auto"/>
            <w:noWrap/>
            <w:vAlign w:val="center"/>
            <w:hideMark/>
          </w:tcPr>
          <w:p w14:paraId="4B6043C9"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0</w:t>
            </w:r>
          </w:p>
        </w:tc>
        <w:tc>
          <w:tcPr>
            <w:tcW w:w="992" w:type="dxa"/>
            <w:tcBorders>
              <w:top w:val="nil"/>
              <w:left w:val="nil"/>
              <w:bottom w:val="nil"/>
              <w:right w:val="nil"/>
            </w:tcBorders>
            <w:shd w:val="clear" w:color="auto" w:fill="auto"/>
            <w:noWrap/>
            <w:vAlign w:val="center"/>
            <w:hideMark/>
          </w:tcPr>
          <w:p w14:paraId="47154B23"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1.0</w:t>
            </w:r>
            <w:r w:rsidRPr="00542749">
              <w:rPr>
                <w:rFonts w:ascii="Times New Roman" w:eastAsia="Times New Roman" w:hAnsi="Times New Roman" w:cs="Times New Roman"/>
                <w:color w:val="000000"/>
                <w:sz w:val="20"/>
                <w:szCs w:val="20"/>
                <w:lang w:val="it-IT" w:eastAsia="it-IT"/>
              </w:rPr>
              <w:t>5</w:t>
            </w:r>
          </w:p>
        </w:tc>
        <w:tc>
          <w:tcPr>
            <w:tcW w:w="851" w:type="dxa"/>
            <w:tcBorders>
              <w:top w:val="nil"/>
              <w:left w:val="nil"/>
              <w:bottom w:val="nil"/>
              <w:right w:val="single" w:sz="4" w:space="0" w:color="auto"/>
            </w:tcBorders>
            <w:shd w:val="clear" w:color="auto" w:fill="auto"/>
            <w:noWrap/>
            <w:vAlign w:val="center"/>
            <w:hideMark/>
          </w:tcPr>
          <w:p w14:paraId="16F064BE" w14:textId="77777777" w:rsidR="00C72B92" w:rsidRPr="00542749" w:rsidRDefault="00C72B92" w:rsidP="00622BAC">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0.028</w:t>
            </w:r>
          </w:p>
        </w:tc>
      </w:tr>
      <w:tr w:rsidR="00C72B92" w:rsidRPr="00542749" w14:paraId="783B3448" w14:textId="77777777" w:rsidTr="00622BAC">
        <w:trPr>
          <w:trHeight w:val="145"/>
        </w:trPr>
        <w:tc>
          <w:tcPr>
            <w:tcW w:w="3261" w:type="dxa"/>
            <w:tcBorders>
              <w:top w:val="nil"/>
              <w:left w:val="single" w:sz="4" w:space="0" w:color="auto"/>
              <w:bottom w:val="nil"/>
              <w:right w:val="single" w:sz="4" w:space="0" w:color="auto"/>
            </w:tcBorders>
            <w:shd w:val="clear" w:color="auto" w:fill="auto"/>
            <w:noWrap/>
            <w:vAlign w:val="center"/>
          </w:tcPr>
          <w:p w14:paraId="3287EE20" w14:textId="5143FE20" w:rsidR="00C72B92" w:rsidRPr="00542749" w:rsidRDefault="00C72B92" w:rsidP="00622BAC">
            <w:pPr>
              <w:rPr>
                <w:rFonts w:ascii="Times New Roman" w:hAnsi="Times New Roman" w:cs="Times New Roman"/>
                <w:sz w:val="20"/>
                <w:szCs w:val="20"/>
              </w:rPr>
            </w:pPr>
            <w:r w:rsidRPr="00542749">
              <w:rPr>
                <w:rFonts w:ascii="Times New Roman" w:hAnsi="Times New Roman" w:cs="Times New Roman"/>
                <w:sz w:val="20"/>
                <w:szCs w:val="20"/>
              </w:rPr>
              <w:t>PD-L1 % (</w:t>
            </w:r>
            <w:r w:rsidR="00367A12" w:rsidRPr="00542749">
              <w:rPr>
                <w:rFonts w:ascii="Times New Roman" w:hAnsi="Times New Roman" w:cs="Times New Roman"/>
                <w:sz w:val="20"/>
                <w:szCs w:val="20"/>
              </w:rPr>
              <w:t>&gt;1</w:t>
            </w:r>
            <w:r w:rsidRPr="00542749">
              <w:rPr>
                <w:rFonts w:ascii="Times New Roman" w:hAnsi="Times New Roman" w:cs="Times New Roman"/>
                <w:sz w:val="20"/>
                <w:szCs w:val="20"/>
              </w:rPr>
              <w:t xml:space="preserve">0% vs. </w:t>
            </w:r>
            <w:r w:rsidR="00367A12" w:rsidRPr="00542749">
              <w:rPr>
                <w:rFonts w:ascii="Times New Roman" w:hAnsi="Times New Roman" w:cs="Times New Roman"/>
                <w:sz w:val="20"/>
                <w:szCs w:val="20"/>
              </w:rPr>
              <w:t>≤</w:t>
            </w:r>
            <w:r w:rsidRPr="00542749">
              <w:rPr>
                <w:rFonts w:ascii="Times New Roman" w:hAnsi="Times New Roman" w:cs="Times New Roman"/>
                <w:sz w:val="20"/>
                <w:szCs w:val="20"/>
              </w:rPr>
              <w:t>10%)</w:t>
            </w:r>
          </w:p>
        </w:tc>
        <w:tc>
          <w:tcPr>
            <w:tcW w:w="840" w:type="dxa"/>
            <w:tcBorders>
              <w:top w:val="nil"/>
              <w:left w:val="nil"/>
              <w:bottom w:val="nil"/>
              <w:right w:val="nil"/>
            </w:tcBorders>
            <w:shd w:val="clear" w:color="auto" w:fill="auto"/>
            <w:noWrap/>
            <w:vAlign w:val="center"/>
          </w:tcPr>
          <w:p w14:paraId="23C70510" w14:textId="3878E612" w:rsidR="00C72B92" w:rsidRPr="00542749" w:rsidRDefault="00367A1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16.92</w:t>
            </w:r>
          </w:p>
        </w:tc>
        <w:tc>
          <w:tcPr>
            <w:tcW w:w="974" w:type="dxa"/>
            <w:tcBorders>
              <w:top w:val="nil"/>
              <w:left w:val="nil"/>
              <w:bottom w:val="nil"/>
              <w:right w:val="nil"/>
            </w:tcBorders>
            <w:shd w:val="clear" w:color="auto" w:fill="auto"/>
            <w:noWrap/>
            <w:vAlign w:val="center"/>
          </w:tcPr>
          <w:p w14:paraId="2519FC93" w14:textId="111F0F38" w:rsidR="00C72B92" w:rsidRPr="00542749" w:rsidRDefault="00C72B9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w:t>
            </w:r>
            <w:r w:rsidR="00367A12" w:rsidRPr="00542749">
              <w:rPr>
                <w:rFonts w:ascii="Times New Roman" w:eastAsia="Times New Roman" w:hAnsi="Times New Roman" w:cs="Times New Roman"/>
                <w:color w:val="000000"/>
                <w:sz w:val="20"/>
                <w:szCs w:val="20"/>
                <w:lang w:val="it-IT" w:eastAsia="it-IT"/>
              </w:rPr>
              <w:t>9</w:t>
            </w:r>
            <w:r w:rsidRPr="00542749">
              <w:rPr>
                <w:rFonts w:ascii="Times New Roman" w:eastAsia="Times New Roman" w:hAnsi="Times New Roman" w:cs="Times New Roman"/>
                <w:color w:val="000000"/>
                <w:sz w:val="20"/>
                <w:szCs w:val="20"/>
                <w:lang w:val="it-IT" w:eastAsia="it-IT"/>
              </w:rPr>
              <w:t>4</w:t>
            </w:r>
          </w:p>
        </w:tc>
        <w:tc>
          <w:tcPr>
            <w:tcW w:w="1021" w:type="dxa"/>
            <w:tcBorders>
              <w:top w:val="nil"/>
              <w:left w:val="nil"/>
              <w:bottom w:val="nil"/>
              <w:right w:val="nil"/>
            </w:tcBorders>
            <w:shd w:val="clear" w:color="auto" w:fill="auto"/>
            <w:noWrap/>
            <w:vAlign w:val="center"/>
          </w:tcPr>
          <w:p w14:paraId="70FB4AFF" w14:textId="6F97802D" w:rsidR="00C72B92" w:rsidRPr="00542749" w:rsidRDefault="00367A12" w:rsidP="00367A12">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147.77</w:t>
            </w:r>
          </w:p>
        </w:tc>
        <w:tc>
          <w:tcPr>
            <w:tcW w:w="850" w:type="dxa"/>
            <w:tcBorders>
              <w:top w:val="nil"/>
              <w:left w:val="nil"/>
              <w:bottom w:val="nil"/>
              <w:right w:val="single" w:sz="4" w:space="0" w:color="auto"/>
            </w:tcBorders>
            <w:shd w:val="clear" w:color="auto" w:fill="auto"/>
            <w:noWrap/>
            <w:vAlign w:val="center"/>
          </w:tcPr>
          <w:p w14:paraId="7379104B" w14:textId="221D3E54" w:rsidR="00C72B92" w:rsidRPr="00542749" w:rsidRDefault="00C72B92" w:rsidP="00367A12">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0.01</w:t>
            </w:r>
            <w:r w:rsidR="00367A12" w:rsidRPr="00542749">
              <w:rPr>
                <w:rFonts w:ascii="Times New Roman" w:eastAsia="Times New Roman" w:hAnsi="Times New Roman" w:cs="Times New Roman"/>
                <w:b/>
                <w:bCs/>
                <w:i/>
                <w:iCs/>
                <w:color w:val="000000"/>
                <w:sz w:val="20"/>
                <w:szCs w:val="20"/>
                <w:lang w:val="it-IT" w:eastAsia="it-IT"/>
              </w:rPr>
              <w:t>1</w:t>
            </w:r>
          </w:p>
        </w:tc>
        <w:tc>
          <w:tcPr>
            <w:tcW w:w="851" w:type="dxa"/>
            <w:tcBorders>
              <w:top w:val="nil"/>
              <w:left w:val="nil"/>
              <w:bottom w:val="nil"/>
              <w:right w:val="nil"/>
            </w:tcBorders>
            <w:shd w:val="clear" w:color="auto" w:fill="auto"/>
            <w:noWrap/>
            <w:vAlign w:val="center"/>
          </w:tcPr>
          <w:p w14:paraId="06731099" w14:textId="79EFABBE" w:rsidR="00C72B92" w:rsidRPr="00542749" w:rsidRDefault="00A60B1D" w:rsidP="00A60B1D">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9.63</w:t>
            </w:r>
          </w:p>
        </w:tc>
        <w:tc>
          <w:tcPr>
            <w:tcW w:w="992" w:type="dxa"/>
            <w:tcBorders>
              <w:top w:val="nil"/>
              <w:left w:val="nil"/>
              <w:bottom w:val="nil"/>
              <w:right w:val="nil"/>
            </w:tcBorders>
            <w:shd w:val="clear" w:color="auto" w:fill="auto"/>
            <w:noWrap/>
            <w:vAlign w:val="center"/>
          </w:tcPr>
          <w:p w14:paraId="07508119" w14:textId="6401A0D2" w:rsidR="00C72B92" w:rsidRPr="00542749" w:rsidRDefault="00A60B1D" w:rsidP="00A60B1D">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1.08</w:t>
            </w:r>
          </w:p>
        </w:tc>
        <w:tc>
          <w:tcPr>
            <w:tcW w:w="992" w:type="dxa"/>
            <w:tcBorders>
              <w:top w:val="nil"/>
              <w:left w:val="nil"/>
              <w:bottom w:val="nil"/>
              <w:right w:val="nil"/>
            </w:tcBorders>
            <w:shd w:val="clear" w:color="auto" w:fill="auto"/>
            <w:noWrap/>
            <w:vAlign w:val="center"/>
          </w:tcPr>
          <w:p w14:paraId="36754272" w14:textId="2D8373A1" w:rsidR="00C72B92" w:rsidRPr="00542749" w:rsidRDefault="00A60B1D" w:rsidP="00A60B1D">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86.18</w:t>
            </w:r>
          </w:p>
        </w:tc>
        <w:tc>
          <w:tcPr>
            <w:tcW w:w="851" w:type="dxa"/>
            <w:tcBorders>
              <w:top w:val="nil"/>
              <w:left w:val="nil"/>
              <w:bottom w:val="nil"/>
              <w:right w:val="single" w:sz="4" w:space="0" w:color="auto"/>
            </w:tcBorders>
            <w:shd w:val="clear" w:color="auto" w:fill="auto"/>
            <w:noWrap/>
            <w:vAlign w:val="center"/>
          </w:tcPr>
          <w:p w14:paraId="4B82E941" w14:textId="26F7AB13" w:rsidR="00C72B92" w:rsidRPr="00542749" w:rsidRDefault="00C72B92" w:rsidP="00A60B1D">
            <w:pPr>
              <w:jc w:val="center"/>
              <w:rPr>
                <w:rFonts w:ascii="Times New Roman" w:eastAsia="Times New Roman" w:hAnsi="Times New Roman" w:cs="Times New Roman"/>
                <w:b/>
                <w:bCs/>
                <w:i/>
                <w:iCs/>
                <w:color w:val="000000"/>
                <w:sz w:val="20"/>
                <w:szCs w:val="20"/>
                <w:lang w:val="it-IT" w:eastAsia="it-IT"/>
              </w:rPr>
            </w:pPr>
            <w:r w:rsidRPr="00542749">
              <w:rPr>
                <w:rFonts w:ascii="Times New Roman" w:eastAsia="Times New Roman" w:hAnsi="Times New Roman" w:cs="Times New Roman"/>
                <w:b/>
                <w:bCs/>
                <w:i/>
                <w:iCs/>
                <w:color w:val="000000"/>
                <w:sz w:val="20"/>
                <w:szCs w:val="20"/>
                <w:lang w:val="it-IT" w:eastAsia="it-IT"/>
              </w:rPr>
              <w:t>0.</w:t>
            </w:r>
            <w:r w:rsidR="00A60B1D" w:rsidRPr="00542749">
              <w:rPr>
                <w:rFonts w:ascii="Times New Roman" w:eastAsia="Times New Roman" w:hAnsi="Times New Roman" w:cs="Times New Roman"/>
                <w:b/>
                <w:bCs/>
                <w:i/>
                <w:iCs/>
                <w:color w:val="000000"/>
                <w:sz w:val="20"/>
                <w:szCs w:val="20"/>
                <w:lang w:val="it-IT" w:eastAsia="it-IT"/>
              </w:rPr>
              <w:t>043</w:t>
            </w:r>
          </w:p>
        </w:tc>
      </w:tr>
      <w:tr w:rsidR="00C72B92" w:rsidRPr="00542749" w14:paraId="2323AAD8" w14:textId="77777777" w:rsidTr="00622BAC">
        <w:trPr>
          <w:trHeight w:val="28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251ADE9" w14:textId="77777777" w:rsidR="00C72B92" w:rsidRPr="00542749" w:rsidRDefault="00C72B92" w:rsidP="00367A12">
            <w:pP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PD1 mRNA (continuous)</w:t>
            </w:r>
          </w:p>
        </w:tc>
        <w:tc>
          <w:tcPr>
            <w:tcW w:w="840" w:type="dxa"/>
            <w:tcBorders>
              <w:top w:val="nil"/>
              <w:left w:val="nil"/>
              <w:bottom w:val="single" w:sz="4" w:space="0" w:color="auto"/>
              <w:right w:val="nil"/>
            </w:tcBorders>
            <w:shd w:val="clear" w:color="auto" w:fill="auto"/>
            <w:noWrap/>
            <w:vAlign w:val="center"/>
            <w:hideMark/>
          </w:tcPr>
          <w:p w14:paraId="628991F1" w14:textId="77777777" w:rsidR="00C72B92" w:rsidRPr="00542749" w:rsidRDefault="00C72B92" w:rsidP="00367A12">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1.21</w:t>
            </w:r>
          </w:p>
        </w:tc>
        <w:tc>
          <w:tcPr>
            <w:tcW w:w="974" w:type="dxa"/>
            <w:tcBorders>
              <w:top w:val="nil"/>
              <w:left w:val="nil"/>
              <w:bottom w:val="single" w:sz="4" w:space="0" w:color="auto"/>
              <w:right w:val="nil"/>
            </w:tcBorders>
            <w:shd w:val="clear" w:color="auto" w:fill="auto"/>
            <w:noWrap/>
            <w:vAlign w:val="center"/>
            <w:hideMark/>
          </w:tcPr>
          <w:p w14:paraId="52B0C3A2"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0.82</w:t>
            </w:r>
          </w:p>
        </w:tc>
        <w:tc>
          <w:tcPr>
            <w:tcW w:w="1021" w:type="dxa"/>
            <w:tcBorders>
              <w:top w:val="nil"/>
              <w:left w:val="nil"/>
              <w:bottom w:val="single" w:sz="4" w:space="0" w:color="auto"/>
              <w:right w:val="nil"/>
            </w:tcBorders>
            <w:shd w:val="clear" w:color="auto" w:fill="auto"/>
            <w:noWrap/>
            <w:vAlign w:val="center"/>
            <w:hideMark/>
          </w:tcPr>
          <w:p w14:paraId="624E0C12"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1.79</w:t>
            </w:r>
          </w:p>
        </w:tc>
        <w:tc>
          <w:tcPr>
            <w:tcW w:w="850" w:type="dxa"/>
            <w:tcBorders>
              <w:top w:val="nil"/>
              <w:left w:val="nil"/>
              <w:bottom w:val="single" w:sz="4" w:space="0" w:color="auto"/>
              <w:right w:val="single" w:sz="4" w:space="0" w:color="auto"/>
            </w:tcBorders>
            <w:shd w:val="clear" w:color="auto" w:fill="auto"/>
            <w:noWrap/>
            <w:vAlign w:val="center"/>
            <w:hideMark/>
          </w:tcPr>
          <w:p w14:paraId="6731EFCB" w14:textId="77777777" w:rsidR="00C72B92" w:rsidRPr="00542749" w:rsidRDefault="00C72B92" w:rsidP="00622BAC">
            <w:pPr>
              <w:jc w:val="center"/>
              <w:rPr>
                <w:rFonts w:ascii="Times New Roman" w:eastAsia="Times New Roman" w:hAnsi="Times New Roman" w:cs="Times New Roman"/>
                <w:color w:val="000000"/>
                <w:sz w:val="20"/>
                <w:szCs w:val="20"/>
                <w:lang w:eastAsia="it-IT"/>
              </w:rPr>
            </w:pPr>
            <w:r w:rsidRPr="00542749">
              <w:rPr>
                <w:rFonts w:ascii="Times New Roman" w:eastAsia="Times New Roman" w:hAnsi="Times New Roman" w:cs="Times New Roman"/>
                <w:color w:val="000000"/>
                <w:sz w:val="20"/>
                <w:szCs w:val="20"/>
                <w:lang w:eastAsia="it-IT"/>
              </w:rPr>
              <w:t>0.331</w:t>
            </w:r>
          </w:p>
        </w:tc>
        <w:tc>
          <w:tcPr>
            <w:tcW w:w="851" w:type="dxa"/>
            <w:tcBorders>
              <w:top w:val="nil"/>
              <w:left w:val="nil"/>
              <w:bottom w:val="single" w:sz="4" w:space="0" w:color="auto"/>
              <w:right w:val="nil"/>
            </w:tcBorders>
            <w:shd w:val="clear" w:color="auto" w:fill="auto"/>
            <w:noWrap/>
            <w:vAlign w:val="center"/>
            <w:hideMark/>
          </w:tcPr>
          <w:p w14:paraId="01C9361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1.08</w:t>
            </w:r>
          </w:p>
        </w:tc>
        <w:tc>
          <w:tcPr>
            <w:tcW w:w="992" w:type="dxa"/>
            <w:tcBorders>
              <w:top w:val="nil"/>
              <w:left w:val="nil"/>
              <w:bottom w:val="single" w:sz="4" w:space="0" w:color="auto"/>
              <w:right w:val="nil"/>
            </w:tcBorders>
            <w:shd w:val="clear" w:color="auto" w:fill="auto"/>
            <w:noWrap/>
            <w:vAlign w:val="center"/>
            <w:hideMark/>
          </w:tcPr>
          <w:p w14:paraId="1F2D9136"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0.73</w:t>
            </w:r>
          </w:p>
        </w:tc>
        <w:tc>
          <w:tcPr>
            <w:tcW w:w="992" w:type="dxa"/>
            <w:tcBorders>
              <w:top w:val="nil"/>
              <w:left w:val="nil"/>
              <w:bottom w:val="single" w:sz="4" w:space="0" w:color="auto"/>
              <w:right w:val="nil"/>
            </w:tcBorders>
            <w:shd w:val="clear" w:color="auto" w:fill="auto"/>
            <w:noWrap/>
            <w:vAlign w:val="center"/>
            <w:hideMark/>
          </w:tcPr>
          <w:p w14:paraId="32289192"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1.60</w:t>
            </w:r>
          </w:p>
        </w:tc>
        <w:tc>
          <w:tcPr>
            <w:tcW w:w="851" w:type="dxa"/>
            <w:tcBorders>
              <w:top w:val="nil"/>
              <w:left w:val="nil"/>
              <w:bottom w:val="single" w:sz="4" w:space="0" w:color="auto"/>
              <w:right w:val="single" w:sz="4" w:space="0" w:color="auto"/>
            </w:tcBorders>
            <w:shd w:val="clear" w:color="auto" w:fill="auto"/>
            <w:noWrap/>
            <w:vAlign w:val="center"/>
            <w:hideMark/>
          </w:tcPr>
          <w:p w14:paraId="59656D6C" w14:textId="77777777" w:rsidR="00C72B92" w:rsidRPr="00542749" w:rsidRDefault="00C72B92" w:rsidP="00622BAC">
            <w:pPr>
              <w:jc w:val="center"/>
              <w:rPr>
                <w:rFonts w:ascii="Times New Roman" w:eastAsia="Times New Roman" w:hAnsi="Times New Roman" w:cs="Times New Roman"/>
                <w:color w:val="000000"/>
                <w:sz w:val="20"/>
                <w:szCs w:val="20"/>
                <w:lang w:val="it-IT" w:eastAsia="it-IT"/>
              </w:rPr>
            </w:pPr>
            <w:r w:rsidRPr="00542749">
              <w:rPr>
                <w:rFonts w:ascii="Times New Roman" w:eastAsia="Times New Roman" w:hAnsi="Times New Roman" w:cs="Times New Roman"/>
                <w:color w:val="000000"/>
                <w:sz w:val="20"/>
                <w:szCs w:val="20"/>
                <w:lang w:val="it-IT" w:eastAsia="it-IT"/>
              </w:rPr>
              <w:t>0.686</w:t>
            </w:r>
          </w:p>
        </w:tc>
      </w:tr>
    </w:tbl>
    <w:p w14:paraId="0C9B8115" w14:textId="77777777" w:rsidR="001B0607" w:rsidRPr="00542749" w:rsidRDefault="001B0607" w:rsidP="001B0607">
      <w:pPr>
        <w:spacing w:line="360" w:lineRule="auto"/>
        <w:jc w:val="both"/>
        <w:rPr>
          <w:rFonts w:ascii="Times New Roman" w:hAnsi="Times New Roman" w:cs="Times New Roman"/>
          <w:b/>
          <w:bCs/>
          <w:sz w:val="20"/>
          <w:szCs w:val="20"/>
          <w:lang w:val="en-US"/>
        </w:rPr>
      </w:pPr>
    </w:p>
    <w:p w14:paraId="77F13233" w14:textId="4A11824D" w:rsidR="001B0607" w:rsidRDefault="001B0607" w:rsidP="001B0607">
      <w:pPr>
        <w:spacing w:line="360" w:lineRule="auto"/>
        <w:jc w:val="both"/>
        <w:rPr>
          <w:rFonts w:ascii="Times New Roman" w:hAnsi="Times New Roman" w:cs="Times New Roman"/>
          <w:sz w:val="20"/>
          <w:szCs w:val="20"/>
          <w:lang w:val="en-US"/>
        </w:rPr>
      </w:pPr>
      <w:r w:rsidRPr="00542749">
        <w:rPr>
          <w:rFonts w:ascii="Times New Roman" w:hAnsi="Times New Roman" w:cs="Times New Roman"/>
          <w:b/>
          <w:bCs/>
          <w:sz w:val="20"/>
          <w:szCs w:val="20"/>
          <w:lang w:val="en-US"/>
        </w:rPr>
        <w:t xml:space="preserve">Legend. </w:t>
      </w:r>
      <w:r w:rsidRPr="00542749">
        <w:rPr>
          <w:rFonts w:ascii="Times New Roman" w:hAnsi="Times New Roman" w:cs="Times New Roman"/>
          <w:sz w:val="20"/>
          <w:szCs w:val="20"/>
          <w:lang w:val="en-US"/>
        </w:rPr>
        <w:t>ORR: overall response rates; DC</w:t>
      </w:r>
      <w:r w:rsidR="001C4F9E" w:rsidRPr="00542749">
        <w:rPr>
          <w:rFonts w:ascii="Times New Roman" w:hAnsi="Times New Roman" w:cs="Times New Roman"/>
          <w:sz w:val="20"/>
          <w:szCs w:val="20"/>
          <w:lang w:val="en-US"/>
        </w:rPr>
        <w:t>B</w:t>
      </w:r>
      <w:r w:rsidRPr="00542749">
        <w:rPr>
          <w:rFonts w:ascii="Times New Roman" w:hAnsi="Times New Roman" w:cs="Times New Roman"/>
          <w:sz w:val="20"/>
          <w:szCs w:val="20"/>
          <w:lang w:val="en-US"/>
        </w:rPr>
        <w:t xml:space="preserve">: </w:t>
      </w:r>
      <w:r w:rsidR="001C4F9E" w:rsidRPr="00542749">
        <w:rPr>
          <w:rFonts w:ascii="Times New Roman" w:hAnsi="Times New Roman" w:cs="Times New Roman"/>
          <w:sz w:val="20"/>
          <w:szCs w:val="20"/>
          <w:lang w:val="en-US"/>
        </w:rPr>
        <w:t>durable clinical benefit</w:t>
      </w:r>
      <w:r w:rsidRPr="00542749">
        <w:rPr>
          <w:rFonts w:ascii="Times New Roman" w:hAnsi="Times New Roman" w:cs="Times New Roman"/>
          <w:sz w:val="20"/>
          <w:szCs w:val="20"/>
          <w:lang w:val="en-US"/>
        </w:rPr>
        <w:t>;</w:t>
      </w:r>
      <w:r w:rsidRPr="00542749">
        <w:rPr>
          <w:rFonts w:ascii="Times New Roman" w:hAnsi="Times New Roman" w:cs="Times New Roman"/>
          <w:b/>
          <w:bCs/>
          <w:sz w:val="20"/>
          <w:szCs w:val="20"/>
          <w:lang w:val="en-US"/>
        </w:rPr>
        <w:t xml:space="preserve"> </w:t>
      </w:r>
      <w:r w:rsidRPr="00542749">
        <w:rPr>
          <w:rFonts w:ascii="Times New Roman" w:hAnsi="Times New Roman" w:cs="Times New Roman"/>
          <w:sz w:val="20"/>
          <w:szCs w:val="20"/>
          <w:lang w:val="en-US"/>
        </w:rPr>
        <w:t>OR: odds ratio; Inf: inferior; Sup: superior; ICI: immune-checkpoint inhibitor; NSCLC: non-small cell lung cancer; GU: genitourinary; TILs: tumor-infiltrating lymphocytes</w:t>
      </w:r>
      <w:r w:rsidR="005C3A5D" w:rsidRPr="00542749">
        <w:rPr>
          <w:rFonts w:ascii="Times New Roman" w:hAnsi="Times New Roman" w:cs="Times New Roman"/>
          <w:sz w:val="20"/>
          <w:szCs w:val="20"/>
          <w:lang w:val="en-US"/>
        </w:rPr>
        <w:t>; sATB: systemic antibiotics; RT: radiotherapy.</w:t>
      </w:r>
    </w:p>
    <w:p w14:paraId="642C9034" w14:textId="1CA50E48" w:rsidR="00367A12" w:rsidRDefault="00367A12" w:rsidP="001B0607">
      <w:pPr>
        <w:spacing w:line="360" w:lineRule="auto"/>
        <w:jc w:val="both"/>
        <w:rPr>
          <w:rFonts w:ascii="Times New Roman" w:hAnsi="Times New Roman" w:cs="Times New Roman"/>
          <w:sz w:val="20"/>
          <w:szCs w:val="20"/>
          <w:lang w:val="en-US"/>
        </w:rPr>
      </w:pPr>
    </w:p>
    <w:p w14:paraId="0321AF82" w14:textId="77777777" w:rsidR="00367A12" w:rsidRDefault="00367A12" w:rsidP="001B0607">
      <w:pPr>
        <w:spacing w:line="360" w:lineRule="auto"/>
        <w:jc w:val="both"/>
        <w:rPr>
          <w:rFonts w:ascii="Times New Roman" w:hAnsi="Times New Roman" w:cs="Times New Roman"/>
          <w:sz w:val="20"/>
          <w:szCs w:val="20"/>
          <w:lang w:val="en-US"/>
        </w:rPr>
      </w:pPr>
    </w:p>
    <w:p w14:paraId="0CACCE6A" w14:textId="77777777" w:rsidR="008C5C4F" w:rsidRPr="00B2649C" w:rsidRDefault="008C5C4F" w:rsidP="00B2649C">
      <w:pPr>
        <w:spacing w:line="360" w:lineRule="auto"/>
        <w:rPr>
          <w:lang w:val="en-US"/>
        </w:rPr>
      </w:pPr>
    </w:p>
    <w:sectPr w:rsidR="008C5C4F" w:rsidRPr="00B2649C" w:rsidSect="00820C5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4A090" w14:textId="77777777" w:rsidR="00D00103" w:rsidRDefault="00D00103" w:rsidP="00CB28A0">
      <w:r>
        <w:separator/>
      </w:r>
    </w:p>
  </w:endnote>
  <w:endnote w:type="continuationSeparator" w:id="0">
    <w:p w14:paraId="09C620C0" w14:textId="77777777" w:rsidR="00D00103" w:rsidRDefault="00D00103" w:rsidP="00CB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79071792"/>
      <w:docPartObj>
        <w:docPartGallery w:val="Page Numbers (Bottom of Page)"/>
        <w:docPartUnique/>
      </w:docPartObj>
    </w:sdtPr>
    <w:sdtEndPr>
      <w:rPr>
        <w:rStyle w:val="PageNumber"/>
      </w:rPr>
    </w:sdtEndPr>
    <w:sdtContent>
      <w:p w14:paraId="7F82F6C7" w14:textId="2AE11A2E" w:rsidR="00CB28A0" w:rsidRDefault="00CB28A0" w:rsidP="00D75C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0DBFC6" w14:textId="77777777" w:rsidR="00CB28A0" w:rsidRDefault="00CB28A0" w:rsidP="00622B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95492346"/>
      <w:docPartObj>
        <w:docPartGallery w:val="Page Numbers (Bottom of Page)"/>
        <w:docPartUnique/>
      </w:docPartObj>
    </w:sdtPr>
    <w:sdtEndPr>
      <w:rPr>
        <w:rStyle w:val="PageNumber"/>
      </w:rPr>
    </w:sdtEndPr>
    <w:sdtContent>
      <w:p w14:paraId="639F7225" w14:textId="2D0B8747" w:rsidR="00CB28A0" w:rsidRDefault="00CB28A0" w:rsidP="00D75C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20C56">
          <w:rPr>
            <w:rStyle w:val="PageNumber"/>
            <w:noProof/>
          </w:rPr>
          <w:t>9</w:t>
        </w:r>
        <w:r>
          <w:rPr>
            <w:rStyle w:val="PageNumber"/>
          </w:rPr>
          <w:fldChar w:fldCharType="end"/>
        </w:r>
      </w:p>
    </w:sdtContent>
  </w:sdt>
  <w:p w14:paraId="46E1E874" w14:textId="77777777" w:rsidR="00CB28A0" w:rsidRDefault="00CB28A0" w:rsidP="00622BA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2DED5" w14:textId="77777777" w:rsidR="00D00103" w:rsidRDefault="00D00103" w:rsidP="00CB28A0">
      <w:r>
        <w:separator/>
      </w:r>
    </w:p>
  </w:footnote>
  <w:footnote w:type="continuationSeparator" w:id="0">
    <w:p w14:paraId="3E7D568B" w14:textId="77777777" w:rsidR="00D00103" w:rsidRDefault="00D00103" w:rsidP="00CB28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1424E"/>
    <w:multiLevelType w:val="hybridMultilevel"/>
    <w:tmpl w:val="DCC2A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1D2682"/>
    <w:multiLevelType w:val="hybridMultilevel"/>
    <w:tmpl w:val="E9C0F4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940BE4"/>
    <w:multiLevelType w:val="hybridMultilevel"/>
    <w:tmpl w:val="BBFA0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3D27C0"/>
    <w:multiLevelType w:val="hybridMultilevel"/>
    <w:tmpl w:val="46C4401A"/>
    <w:lvl w:ilvl="0" w:tplc="71847838">
      <w:start w:val="1"/>
      <w:numFmt w:val="bullet"/>
      <w:lvlText w:val="•"/>
      <w:lvlJc w:val="left"/>
      <w:pPr>
        <w:tabs>
          <w:tab w:val="num" w:pos="720"/>
        </w:tabs>
        <w:ind w:left="720" w:hanging="360"/>
      </w:pPr>
      <w:rPr>
        <w:rFonts w:ascii="Arial" w:hAnsi="Arial" w:hint="default"/>
      </w:rPr>
    </w:lvl>
    <w:lvl w:ilvl="1" w:tplc="94E46380" w:tentative="1">
      <w:start w:val="1"/>
      <w:numFmt w:val="bullet"/>
      <w:lvlText w:val="•"/>
      <w:lvlJc w:val="left"/>
      <w:pPr>
        <w:tabs>
          <w:tab w:val="num" w:pos="1440"/>
        </w:tabs>
        <w:ind w:left="1440" w:hanging="360"/>
      </w:pPr>
      <w:rPr>
        <w:rFonts w:ascii="Arial" w:hAnsi="Arial" w:hint="default"/>
      </w:rPr>
    </w:lvl>
    <w:lvl w:ilvl="2" w:tplc="C0588DA4" w:tentative="1">
      <w:start w:val="1"/>
      <w:numFmt w:val="bullet"/>
      <w:lvlText w:val="•"/>
      <w:lvlJc w:val="left"/>
      <w:pPr>
        <w:tabs>
          <w:tab w:val="num" w:pos="2160"/>
        </w:tabs>
        <w:ind w:left="2160" w:hanging="360"/>
      </w:pPr>
      <w:rPr>
        <w:rFonts w:ascii="Arial" w:hAnsi="Arial" w:hint="default"/>
      </w:rPr>
    </w:lvl>
    <w:lvl w:ilvl="3" w:tplc="38407CA2" w:tentative="1">
      <w:start w:val="1"/>
      <w:numFmt w:val="bullet"/>
      <w:lvlText w:val="•"/>
      <w:lvlJc w:val="left"/>
      <w:pPr>
        <w:tabs>
          <w:tab w:val="num" w:pos="2880"/>
        </w:tabs>
        <w:ind w:left="2880" w:hanging="360"/>
      </w:pPr>
      <w:rPr>
        <w:rFonts w:ascii="Arial" w:hAnsi="Arial" w:hint="default"/>
      </w:rPr>
    </w:lvl>
    <w:lvl w:ilvl="4" w:tplc="F2648976" w:tentative="1">
      <w:start w:val="1"/>
      <w:numFmt w:val="bullet"/>
      <w:lvlText w:val="•"/>
      <w:lvlJc w:val="left"/>
      <w:pPr>
        <w:tabs>
          <w:tab w:val="num" w:pos="3600"/>
        </w:tabs>
        <w:ind w:left="3600" w:hanging="360"/>
      </w:pPr>
      <w:rPr>
        <w:rFonts w:ascii="Arial" w:hAnsi="Arial" w:hint="default"/>
      </w:rPr>
    </w:lvl>
    <w:lvl w:ilvl="5" w:tplc="E3AE12BA" w:tentative="1">
      <w:start w:val="1"/>
      <w:numFmt w:val="bullet"/>
      <w:lvlText w:val="•"/>
      <w:lvlJc w:val="left"/>
      <w:pPr>
        <w:tabs>
          <w:tab w:val="num" w:pos="4320"/>
        </w:tabs>
        <w:ind w:left="4320" w:hanging="360"/>
      </w:pPr>
      <w:rPr>
        <w:rFonts w:ascii="Arial" w:hAnsi="Arial" w:hint="default"/>
      </w:rPr>
    </w:lvl>
    <w:lvl w:ilvl="6" w:tplc="A5ECC3F0" w:tentative="1">
      <w:start w:val="1"/>
      <w:numFmt w:val="bullet"/>
      <w:lvlText w:val="•"/>
      <w:lvlJc w:val="left"/>
      <w:pPr>
        <w:tabs>
          <w:tab w:val="num" w:pos="5040"/>
        </w:tabs>
        <w:ind w:left="5040" w:hanging="360"/>
      </w:pPr>
      <w:rPr>
        <w:rFonts w:ascii="Arial" w:hAnsi="Arial" w:hint="default"/>
      </w:rPr>
    </w:lvl>
    <w:lvl w:ilvl="7" w:tplc="6F7681D2" w:tentative="1">
      <w:start w:val="1"/>
      <w:numFmt w:val="bullet"/>
      <w:lvlText w:val="•"/>
      <w:lvlJc w:val="left"/>
      <w:pPr>
        <w:tabs>
          <w:tab w:val="num" w:pos="5760"/>
        </w:tabs>
        <w:ind w:left="5760" w:hanging="360"/>
      </w:pPr>
      <w:rPr>
        <w:rFonts w:ascii="Arial" w:hAnsi="Arial" w:hint="default"/>
      </w:rPr>
    </w:lvl>
    <w:lvl w:ilvl="8" w:tplc="FE48BEA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B702600"/>
    <w:multiLevelType w:val="hybridMultilevel"/>
    <w:tmpl w:val="33E2BBEE"/>
    <w:lvl w:ilvl="0" w:tplc="2B2ED53C">
      <w:start w:val="1"/>
      <w:numFmt w:val="bullet"/>
      <w:lvlText w:val="•"/>
      <w:lvlJc w:val="left"/>
      <w:pPr>
        <w:tabs>
          <w:tab w:val="num" w:pos="720"/>
        </w:tabs>
        <w:ind w:left="720" w:hanging="360"/>
      </w:pPr>
      <w:rPr>
        <w:rFonts w:ascii="Arial" w:hAnsi="Arial" w:hint="default"/>
      </w:rPr>
    </w:lvl>
    <w:lvl w:ilvl="1" w:tplc="D7EE772C" w:tentative="1">
      <w:start w:val="1"/>
      <w:numFmt w:val="bullet"/>
      <w:lvlText w:val="•"/>
      <w:lvlJc w:val="left"/>
      <w:pPr>
        <w:tabs>
          <w:tab w:val="num" w:pos="1440"/>
        </w:tabs>
        <w:ind w:left="1440" w:hanging="360"/>
      </w:pPr>
      <w:rPr>
        <w:rFonts w:ascii="Arial" w:hAnsi="Arial" w:hint="default"/>
      </w:rPr>
    </w:lvl>
    <w:lvl w:ilvl="2" w:tplc="62A4826A" w:tentative="1">
      <w:start w:val="1"/>
      <w:numFmt w:val="bullet"/>
      <w:lvlText w:val="•"/>
      <w:lvlJc w:val="left"/>
      <w:pPr>
        <w:tabs>
          <w:tab w:val="num" w:pos="2160"/>
        </w:tabs>
        <w:ind w:left="2160" w:hanging="360"/>
      </w:pPr>
      <w:rPr>
        <w:rFonts w:ascii="Arial" w:hAnsi="Arial" w:hint="default"/>
      </w:rPr>
    </w:lvl>
    <w:lvl w:ilvl="3" w:tplc="92D43CF0" w:tentative="1">
      <w:start w:val="1"/>
      <w:numFmt w:val="bullet"/>
      <w:lvlText w:val="•"/>
      <w:lvlJc w:val="left"/>
      <w:pPr>
        <w:tabs>
          <w:tab w:val="num" w:pos="2880"/>
        </w:tabs>
        <w:ind w:left="2880" w:hanging="360"/>
      </w:pPr>
      <w:rPr>
        <w:rFonts w:ascii="Arial" w:hAnsi="Arial" w:hint="default"/>
      </w:rPr>
    </w:lvl>
    <w:lvl w:ilvl="4" w:tplc="19F0904A" w:tentative="1">
      <w:start w:val="1"/>
      <w:numFmt w:val="bullet"/>
      <w:lvlText w:val="•"/>
      <w:lvlJc w:val="left"/>
      <w:pPr>
        <w:tabs>
          <w:tab w:val="num" w:pos="3600"/>
        </w:tabs>
        <w:ind w:left="3600" w:hanging="360"/>
      </w:pPr>
      <w:rPr>
        <w:rFonts w:ascii="Arial" w:hAnsi="Arial" w:hint="default"/>
      </w:rPr>
    </w:lvl>
    <w:lvl w:ilvl="5" w:tplc="0A34EB60" w:tentative="1">
      <w:start w:val="1"/>
      <w:numFmt w:val="bullet"/>
      <w:lvlText w:val="•"/>
      <w:lvlJc w:val="left"/>
      <w:pPr>
        <w:tabs>
          <w:tab w:val="num" w:pos="4320"/>
        </w:tabs>
        <w:ind w:left="4320" w:hanging="360"/>
      </w:pPr>
      <w:rPr>
        <w:rFonts w:ascii="Arial" w:hAnsi="Arial" w:hint="default"/>
      </w:rPr>
    </w:lvl>
    <w:lvl w:ilvl="6" w:tplc="8398E110" w:tentative="1">
      <w:start w:val="1"/>
      <w:numFmt w:val="bullet"/>
      <w:lvlText w:val="•"/>
      <w:lvlJc w:val="left"/>
      <w:pPr>
        <w:tabs>
          <w:tab w:val="num" w:pos="5040"/>
        </w:tabs>
        <w:ind w:left="5040" w:hanging="360"/>
      </w:pPr>
      <w:rPr>
        <w:rFonts w:ascii="Arial" w:hAnsi="Arial" w:hint="default"/>
      </w:rPr>
    </w:lvl>
    <w:lvl w:ilvl="7" w:tplc="D5883A4A" w:tentative="1">
      <w:start w:val="1"/>
      <w:numFmt w:val="bullet"/>
      <w:lvlText w:val="•"/>
      <w:lvlJc w:val="left"/>
      <w:pPr>
        <w:tabs>
          <w:tab w:val="num" w:pos="5760"/>
        </w:tabs>
        <w:ind w:left="5760" w:hanging="360"/>
      </w:pPr>
      <w:rPr>
        <w:rFonts w:ascii="Arial" w:hAnsi="Arial" w:hint="default"/>
      </w:rPr>
    </w:lvl>
    <w:lvl w:ilvl="8" w:tplc="A4969E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19D135B"/>
    <w:multiLevelType w:val="hybridMultilevel"/>
    <w:tmpl w:val="82E277FE"/>
    <w:lvl w:ilvl="0" w:tplc="ED0ECF1A">
      <w:start w:val="1"/>
      <w:numFmt w:val="bullet"/>
      <w:lvlText w:val="•"/>
      <w:lvlJc w:val="left"/>
      <w:pPr>
        <w:tabs>
          <w:tab w:val="num" w:pos="720"/>
        </w:tabs>
        <w:ind w:left="720" w:hanging="360"/>
      </w:pPr>
      <w:rPr>
        <w:rFonts w:ascii="Arial" w:hAnsi="Arial" w:hint="default"/>
      </w:rPr>
    </w:lvl>
    <w:lvl w:ilvl="1" w:tplc="9D80E48E" w:tentative="1">
      <w:start w:val="1"/>
      <w:numFmt w:val="bullet"/>
      <w:lvlText w:val="•"/>
      <w:lvlJc w:val="left"/>
      <w:pPr>
        <w:tabs>
          <w:tab w:val="num" w:pos="1440"/>
        </w:tabs>
        <w:ind w:left="1440" w:hanging="360"/>
      </w:pPr>
      <w:rPr>
        <w:rFonts w:ascii="Arial" w:hAnsi="Arial" w:hint="default"/>
      </w:rPr>
    </w:lvl>
    <w:lvl w:ilvl="2" w:tplc="DA1A93B2" w:tentative="1">
      <w:start w:val="1"/>
      <w:numFmt w:val="bullet"/>
      <w:lvlText w:val="•"/>
      <w:lvlJc w:val="left"/>
      <w:pPr>
        <w:tabs>
          <w:tab w:val="num" w:pos="2160"/>
        </w:tabs>
        <w:ind w:left="2160" w:hanging="360"/>
      </w:pPr>
      <w:rPr>
        <w:rFonts w:ascii="Arial" w:hAnsi="Arial" w:hint="default"/>
      </w:rPr>
    </w:lvl>
    <w:lvl w:ilvl="3" w:tplc="912CDE6A" w:tentative="1">
      <w:start w:val="1"/>
      <w:numFmt w:val="bullet"/>
      <w:lvlText w:val="•"/>
      <w:lvlJc w:val="left"/>
      <w:pPr>
        <w:tabs>
          <w:tab w:val="num" w:pos="2880"/>
        </w:tabs>
        <w:ind w:left="2880" w:hanging="360"/>
      </w:pPr>
      <w:rPr>
        <w:rFonts w:ascii="Arial" w:hAnsi="Arial" w:hint="default"/>
      </w:rPr>
    </w:lvl>
    <w:lvl w:ilvl="4" w:tplc="20E65EB6" w:tentative="1">
      <w:start w:val="1"/>
      <w:numFmt w:val="bullet"/>
      <w:lvlText w:val="•"/>
      <w:lvlJc w:val="left"/>
      <w:pPr>
        <w:tabs>
          <w:tab w:val="num" w:pos="3600"/>
        </w:tabs>
        <w:ind w:left="3600" w:hanging="360"/>
      </w:pPr>
      <w:rPr>
        <w:rFonts w:ascii="Arial" w:hAnsi="Arial" w:hint="default"/>
      </w:rPr>
    </w:lvl>
    <w:lvl w:ilvl="5" w:tplc="DA661126" w:tentative="1">
      <w:start w:val="1"/>
      <w:numFmt w:val="bullet"/>
      <w:lvlText w:val="•"/>
      <w:lvlJc w:val="left"/>
      <w:pPr>
        <w:tabs>
          <w:tab w:val="num" w:pos="4320"/>
        </w:tabs>
        <w:ind w:left="4320" w:hanging="360"/>
      </w:pPr>
      <w:rPr>
        <w:rFonts w:ascii="Arial" w:hAnsi="Arial" w:hint="default"/>
      </w:rPr>
    </w:lvl>
    <w:lvl w:ilvl="6" w:tplc="23F4A1CE" w:tentative="1">
      <w:start w:val="1"/>
      <w:numFmt w:val="bullet"/>
      <w:lvlText w:val="•"/>
      <w:lvlJc w:val="left"/>
      <w:pPr>
        <w:tabs>
          <w:tab w:val="num" w:pos="5040"/>
        </w:tabs>
        <w:ind w:left="5040" w:hanging="360"/>
      </w:pPr>
      <w:rPr>
        <w:rFonts w:ascii="Arial" w:hAnsi="Arial" w:hint="default"/>
      </w:rPr>
    </w:lvl>
    <w:lvl w:ilvl="7" w:tplc="07AA592C" w:tentative="1">
      <w:start w:val="1"/>
      <w:numFmt w:val="bullet"/>
      <w:lvlText w:val="•"/>
      <w:lvlJc w:val="left"/>
      <w:pPr>
        <w:tabs>
          <w:tab w:val="num" w:pos="5760"/>
        </w:tabs>
        <w:ind w:left="5760" w:hanging="360"/>
      </w:pPr>
      <w:rPr>
        <w:rFonts w:ascii="Arial" w:hAnsi="Arial" w:hint="default"/>
      </w:rPr>
    </w:lvl>
    <w:lvl w:ilvl="8" w:tplc="558677D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722428B"/>
    <w:multiLevelType w:val="hybridMultilevel"/>
    <w:tmpl w:val="2A00C4C0"/>
    <w:lvl w:ilvl="0" w:tplc="6C961374">
      <w:start w:val="1"/>
      <w:numFmt w:val="bullet"/>
      <w:lvlText w:val="•"/>
      <w:lvlJc w:val="left"/>
      <w:pPr>
        <w:tabs>
          <w:tab w:val="num" w:pos="720"/>
        </w:tabs>
        <w:ind w:left="720" w:hanging="360"/>
      </w:pPr>
      <w:rPr>
        <w:rFonts w:ascii="Arial" w:hAnsi="Arial" w:hint="default"/>
      </w:rPr>
    </w:lvl>
    <w:lvl w:ilvl="1" w:tplc="A3C2EE18" w:tentative="1">
      <w:start w:val="1"/>
      <w:numFmt w:val="bullet"/>
      <w:lvlText w:val="•"/>
      <w:lvlJc w:val="left"/>
      <w:pPr>
        <w:tabs>
          <w:tab w:val="num" w:pos="1440"/>
        </w:tabs>
        <w:ind w:left="1440" w:hanging="360"/>
      </w:pPr>
      <w:rPr>
        <w:rFonts w:ascii="Arial" w:hAnsi="Arial" w:hint="default"/>
      </w:rPr>
    </w:lvl>
    <w:lvl w:ilvl="2" w:tplc="A0D809F4" w:tentative="1">
      <w:start w:val="1"/>
      <w:numFmt w:val="bullet"/>
      <w:lvlText w:val="•"/>
      <w:lvlJc w:val="left"/>
      <w:pPr>
        <w:tabs>
          <w:tab w:val="num" w:pos="2160"/>
        </w:tabs>
        <w:ind w:left="2160" w:hanging="360"/>
      </w:pPr>
      <w:rPr>
        <w:rFonts w:ascii="Arial" w:hAnsi="Arial" w:hint="default"/>
      </w:rPr>
    </w:lvl>
    <w:lvl w:ilvl="3" w:tplc="2434479A" w:tentative="1">
      <w:start w:val="1"/>
      <w:numFmt w:val="bullet"/>
      <w:lvlText w:val="•"/>
      <w:lvlJc w:val="left"/>
      <w:pPr>
        <w:tabs>
          <w:tab w:val="num" w:pos="2880"/>
        </w:tabs>
        <w:ind w:left="2880" w:hanging="360"/>
      </w:pPr>
      <w:rPr>
        <w:rFonts w:ascii="Arial" w:hAnsi="Arial" w:hint="default"/>
      </w:rPr>
    </w:lvl>
    <w:lvl w:ilvl="4" w:tplc="626062F8" w:tentative="1">
      <w:start w:val="1"/>
      <w:numFmt w:val="bullet"/>
      <w:lvlText w:val="•"/>
      <w:lvlJc w:val="left"/>
      <w:pPr>
        <w:tabs>
          <w:tab w:val="num" w:pos="3600"/>
        </w:tabs>
        <w:ind w:left="3600" w:hanging="360"/>
      </w:pPr>
      <w:rPr>
        <w:rFonts w:ascii="Arial" w:hAnsi="Arial" w:hint="default"/>
      </w:rPr>
    </w:lvl>
    <w:lvl w:ilvl="5" w:tplc="476A109A" w:tentative="1">
      <w:start w:val="1"/>
      <w:numFmt w:val="bullet"/>
      <w:lvlText w:val="•"/>
      <w:lvlJc w:val="left"/>
      <w:pPr>
        <w:tabs>
          <w:tab w:val="num" w:pos="4320"/>
        </w:tabs>
        <w:ind w:left="4320" w:hanging="360"/>
      </w:pPr>
      <w:rPr>
        <w:rFonts w:ascii="Arial" w:hAnsi="Arial" w:hint="default"/>
      </w:rPr>
    </w:lvl>
    <w:lvl w:ilvl="6" w:tplc="65D65122" w:tentative="1">
      <w:start w:val="1"/>
      <w:numFmt w:val="bullet"/>
      <w:lvlText w:val="•"/>
      <w:lvlJc w:val="left"/>
      <w:pPr>
        <w:tabs>
          <w:tab w:val="num" w:pos="5040"/>
        </w:tabs>
        <w:ind w:left="5040" w:hanging="360"/>
      </w:pPr>
      <w:rPr>
        <w:rFonts w:ascii="Arial" w:hAnsi="Arial" w:hint="default"/>
      </w:rPr>
    </w:lvl>
    <w:lvl w:ilvl="7" w:tplc="EB1ACC76" w:tentative="1">
      <w:start w:val="1"/>
      <w:numFmt w:val="bullet"/>
      <w:lvlText w:val="•"/>
      <w:lvlJc w:val="left"/>
      <w:pPr>
        <w:tabs>
          <w:tab w:val="num" w:pos="5760"/>
        </w:tabs>
        <w:ind w:left="5760" w:hanging="360"/>
      </w:pPr>
      <w:rPr>
        <w:rFonts w:ascii="Arial" w:hAnsi="Arial" w:hint="default"/>
      </w:rPr>
    </w:lvl>
    <w:lvl w:ilvl="8" w:tplc="77DA4C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E35D4E"/>
    <w:multiLevelType w:val="multilevel"/>
    <w:tmpl w:val="652C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7"/>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882"/>
    <w:rsid w:val="00076FE1"/>
    <w:rsid w:val="000946CC"/>
    <w:rsid w:val="000B488E"/>
    <w:rsid w:val="000D0C0F"/>
    <w:rsid w:val="000F6884"/>
    <w:rsid w:val="00123306"/>
    <w:rsid w:val="00146A1D"/>
    <w:rsid w:val="00167C22"/>
    <w:rsid w:val="0018285B"/>
    <w:rsid w:val="001909FB"/>
    <w:rsid w:val="001A74F8"/>
    <w:rsid w:val="001B0607"/>
    <w:rsid w:val="001C4F9E"/>
    <w:rsid w:val="001D406B"/>
    <w:rsid w:val="001D567D"/>
    <w:rsid w:val="001E300D"/>
    <w:rsid w:val="001F1599"/>
    <w:rsid w:val="00215DDF"/>
    <w:rsid w:val="002216F8"/>
    <w:rsid w:val="00234A56"/>
    <w:rsid w:val="0024504A"/>
    <w:rsid w:val="00254D18"/>
    <w:rsid w:val="002F087A"/>
    <w:rsid w:val="00300AC6"/>
    <w:rsid w:val="00302860"/>
    <w:rsid w:val="003037DF"/>
    <w:rsid w:val="003039FD"/>
    <w:rsid w:val="00306EC8"/>
    <w:rsid w:val="00344920"/>
    <w:rsid w:val="00367A12"/>
    <w:rsid w:val="003711D1"/>
    <w:rsid w:val="00386186"/>
    <w:rsid w:val="00395031"/>
    <w:rsid w:val="00401747"/>
    <w:rsid w:val="004159B8"/>
    <w:rsid w:val="0043295C"/>
    <w:rsid w:val="00463D63"/>
    <w:rsid w:val="00470A8A"/>
    <w:rsid w:val="004A3C22"/>
    <w:rsid w:val="004C4A8A"/>
    <w:rsid w:val="004D0226"/>
    <w:rsid w:val="004E4F97"/>
    <w:rsid w:val="00500BC0"/>
    <w:rsid w:val="00542749"/>
    <w:rsid w:val="00561189"/>
    <w:rsid w:val="00574654"/>
    <w:rsid w:val="00582BE9"/>
    <w:rsid w:val="005C3A5D"/>
    <w:rsid w:val="005D0FC8"/>
    <w:rsid w:val="005E17DA"/>
    <w:rsid w:val="005E769A"/>
    <w:rsid w:val="005E7C5B"/>
    <w:rsid w:val="005F021C"/>
    <w:rsid w:val="00621EDF"/>
    <w:rsid w:val="00622BAC"/>
    <w:rsid w:val="00632445"/>
    <w:rsid w:val="00636509"/>
    <w:rsid w:val="00664F8C"/>
    <w:rsid w:val="00686E18"/>
    <w:rsid w:val="006A159D"/>
    <w:rsid w:val="006A7E37"/>
    <w:rsid w:val="006B5F49"/>
    <w:rsid w:val="006D02F4"/>
    <w:rsid w:val="007000B2"/>
    <w:rsid w:val="007121CD"/>
    <w:rsid w:val="0071286A"/>
    <w:rsid w:val="007228D1"/>
    <w:rsid w:val="007513B0"/>
    <w:rsid w:val="007D655F"/>
    <w:rsid w:val="00820C56"/>
    <w:rsid w:val="008332AC"/>
    <w:rsid w:val="00840537"/>
    <w:rsid w:val="00850661"/>
    <w:rsid w:val="00860C0D"/>
    <w:rsid w:val="00872F97"/>
    <w:rsid w:val="00880647"/>
    <w:rsid w:val="00886EBF"/>
    <w:rsid w:val="00897136"/>
    <w:rsid w:val="008A4683"/>
    <w:rsid w:val="008B496B"/>
    <w:rsid w:val="008C5C4F"/>
    <w:rsid w:val="008D1A2A"/>
    <w:rsid w:val="00917D74"/>
    <w:rsid w:val="00942B18"/>
    <w:rsid w:val="0096421B"/>
    <w:rsid w:val="00990625"/>
    <w:rsid w:val="009A409E"/>
    <w:rsid w:val="009A4E0D"/>
    <w:rsid w:val="009C423B"/>
    <w:rsid w:val="009E429C"/>
    <w:rsid w:val="009F16B4"/>
    <w:rsid w:val="00A411EC"/>
    <w:rsid w:val="00A57C8B"/>
    <w:rsid w:val="00A60B1D"/>
    <w:rsid w:val="00A60BE0"/>
    <w:rsid w:val="00A66F96"/>
    <w:rsid w:val="00A76FF0"/>
    <w:rsid w:val="00A8142E"/>
    <w:rsid w:val="00A864B0"/>
    <w:rsid w:val="00AD3224"/>
    <w:rsid w:val="00AF0657"/>
    <w:rsid w:val="00AF17E7"/>
    <w:rsid w:val="00B04B39"/>
    <w:rsid w:val="00B05BB4"/>
    <w:rsid w:val="00B2649C"/>
    <w:rsid w:val="00B45564"/>
    <w:rsid w:val="00B8200D"/>
    <w:rsid w:val="00B90741"/>
    <w:rsid w:val="00B91467"/>
    <w:rsid w:val="00BB7472"/>
    <w:rsid w:val="00BD1F45"/>
    <w:rsid w:val="00BD3122"/>
    <w:rsid w:val="00BD47E8"/>
    <w:rsid w:val="00BD5933"/>
    <w:rsid w:val="00C05EA2"/>
    <w:rsid w:val="00C12B32"/>
    <w:rsid w:val="00C72B92"/>
    <w:rsid w:val="00C76C3F"/>
    <w:rsid w:val="00C80135"/>
    <w:rsid w:val="00C95DB1"/>
    <w:rsid w:val="00CA2A27"/>
    <w:rsid w:val="00CB28A0"/>
    <w:rsid w:val="00CF7510"/>
    <w:rsid w:val="00D00103"/>
    <w:rsid w:val="00D04EE9"/>
    <w:rsid w:val="00D06AC3"/>
    <w:rsid w:val="00D3569A"/>
    <w:rsid w:val="00DA2DAD"/>
    <w:rsid w:val="00DA5702"/>
    <w:rsid w:val="00DC2ACB"/>
    <w:rsid w:val="00DC7E78"/>
    <w:rsid w:val="00DD6187"/>
    <w:rsid w:val="00E1737E"/>
    <w:rsid w:val="00E3504F"/>
    <w:rsid w:val="00E77360"/>
    <w:rsid w:val="00E94F96"/>
    <w:rsid w:val="00E96882"/>
    <w:rsid w:val="00E97302"/>
    <w:rsid w:val="00EB5637"/>
    <w:rsid w:val="00EC64DD"/>
    <w:rsid w:val="00F134DE"/>
    <w:rsid w:val="00F3192F"/>
    <w:rsid w:val="00F354A3"/>
    <w:rsid w:val="00F97CDB"/>
    <w:rsid w:val="00FE59A6"/>
    <w:rsid w:val="00FF0E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AF50"/>
  <w15:chartTrackingRefBased/>
  <w15:docId w15:val="{689316C3-EE3F-AE4E-8277-BF468CA2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882"/>
    <w:rPr>
      <w:lang w:val="es-ES"/>
    </w:rPr>
  </w:style>
  <w:style w:type="paragraph" w:styleId="Heading1">
    <w:name w:val="heading 1"/>
    <w:basedOn w:val="Normal"/>
    <w:link w:val="Heading1Char"/>
    <w:uiPriority w:val="9"/>
    <w:qFormat/>
    <w:rsid w:val="00621EDF"/>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Heading2">
    <w:name w:val="heading 2"/>
    <w:basedOn w:val="Normal"/>
    <w:next w:val="Normal"/>
    <w:link w:val="Heading2Char"/>
    <w:uiPriority w:val="9"/>
    <w:unhideWhenUsed/>
    <w:qFormat/>
    <w:rsid w:val="005E7C5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EDF"/>
    <w:rPr>
      <w:rFonts w:ascii="Times New Roman" w:eastAsia="Times New Roman" w:hAnsi="Times New Roman" w:cs="Times New Roman"/>
      <w:b/>
      <w:bCs/>
      <w:kern w:val="36"/>
      <w:sz w:val="48"/>
      <w:szCs w:val="48"/>
      <w:lang w:val="es-ES" w:eastAsia="it-IT"/>
    </w:rPr>
  </w:style>
  <w:style w:type="character" w:customStyle="1" w:styleId="cit">
    <w:name w:val="cit"/>
    <w:basedOn w:val="DefaultParagraphFont"/>
    <w:rsid w:val="00B9074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val="es-ES"/>
    </w:rPr>
  </w:style>
  <w:style w:type="character" w:styleId="CommentReference">
    <w:name w:val="annotation reference"/>
    <w:basedOn w:val="DefaultParagraphFont"/>
    <w:uiPriority w:val="99"/>
    <w:semiHidden/>
    <w:unhideWhenUsed/>
    <w:rPr>
      <w:sz w:val="16"/>
      <w:szCs w:val="16"/>
    </w:rPr>
  </w:style>
  <w:style w:type="paragraph" w:customStyle="1" w:styleId="Bibliografia1">
    <w:name w:val="Bibliografia1"/>
    <w:basedOn w:val="Normal"/>
    <w:link w:val="BibliographyCarattere"/>
    <w:rsid w:val="00DC7E78"/>
    <w:pPr>
      <w:tabs>
        <w:tab w:val="left" w:pos="380"/>
      </w:tabs>
      <w:spacing w:after="240"/>
      <w:ind w:left="384" w:hanging="384"/>
      <w:jc w:val="both"/>
    </w:pPr>
    <w:rPr>
      <w:rFonts w:ascii="Times New Roman" w:hAnsi="Times New Roman" w:cs="Times New Roman"/>
      <w:b/>
      <w:bCs/>
      <w:lang w:val="en-US"/>
    </w:rPr>
  </w:style>
  <w:style w:type="character" w:customStyle="1" w:styleId="BibliographyCarattere">
    <w:name w:val="Bibliography Carattere"/>
    <w:basedOn w:val="DefaultParagraphFont"/>
    <w:link w:val="Bibliografia1"/>
    <w:rsid w:val="00DC7E78"/>
    <w:rPr>
      <w:rFonts w:ascii="Times New Roman" w:hAnsi="Times New Roman" w:cs="Times New Roman"/>
      <w:b/>
      <w:bCs/>
      <w:lang w:val="en-US"/>
    </w:rPr>
  </w:style>
  <w:style w:type="paragraph" w:styleId="ListParagraph">
    <w:name w:val="List Paragraph"/>
    <w:basedOn w:val="Normal"/>
    <w:uiPriority w:val="34"/>
    <w:qFormat/>
    <w:rsid w:val="00621EDF"/>
    <w:pPr>
      <w:ind w:left="720"/>
      <w:contextualSpacing/>
    </w:pPr>
  </w:style>
  <w:style w:type="character" w:customStyle="1" w:styleId="CommentSubjectChar">
    <w:name w:val="Comment Subject Char"/>
    <w:basedOn w:val="CommentTextChar"/>
    <w:link w:val="CommentSubject"/>
    <w:uiPriority w:val="99"/>
    <w:semiHidden/>
    <w:rsid w:val="00621EDF"/>
    <w:rPr>
      <w:b/>
      <w:bCs/>
      <w:sz w:val="20"/>
      <w:szCs w:val="20"/>
      <w:lang w:val="es-ES"/>
    </w:rPr>
  </w:style>
  <w:style w:type="paragraph" w:styleId="CommentSubject">
    <w:name w:val="annotation subject"/>
    <w:basedOn w:val="CommentText"/>
    <w:next w:val="CommentText"/>
    <w:link w:val="CommentSubjectChar"/>
    <w:uiPriority w:val="99"/>
    <w:semiHidden/>
    <w:unhideWhenUsed/>
    <w:rsid w:val="00621EDF"/>
    <w:rPr>
      <w:b/>
      <w:bCs/>
    </w:rPr>
  </w:style>
  <w:style w:type="character" w:customStyle="1" w:styleId="BalloonTextChar">
    <w:name w:val="Balloon Text Char"/>
    <w:basedOn w:val="DefaultParagraphFont"/>
    <w:link w:val="BalloonText"/>
    <w:uiPriority w:val="99"/>
    <w:semiHidden/>
    <w:rsid w:val="00621EDF"/>
    <w:rPr>
      <w:rFonts w:ascii="Tahoma" w:hAnsi="Tahoma" w:cs="Tahoma"/>
      <w:sz w:val="16"/>
      <w:szCs w:val="16"/>
      <w:lang w:val="es-ES"/>
    </w:rPr>
  </w:style>
  <w:style w:type="paragraph" w:styleId="BalloonText">
    <w:name w:val="Balloon Text"/>
    <w:basedOn w:val="Normal"/>
    <w:link w:val="BalloonTextChar"/>
    <w:uiPriority w:val="99"/>
    <w:semiHidden/>
    <w:unhideWhenUsed/>
    <w:rsid w:val="00621EDF"/>
    <w:rPr>
      <w:rFonts w:ascii="Tahoma" w:hAnsi="Tahoma" w:cs="Tahoma"/>
      <w:sz w:val="16"/>
      <w:szCs w:val="16"/>
    </w:rPr>
  </w:style>
  <w:style w:type="character" w:customStyle="1" w:styleId="HTMLPreformattedChar">
    <w:name w:val="HTML Preformatted Char"/>
    <w:basedOn w:val="DefaultParagraphFont"/>
    <w:link w:val="HTMLPreformatted"/>
    <w:uiPriority w:val="99"/>
    <w:semiHidden/>
    <w:rsid w:val="00621EDF"/>
    <w:rPr>
      <w:rFonts w:ascii="Courier New" w:eastAsia="Times New Roman" w:hAnsi="Courier New" w:cs="Courier New"/>
      <w:sz w:val="20"/>
      <w:szCs w:val="20"/>
      <w:lang w:eastAsia="it-IT"/>
    </w:rPr>
  </w:style>
  <w:style w:type="paragraph" w:styleId="HTMLPreformatted">
    <w:name w:val="HTML Preformatted"/>
    <w:basedOn w:val="Normal"/>
    <w:link w:val="HTMLPreformattedChar"/>
    <w:uiPriority w:val="99"/>
    <w:semiHidden/>
    <w:unhideWhenUsed/>
    <w:rsid w:val="00621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styleId="Emphasis">
    <w:name w:val="Emphasis"/>
    <w:basedOn w:val="DefaultParagraphFont"/>
    <w:uiPriority w:val="20"/>
    <w:qFormat/>
    <w:rsid w:val="00621EDF"/>
    <w:rPr>
      <w:i/>
      <w:iCs/>
    </w:rPr>
  </w:style>
  <w:style w:type="character" w:customStyle="1" w:styleId="Heading2Char">
    <w:name w:val="Heading 2 Char"/>
    <w:basedOn w:val="DefaultParagraphFont"/>
    <w:link w:val="Heading2"/>
    <w:uiPriority w:val="9"/>
    <w:rsid w:val="005E7C5B"/>
    <w:rPr>
      <w:rFonts w:asciiTheme="majorHAnsi" w:eastAsiaTheme="majorEastAsia" w:hAnsiTheme="majorHAnsi" w:cstheme="majorBidi"/>
      <w:color w:val="2F5496" w:themeColor="accent1" w:themeShade="BF"/>
      <w:sz w:val="26"/>
      <w:szCs w:val="26"/>
      <w:lang w:val="es-ES"/>
    </w:rPr>
  </w:style>
  <w:style w:type="paragraph" w:styleId="TOC1">
    <w:name w:val="toc 1"/>
    <w:basedOn w:val="Normal"/>
    <w:next w:val="Normal"/>
    <w:autoRedefine/>
    <w:uiPriority w:val="39"/>
    <w:unhideWhenUsed/>
    <w:rsid w:val="005E7C5B"/>
    <w:pPr>
      <w:spacing w:before="120" w:after="120"/>
    </w:pPr>
    <w:rPr>
      <w:rFonts w:cstheme="minorHAnsi"/>
      <w:b/>
      <w:bCs/>
      <w:caps/>
      <w:sz w:val="20"/>
      <w:szCs w:val="20"/>
    </w:rPr>
  </w:style>
  <w:style w:type="paragraph" w:styleId="TOC2">
    <w:name w:val="toc 2"/>
    <w:basedOn w:val="Normal"/>
    <w:next w:val="Normal"/>
    <w:autoRedefine/>
    <w:uiPriority w:val="39"/>
    <w:unhideWhenUsed/>
    <w:rsid w:val="005E7C5B"/>
    <w:pPr>
      <w:ind w:left="240"/>
    </w:pPr>
    <w:rPr>
      <w:rFonts w:cstheme="minorHAnsi"/>
      <w:smallCaps/>
      <w:sz w:val="20"/>
      <w:szCs w:val="20"/>
    </w:rPr>
  </w:style>
  <w:style w:type="paragraph" w:styleId="TOC3">
    <w:name w:val="toc 3"/>
    <w:basedOn w:val="Normal"/>
    <w:next w:val="Normal"/>
    <w:autoRedefine/>
    <w:uiPriority w:val="39"/>
    <w:unhideWhenUsed/>
    <w:rsid w:val="005E7C5B"/>
    <w:pPr>
      <w:ind w:left="480"/>
    </w:pPr>
    <w:rPr>
      <w:rFonts w:cstheme="minorHAnsi"/>
      <w:i/>
      <w:iCs/>
      <w:sz w:val="20"/>
      <w:szCs w:val="20"/>
    </w:rPr>
  </w:style>
  <w:style w:type="paragraph" w:styleId="TOC4">
    <w:name w:val="toc 4"/>
    <w:basedOn w:val="Normal"/>
    <w:next w:val="Normal"/>
    <w:autoRedefine/>
    <w:uiPriority w:val="39"/>
    <w:unhideWhenUsed/>
    <w:rsid w:val="005E7C5B"/>
    <w:pPr>
      <w:ind w:left="720"/>
    </w:pPr>
    <w:rPr>
      <w:rFonts w:cstheme="minorHAnsi"/>
      <w:sz w:val="18"/>
      <w:szCs w:val="18"/>
    </w:rPr>
  </w:style>
  <w:style w:type="paragraph" w:styleId="TOC5">
    <w:name w:val="toc 5"/>
    <w:basedOn w:val="Normal"/>
    <w:next w:val="Normal"/>
    <w:autoRedefine/>
    <w:uiPriority w:val="39"/>
    <w:unhideWhenUsed/>
    <w:rsid w:val="005E7C5B"/>
    <w:pPr>
      <w:ind w:left="960"/>
    </w:pPr>
    <w:rPr>
      <w:rFonts w:cstheme="minorHAnsi"/>
      <w:sz w:val="18"/>
      <w:szCs w:val="18"/>
    </w:rPr>
  </w:style>
  <w:style w:type="paragraph" w:styleId="TOC6">
    <w:name w:val="toc 6"/>
    <w:basedOn w:val="Normal"/>
    <w:next w:val="Normal"/>
    <w:autoRedefine/>
    <w:uiPriority w:val="39"/>
    <w:unhideWhenUsed/>
    <w:rsid w:val="005E7C5B"/>
    <w:pPr>
      <w:ind w:left="1200"/>
    </w:pPr>
    <w:rPr>
      <w:rFonts w:cstheme="minorHAnsi"/>
      <w:sz w:val="18"/>
      <w:szCs w:val="18"/>
    </w:rPr>
  </w:style>
  <w:style w:type="paragraph" w:styleId="TOC7">
    <w:name w:val="toc 7"/>
    <w:basedOn w:val="Normal"/>
    <w:next w:val="Normal"/>
    <w:autoRedefine/>
    <w:uiPriority w:val="39"/>
    <w:unhideWhenUsed/>
    <w:rsid w:val="005E7C5B"/>
    <w:pPr>
      <w:ind w:left="1440"/>
    </w:pPr>
    <w:rPr>
      <w:rFonts w:cstheme="minorHAnsi"/>
      <w:sz w:val="18"/>
      <w:szCs w:val="18"/>
    </w:rPr>
  </w:style>
  <w:style w:type="paragraph" w:styleId="TOC8">
    <w:name w:val="toc 8"/>
    <w:basedOn w:val="Normal"/>
    <w:next w:val="Normal"/>
    <w:autoRedefine/>
    <w:uiPriority w:val="39"/>
    <w:unhideWhenUsed/>
    <w:rsid w:val="005E7C5B"/>
    <w:pPr>
      <w:ind w:left="1680"/>
    </w:pPr>
    <w:rPr>
      <w:rFonts w:cstheme="minorHAnsi"/>
      <w:sz w:val="18"/>
      <w:szCs w:val="18"/>
    </w:rPr>
  </w:style>
  <w:style w:type="paragraph" w:styleId="TOC9">
    <w:name w:val="toc 9"/>
    <w:basedOn w:val="Normal"/>
    <w:next w:val="Normal"/>
    <w:autoRedefine/>
    <w:uiPriority w:val="39"/>
    <w:unhideWhenUsed/>
    <w:rsid w:val="005E7C5B"/>
    <w:pPr>
      <w:ind w:left="1920"/>
    </w:pPr>
    <w:rPr>
      <w:rFonts w:cstheme="minorHAnsi"/>
      <w:sz w:val="18"/>
      <w:szCs w:val="18"/>
    </w:rPr>
  </w:style>
  <w:style w:type="character" w:styleId="Hyperlink">
    <w:name w:val="Hyperlink"/>
    <w:basedOn w:val="DefaultParagraphFont"/>
    <w:uiPriority w:val="99"/>
    <w:unhideWhenUsed/>
    <w:rsid w:val="005E7C5B"/>
    <w:rPr>
      <w:color w:val="0563C1" w:themeColor="hyperlink"/>
      <w:u w:val="single"/>
    </w:rPr>
  </w:style>
  <w:style w:type="paragraph" w:styleId="Revision">
    <w:name w:val="Revision"/>
    <w:hidden/>
    <w:uiPriority w:val="99"/>
    <w:semiHidden/>
    <w:rsid w:val="007121CD"/>
    <w:rPr>
      <w:lang w:val="es-ES"/>
    </w:rPr>
  </w:style>
  <w:style w:type="character" w:styleId="LineNumber">
    <w:name w:val="line number"/>
    <w:basedOn w:val="DefaultParagraphFont"/>
    <w:uiPriority w:val="99"/>
    <w:semiHidden/>
    <w:unhideWhenUsed/>
    <w:rsid w:val="00CB28A0"/>
  </w:style>
  <w:style w:type="paragraph" w:styleId="Footer">
    <w:name w:val="footer"/>
    <w:basedOn w:val="Normal"/>
    <w:link w:val="FooterChar"/>
    <w:uiPriority w:val="99"/>
    <w:unhideWhenUsed/>
    <w:rsid w:val="00CB28A0"/>
    <w:pPr>
      <w:tabs>
        <w:tab w:val="center" w:pos="4513"/>
        <w:tab w:val="right" w:pos="9026"/>
      </w:tabs>
    </w:pPr>
  </w:style>
  <w:style w:type="character" w:customStyle="1" w:styleId="FooterChar">
    <w:name w:val="Footer Char"/>
    <w:basedOn w:val="DefaultParagraphFont"/>
    <w:link w:val="Footer"/>
    <w:uiPriority w:val="99"/>
    <w:rsid w:val="00CB28A0"/>
    <w:rPr>
      <w:lang w:val="es-ES"/>
    </w:rPr>
  </w:style>
  <w:style w:type="character" w:styleId="PageNumber">
    <w:name w:val="page number"/>
    <w:basedOn w:val="DefaultParagraphFont"/>
    <w:uiPriority w:val="99"/>
    <w:semiHidden/>
    <w:unhideWhenUsed/>
    <w:rsid w:val="00CB28A0"/>
  </w:style>
  <w:style w:type="character" w:customStyle="1" w:styleId="apple-converted-space">
    <w:name w:val="apple-converted-space"/>
    <w:basedOn w:val="DefaultParagraphFont"/>
    <w:rsid w:val="00CB28A0"/>
  </w:style>
  <w:style w:type="paragraph" w:styleId="NormalWeb">
    <w:name w:val="Normal (Web)"/>
    <w:basedOn w:val="Normal"/>
    <w:uiPriority w:val="99"/>
    <w:unhideWhenUsed/>
    <w:rsid w:val="004159B8"/>
    <w:pPr>
      <w:spacing w:before="100" w:beforeAutospacing="1" w:after="100" w:afterAutospacing="1"/>
    </w:pPr>
    <w:rPr>
      <w:rFonts w:ascii="Times New Roman" w:eastAsia="Times New Roman" w:hAnsi="Times New Roman" w:cs="Times New Roman"/>
      <w:lang w:eastAsia="it-IT"/>
    </w:rPr>
  </w:style>
  <w:style w:type="character" w:customStyle="1" w:styleId="code">
    <w:name w:val="code"/>
    <w:basedOn w:val="DefaultParagraphFont"/>
    <w:rsid w:val="00C72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0543">
      <w:bodyDiv w:val="1"/>
      <w:marLeft w:val="0"/>
      <w:marRight w:val="0"/>
      <w:marTop w:val="0"/>
      <w:marBottom w:val="0"/>
      <w:divBdr>
        <w:top w:val="none" w:sz="0" w:space="0" w:color="auto"/>
        <w:left w:val="none" w:sz="0" w:space="0" w:color="auto"/>
        <w:bottom w:val="none" w:sz="0" w:space="0" w:color="auto"/>
        <w:right w:val="none" w:sz="0" w:space="0" w:color="auto"/>
      </w:divBdr>
    </w:div>
    <w:div w:id="768888669">
      <w:bodyDiv w:val="1"/>
      <w:marLeft w:val="0"/>
      <w:marRight w:val="0"/>
      <w:marTop w:val="0"/>
      <w:marBottom w:val="0"/>
      <w:divBdr>
        <w:top w:val="none" w:sz="0" w:space="0" w:color="auto"/>
        <w:left w:val="none" w:sz="0" w:space="0" w:color="auto"/>
        <w:bottom w:val="none" w:sz="0" w:space="0" w:color="auto"/>
        <w:right w:val="none" w:sz="0" w:space="0" w:color="auto"/>
      </w:divBdr>
    </w:div>
    <w:div w:id="848645007">
      <w:bodyDiv w:val="1"/>
      <w:marLeft w:val="0"/>
      <w:marRight w:val="0"/>
      <w:marTop w:val="0"/>
      <w:marBottom w:val="0"/>
      <w:divBdr>
        <w:top w:val="none" w:sz="0" w:space="0" w:color="auto"/>
        <w:left w:val="none" w:sz="0" w:space="0" w:color="auto"/>
        <w:bottom w:val="none" w:sz="0" w:space="0" w:color="auto"/>
        <w:right w:val="none" w:sz="0" w:space="0" w:color="auto"/>
      </w:divBdr>
    </w:div>
    <w:div w:id="1288901203">
      <w:bodyDiv w:val="1"/>
      <w:marLeft w:val="0"/>
      <w:marRight w:val="0"/>
      <w:marTop w:val="0"/>
      <w:marBottom w:val="0"/>
      <w:divBdr>
        <w:top w:val="none" w:sz="0" w:space="0" w:color="auto"/>
        <w:left w:val="none" w:sz="0" w:space="0" w:color="auto"/>
        <w:bottom w:val="none" w:sz="0" w:space="0" w:color="auto"/>
        <w:right w:val="none" w:sz="0" w:space="0" w:color="auto"/>
      </w:divBdr>
    </w:div>
    <w:div w:id="1291280968">
      <w:bodyDiv w:val="1"/>
      <w:marLeft w:val="0"/>
      <w:marRight w:val="0"/>
      <w:marTop w:val="0"/>
      <w:marBottom w:val="0"/>
      <w:divBdr>
        <w:top w:val="none" w:sz="0" w:space="0" w:color="auto"/>
        <w:left w:val="none" w:sz="0" w:space="0" w:color="auto"/>
        <w:bottom w:val="none" w:sz="0" w:space="0" w:color="auto"/>
        <w:right w:val="none" w:sz="0" w:space="0" w:color="auto"/>
      </w:divBdr>
    </w:div>
    <w:div w:id="1361852720">
      <w:bodyDiv w:val="1"/>
      <w:marLeft w:val="0"/>
      <w:marRight w:val="0"/>
      <w:marTop w:val="0"/>
      <w:marBottom w:val="0"/>
      <w:divBdr>
        <w:top w:val="none" w:sz="0" w:space="0" w:color="auto"/>
        <w:left w:val="none" w:sz="0" w:space="0" w:color="auto"/>
        <w:bottom w:val="none" w:sz="0" w:space="0" w:color="auto"/>
        <w:right w:val="none" w:sz="0" w:space="0" w:color="auto"/>
      </w:divBdr>
      <w:divsChild>
        <w:div w:id="1825537515">
          <w:marLeft w:val="0"/>
          <w:marRight w:val="0"/>
          <w:marTop w:val="0"/>
          <w:marBottom w:val="0"/>
          <w:divBdr>
            <w:top w:val="none" w:sz="0" w:space="0" w:color="auto"/>
            <w:left w:val="none" w:sz="0" w:space="0" w:color="auto"/>
            <w:bottom w:val="none" w:sz="0" w:space="0" w:color="auto"/>
            <w:right w:val="none" w:sz="0" w:space="0" w:color="auto"/>
          </w:divBdr>
          <w:divsChild>
            <w:div w:id="280766796">
              <w:marLeft w:val="0"/>
              <w:marRight w:val="0"/>
              <w:marTop w:val="0"/>
              <w:marBottom w:val="0"/>
              <w:divBdr>
                <w:top w:val="none" w:sz="0" w:space="0" w:color="auto"/>
                <w:left w:val="none" w:sz="0" w:space="0" w:color="auto"/>
                <w:bottom w:val="none" w:sz="0" w:space="0" w:color="auto"/>
                <w:right w:val="none" w:sz="0" w:space="0" w:color="auto"/>
              </w:divBdr>
              <w:divsChild>
                <w:div w:id="452092448">
                  <w:marLeft w:val="0"/>
                  <w:marRight w:val="0"/>
                  <w:marTop w:val="0"/>
                  <w:marBottom w:val="0"/>
                  <w:divBdr>
                    <w:top w:val="none" w:sz="0" w:space="0" w:color="auto"/>
                    <w:left w:val="none" w:sz="0" w:space="0" w:color="auto"/>
                    <w:bottom w:val="none" w:sz="0" w:space="0" w:color="auto"/>
                    <w:right w:val="none" w:sz="0" w:space="0" w:color="auto"/>
                  </w:divBdr>
                  <w:divsChild>
                    <w:div w:id="3489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8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4D355-1E43-4937-AF0D-EAFCE3BA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6420</Words>
  <Characters>36598</Characters>
  <Application>Microsoft Office Word</Application>
  <DocSecurity>0</DocSecurity>
  <Lines>304</Lines>
  <Paragraphs>85</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SCHETTINI</dc:creator>
  <cp:keywords/>
  <dc:description/>
  <cp:lastModifiedBy>Gopinath M.</cp:lastModifiedBy>
  <cp:revision>4</cp:revision>
  <cp:lastPrinted>2022-01-22T18:41:00Z</cp:lastPrinted>
  <dcterms:created xsi:type="dcterms:W3CDTF">2022-12-18T17:50:00Z</dcterms:created>
  <dcterms:modified xsi:type="dcterms:W3CDTF">2022-12-26T13:59:00Z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id="dOXAMFaN"/&gt;&lt;style id="http://www.zotero.org/styles/annals-of-oncology" hasBibliography="1" bibliographyStyleHasBeenSet="1"/&gt;&lt;prefs&gt;&lt;pref name="fieldType" value="Field"/&gt;&lt;/prefs&gt;&lt;/data&gt;</vt:lpwstr>
  </property>
</Properties>
</file>