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B91A" w14:textId="77777777" w:rsidR="008E09CA" w:rsidRPr="00C440B6" w:rsidRDefault="008E09CA" w:rsidP="008E09CA">
      <w:pPr>
        <w:spacing w:line="480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Fig.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S1 </w:t>
      </w:r>
      <w:r w:rsidRPr="004C3953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 Vivo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TIL and Tumor Phenotype Changes with B78 Tumor Progression and CpG+OX40 </w:t>
      </w:r>
      <w:r w:rsidRPr="004C3953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 Vivo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Effect on Tumor Tregs in Small (~100 mm</w:t>
      </w:r>
      <w:r w:rsidRPr="004C395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3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>) B78 Tumors</w:t>
      </w:r>
    </w:p>
    <w:p w14:paraId="0210F6C3" w14:textId="77777777" w:rsidR="008E09CA" w:rsidRPr="00CB5CB3" w:rsidRDefault="008E09CA" w:rsidP="008E09C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C3953">
        <w:rPr>
          <w:rFonts w:asciiTheme="minorHAnsi" w:hAnsiTheme="minorHAnsi" w:cstheme="minorHAnsi"/>
          <w:b/>
          <w:bCs/>
          <w:sz w:val="22"/>
          <w:szCs w:val="22"/>
        </w:rPr>
        <w:t>(A)</w:t>
      </w:r>
      <w:r w:rsidRPr="004C3953">
        <w:rPr>
          <w:rFonts w:asciiTheme="minorHAnsi" w:hAnsiTheme="minorHAnsi" w:cstheme="minorHAnsi"/>
          <w:sz w:val="22"/>
          <w:szCs w:val="22"/>
        </w:rPr>
        <w:t xml:space="preserve"> Immune cell (CD3+, CD4+ non-Treg, CD8+, Treg) to live cell ratios in untreated small (~100 mm</w:t>
      </w:r>
      <w:r w:rsidRPr="004C3953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C3953">
        <w:rPr>
          <w:rFonts w:asciiTheme="minorHAnsi" w:hAnsiTheme="minorHAnsi" w:cstheme="minorHAnsi"/>
          <w:sz w:val="22"/>
          <w:szCs w:val="22"/>
        </w:rPr>
        <w:t xml:space="preserve">, in red) and large </w:t>
      </w:r>
      <w:r w:rsidRPr="00F5131F">
        <w:rPr>
          <w:rFonts w:asciiTheme="minorHAnsi" w:hAnsiTheme="minorHAnsi" w:cstheme="minorHAnsi"/>
          <w:color w:val="000000" w:themeColor="text1"/>
          <w:sz w:val="22"/>
          <w:szCs w:val="22"/>
        </w:rPr>
        <w:t>(~350 mm</w:t>
      </w:r>
      <w:r w:rsidRPr="00F5131F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3</w:t>
      </w:r>
      <w:r w:rsidRPr="00F5131F">
        <w:rPr>
          <w:rFonts w:asciiTheme="minorHAnsi" w:hAnsiTheme="minorHAnsi" w:cstheme="minorHAnsi"/>
          <w:color w:val="000000" w:themeColor="text1"/>
          <w:sz w:val="22"/>
          <w:szCs w:val="22"/>
        </w:rPr>
        <w:t>, in blue) B78 tumors</w:t>
      </w:r>
      <w:r w:rsidRPr="00F5131F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 xml:space="preserve">. </w:t>
      </w:r>
      <w:r w:rsidRPr="00F5131F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  <w:bdr w:val="none" w:sz="0" w:space="0" w:color="auto" w:frame="1"/>
        </w:rPr>
        <w:t>The average Treg/CD3 ratio here for small tumors is 0.024 and for large tumors is 0.021.</w:t>
      </w:r>
      <w:r w:rsidRPr="00F5131F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</w:p>
    <w:p w14:paraId="5FD741EC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3953">
        <w:rPr>
          <w:rFonts w:asciiTheme="minorHAnsi" w:hAnsiTheme="minorHAnsi" w:cstheme="minorHAnsi"/>
          <w:b/>
          <w:bCs/>
          <w:sz w:val="22"/>
          <w:szCs w:val="22"/>
        </w:rPr>
        <w:t>(B)</w:t>
      </w:r>
      <w:r w:rsidRPr="004C3953">
        <w:rPr>
          <w:rFonts w:asciiTheme="minorHAnsi" w:hAnsiTheme="minorHAnsi" w:cstheme="minorHAnsi"/>
          <w:sz w:val="22"/>
          <w:szCs w:val="22"/>
        </w:rPr>
        <w:t xml:space="preserve"> PD-1 MFI on CD45+ cells in the TME of small (red) and large (blue) untreated B78 tumors.</w:t>
      </w:r>
    </w:p>
    <w:p w14:paraId="6008E595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3953">
        <w:rPr>
          <w:rFonts w:asciiTheme="minorHAnsi" w:hAnsiTheme="minorHAnsi" w:cstheme="minorHAnsi"/>
          <w:b/>
          <w:bCs/>
          <w:sz w:val="22"/>
          <w:szCs w:val="22"/>
        </w:rPr>
        <w:t>(C)</w:t>
      </w:r>
      <w:r w:rsidRPr="004C3953">
        <w:rPr>
          <w:rFonts w:asciiTheme="minorHAnsi" w:hAnsiTheme="minorHAnsi" w:cstheme="minorHAnsi"/>
          <w:sz w:val="22"/>
          <w:szCs w:val="22"/>
        </w:rPr>
        <w:t xml:space="preserve"> MHC-I and MHC-II MFI on GD2+ tumor cells in the TME of small (red) and large (blue) untreated B78 tumors.</w:t>
      </w:r>
    </w:p>
    <w:p w14:paraId="505C76B8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3953">
        <w:rPr>
          <w:rFonts w:asciiTheme="minorHAnsi" w:hAnsiTheme="minorHAnsi" w:cstheme="minorHAnsi"/>
          <w:b/>
          <w:bCs/>
          <w:sz w:val="22"/>
          <w:szCs w:val="22"/>
        </w:rPr>
        <w:t>(D)</w:t>
      </w:r>
      <w:r w:rsidRPr="004C3953">
        <w:rPr>
          <w:rFonts w:asciiTheme="minorHAnsi" w:hAnsiTheme="minorHAnsi" w:cstheme="minorHAnsi"/>
          <w:sz w:val="22"/>
          <w:szCs w:val="22"/>
        </w:rPr>
        <w:t xml:space="preserve"> Ratio of live GD2+ cells to total events collected in small (red) and large (blue) untreated B78 tumors. </w:t>
      </w:r>
    </w:p>
    <w:p w14:paraId="064358C6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3953">
        <w:rPr>
          <w:rFonts w:asciiTheme="minorHAnsi" w:hAnsiTheme="minorHAnsi" w:cstheme="minorHAnsi"/>
          <w:b/>
          <w:bCs/>
          <w:sz w:val="22"/>
          <w:szCs w:val="22"/>
        </w:rPr>
        <w:t>(E)</w:t>
      </w:r>
      <w:r w:rsidRPr="004C3953">
        <w:rPr>
          <w:rFonts w:asciiTheme="minorHAnsi" w:hAnsiTheme="minorHAnsi" w:cstheme="minorHAnsi"/>
          <w:sz w:val="22"/>
          <w:szCs w:val="22"/>
        </w:rPr>
        <w:t xml:space="preserve"> Ratios of Treg (CD45+ CD4+ CD25+ FoxP3+) to CD45+ cells in the TME of small B78 tumors (~100-150 mm</w:t>
      </w:r>
      <w:r w:rsidRPr="004C3953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C3953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on day 9 </w:t>
      </w:r>
      <w:r w:rsidRPr="004C3953">
        <w:rPr>
          <w:rFonts w:asciiTheme="minorHAnsi" w:hAnsiTheme="minorHAnsi" w:cstheme="minorHAnsi"/>
          <w:sz w:val="22"/>
          <w:szCs w:val="22"/>
        </w:rPr>
        <w:t>after IT treatment on d. 0, 2, and 4 with PBS (black) or CpG+OX40 (red). Each symbol represents the cell ratio of one mouse, and the black bar represents the group median. P values calculated via Mann-Whitney t-test. *, P</w:t>
      </w:r>
      <w:r w:rsidRPr="004C395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≤0.05; </w:t>
      </w:r>
      <w:r w:rsidRPr="004C3953">
        <w:rPr>
          <w:rFonts w:asciiTheme="minorHAnsi" w:hAnsiTheme="minorHAnsi" w:cstheme="minorHAnsi"/>
          <w:sz w:val="22"/>
          <w:szCs w:val="22"/>
        </w:rPr>
        <w:t>**, P</w:t>
      </w:r>
      <w:r w:rsidRPr="004C395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≤0.01 </w:t>
      </w:r>
    </w:p>
    <w:p w14:paraId="60B154EE" w14:textId="77777777" w:rsidR="008E09CA" w:rsidRPr="00F5131F" w:rsidRDefault="008E09CA" w:rsidP="008E09C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  <w:r w:rsidRPr="00F5131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Fig. S2 Flow Gating Strategy for Tumor Phenotype Analysis</w:t>
      </w:r>
    </w:p>
    <w:p w14:paraId="0E1426B9" w14:textId="77777777" w:rsidR="008E09CA" w:rsidRPr="00F5131F" w:rsidRDefault="008E09CA" w:rsidP="008E09C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F5131F">
        <w:rPr>
          <w:rFonts w:asciiTheme="minorHAnsi" w:hAnsiTheme="minorHAnsi" w:cstheme="minorHAnsi"/>
          <w:sz w:val="22"/>
          <w:szCs w:val="22"/>
          <w:highlight w:val="yellow"/>
        </w:rPr>
        <w:t>Flow cytometry gating strategy used to analyze CD19+ phenotypic MHC-I, MHC-II, CD80, and CD86 expression in small (~150 mm</w:t>
      </w:r>
      <w:r w:rsidRPr="00F5131F">
        <w:rPr>
          <w:rFonts w:asciiTheme="minorHAnsi" w:hAnsiTheme="minorHAnsi" w:cstheme="minorHAnsi"/>
          <w:sz w:val="22"/>
          <w:szCs w:val="22"/>
          <w:highlight w:val="yellow"/>
          <w:vertAlign w:val="superscript"/>
        </w:rPr>
        <w:t>3</w:t>
      </w:r>
      <w:r w:rsidRPr="00F5131F">
        <w:rPr>
          <w:rFonts w:asciiTheme="minorHAnsi" w:hAnsiTheme="minorHAnsi" w:cstheme="minorHAnsi"/>
          <w:sz w:val="22"/>
          <w:szCs w:val="22"/>
          <w:highlight w:val="yellow"/>
        </w:rPr>
        <w:t>) untreated, large (~500 mm</w:t>
      </w:r>
      <w:r w:rsidRPr="00F5131F">
        <w:rPr>
          <w:rFonts w:asciiTheme="minorHAnsi" w:hAnsiTheme="minorHAnsi" w:cstheme="minorHAnsi"/>
          <w:sz w:val="22"/>
          <w:szCs w:val="22"/>
          <w:highlight w:val="yellow"/>
          <w:vertAlign w:val="superscript"/>
        </w:rPr>
        <w:t>3</w:t>
      </w:r>
      <w:r w:rsidRPr="00F5131F">
        <w:rPr>
          <w:rFonts w:asciiTheme="minorHAnsi" w:hAnsiTheme="minorHAnsi" w:cstheme="minorHAnsi"/>
          <w:sz w:val="22"/>
          <w:szCs w:val="22"/>
          <w:highlight w:val="yellow"/>
        </w:rPr>
        <w:t>) untreated, and large (~500 mm</w:t>
      </w:r>
      <w:r w:rsidRPr="00F5131F">
        <w:rPr>
          <w:rFonts w:asciiTheme="minorHAnsi" w:hAnsiTheme="minorHAnsi" w:cstheme="minorHAnsi"/>
          <w:sz w:val="22"/>
          <w:szCs w:val="22"/>
          <w:highlight w:val="yellow"/>
          <w:vertAlign w:val="superscript"/>
        </w:rPr>
        <w:t>3</w:t>
      </w:r>
      <w:r w:rsidRPr="00F5131F">
        <w:rPr>
          <w:rFonts w:asciiTheme="minorHAnsi" w:hAnsiTheme="minorHAnsi" w:cstheme="minorHAnsi"/>
          <w:sz w:val="22"/>
          <w:szCs w:val="22"/>
          <w:highlight w:val="yellow"/>
        </w:rPr>
        <w:t>) CpG treated A20 tumors, for the data shown in Figure 3.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61E4F24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Fig</w:t>
      </w:r>
      <w:r w:rsidRPr="00F5131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. S3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TIL Frequency Between Small and Large A20 Tumors</w:t>
      </w:r>
    </w:p>
    <w:p w14:paraId="43CED9F1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4C3953">
        <w:rPr>
          <w:rFonts w:asciiTheme="minorHAnsi" w:hAnsiTheme="minorHAnsi" w:cstheme="minorHAnsi"/>
          <w:sz w:val="22"/>
          <w:szCs w:val="22"/>
        </w:rPr>
        <w:t>TIL to CD19+ cell ratios (for CD3+, CD4+ non-Tregs, CD8+ and Treg cells) in small (~150 mm</w:t>
      </w:r>
      <w:r w:rsidRPr="004C3953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C3953">
        <w:rPr>
          <w:rFonts w:asciiTheme="minorHAnsi" w:hAnsiTheme="minorHAnsi" w:cstheme="minorHAnsi"/>
          <w:sz w:val="22"/>
          <w:szCs w:val="22"/>
        </w:rPr>
        <w:t>, in red) and large (~500 mm</w:t>
      </w:r>
      <w:r w:rsidRPr="004C3953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C3953">
        <w:rPr>
          <w:rFonts w:asciiTheme="minorHAnsi" w:hAnsiTheme="minorHAnsi" w:cstheme="minorHAnsi"/>
          <w:sz w:val="22"/>
          <w:szCs w:val="22"/>
        </w:rPr>
        <w:t xml:space="preserve">, in blue) untreated A20 tumors. The CD19 positivity was used as an indicator of the A20 tumor cells. </w:t>
      </w:r>
    </w:p>
    <w:p w14:paraId="718BBF6D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Fig</w:t>
      </w:r>
      <w:r w:rsidRPr="00F5131F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. S4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C3953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 Vitro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B78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and A20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TLR-9 Expression and 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>Macrophage Co-Culture Experiment</w:t>
      </w:r>
    </w:p>
    <w:p w14:paraId="193BA060" w14:textId="77777777" w:rsidR="008E09CA" w:rsidRPr="00BB0277" w:rsidRDefault="008E09CA" w:rsidP="008E09CA">
      <w:pPr>
        <w:spacing w:line="48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(A)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C3953">
        <w:rPr>
          <w:rFonts w:asciiTheme="minorHAnsi" w:hAnsiTheme="minorHAnsi" w:cstheme="minorHAnsi"/>
          <w:sz w:val="22"/>
          <w:szCs w:val="22"/>
        </w:rPr>
        <w:t xml:space="preserve">B78 </w:t>
      </w:r>
      <w:r>
        <w:rPr>
          <w:rFonts w:asciiTheme="minorHAnsi" w:hAnsiTheme="minorHAnsi" w:cstheme="minorHAnsi"/>
          <w:sz w:val="22"/>
          <w:szCs w:val="22"/>
        </w:rPr>
        <w:t xml:space="preserve">or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(C) </w:t>
      </w:r>
      <w:r>
        <w:rPr>
          <w:rFonts w:asciiTheme="minorHAnsi" w:hAnsiTheme="minorHAnsi" w:cstheme="minorHAnsi"/>
          <w:sz w:val="22"/>
          <w:szCs w:val="22"/>
        </w:rPr>
        <w:t xml:space="preserve">A20 </w:t>
      </w:r>
      <w:r w:rsidRPr="004C3953">
        <w:rPr>
          <w:rFonts w:asciiTheme="minorHAnsi" w:hAnsiTheme="minorHAnsi" w:cstheme="minorHAnsi"/>
          <w:sz w:val="22"/>
          <w:szCs w:val="22"/>
        </w:rPr>
        <w:t xml:space="preserve">tumor cells were co-cultured with media alone (blue), 5 </w:t>
      </w:r>
      <w:r w:rsidRPr="004C3953">
        <w:rPr>
          <w:rFonts w:asciiTheme="minorHAnsi" w:hAnsiTheme="minorHAnsi" w:cstheme="minorHAnsi"/>
          <w:sz w:val="22"/>
          <w:szCs w:val="22"/>
        </w:rPr>
        <w:sym w:font="Symbol" w:char="F06D"/>
      </w:r>
      <w:r w:rsidRPr="004C3953">
        <w:rPr>
          <w:rFonts w:asciiTheme="minorHAnsi" w:hAnsiTheme="minorHAnsi" w:cstheme="minorHAnsi"/>
          <w:sz w:val="22"/>
          <w:szCs w:val="22"/>
        </w:rPr>
        <w:t xml:space="preserve">g/mL CpG (red), or 50 </w:t>
      </w:r>
      <w:r w:rsidRPr="004C3953">
        <w:rPr>
          <w:rFonts w:asciiTheme="minorHAnsi" w:hAnsiTheme="minorHAnsi" w:cstheme="minorHAnsi"/>
          <w:sz w:val="22"/>
          <w:szCs w:val="22"/>
        </w:rPr>
        <w:sym w:font="Symbol" w:char="F06D"/>
      </w:r>
      <w:r w:rsidRPr="004C3953">
        <w:rPr>
          <w:rFonts w:asciiTheme="minorHAnsi" w:hAnsiTheme="minorHAnsi" w:cstheme="minorHAnsi"/>
          <w:sz w:val="22"/>
          <w:szCs w:val="22"/>
        </w:rPr>
        <w:t>g/mL CpG (green) either in the absence or presence of peritoneal derived macrophages (M</w:t>
      </w:r>
      <w:r w:rsidRPr="004C3953">
        <w:rPr>
          <w:rFonts w:asciiTheme="minorHAnsi" w:hAnsiTheme="minorHAnsi" w:cstheme="minorHAnsi"/>
          <w:sz w:val="22"/>
          <w:szCs w:val="22"/>
        </w:rPr>
        <w:sym w:font="Symbol" w:char="F066"/>
      </w:r>
      <w:r w:rsidRPr="004C3953">
        <w:rPr>
          <w:rFonts w:asciiTheme="minorHAnsi" w:hAnsiTheme="minorHAnsi" w:cstheme="minorHAnsi"/>
          <w:sz w:val="22"/>
          <w:szCs w:val="22"/>
        </w:rPr>
        <w:t xml:space="preserve">) from </w:t>
      </w:r>
      <w:r w:rsidRPr="004C3953">
        <w:rPr>
          <w:rFonts w:asciiTheme="minorHAnsi" w:hAnsiTheme="minorHAnsi" w:cstheme="minorHAnsi"/>
          <w:i/>
          <w:iCs/>
          <w:sz w:val="22"/>
          <w:szCs w:val="22"/>
        </w:rPr>
        <w:t>C57BL/6</w:t>
      </w:r>
      <w:r w:rsidRPr="004C395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(for B78) </w:t>
      </w:r>
      <w:r w:rsidRPr="004C3953">
        <w:rPr>
          <w:rFonts w:asciiTheme="minorHAnsi" w:hAnsiTheme="minorHAnsi" w:cstheme="minorHAnsi"/>
          <w:sz w:val="22"/>
          <w:szCs w:val="22"/>
        </w:rPr>
        <w:t xml:space="preserve">or </w:t>
      </w:r>
      <w:proofErr w:type="spellStart"/>
      <w:r w:rsidRPr="004C3953">
        <w:rPr>
          <w:rFonts w:asciiTheme="minorHAnsi" w:hAnsiTheme="minorHAnsi" w:cstheme="minorHAnsi"/>
          <w:i/>
          <w:iCs/>
          <w:sz w:val="22"/>
          <w:szCs w:val="22"/>
        </w:rPr>
        <w:t>Balb</w:t>
      </w:r>
      <w:proofErr w:type="spellEnd"/>
      <w:r w:rsidRPr="004C3953">
        <w:rPr>
          <w:rFonts w:asciiTheme="minorHAnsi" w:hAnsiTheme="minorHAnsi" w:cstheme="minorHAnsi"/>
          <w:i/>
          <w:iCs/>
          <w:sz w:val="22"/>
          <w:szCs w:val="22"/>
        </w:rPr>
        <w:t>/c</w:t>
      </w:r>
      <w:r w:rsidRPr="004C395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(for A20) </w:t>
      </w:r>
      <w:r w:rsidRPr="004C3953">
        <w:rPr>
          <w:rFonts w:asciiTheme="minorHAnsi" w:hAnsiTheme="minorHAnsi" w:cstheme="minorHAnsi"/>
          <w:sz w:val="22"/>
          <w:szCs w:val="22"/>
        </w:rPr>
        <w:t xml:space="preserve">mice. Cell proliferation (indicative of tumor cell proliferation) of each well was assessed via </w:t>
      </w:r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</w:rPr>
        <w:t>β-scintillation counting of [</w:t>
      </w:r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  <w:vertAlign w:val="superscript"/>
        </w:rPr>
        <w:t>3</w:t>
      </w:r>
      <w:proofErr w:type="gramStart"/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</w:rPr>
        <w:t>H]thymidine</w:t>
      </w:r>
      <w:proofErr w:type="gramEnd"/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 incorporation. The data plotted here are the results from two independent experiments (n=3 per condition per experiment). Average [</w:t>
      </w:r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  <w:vertAlign w:val="superscript"/>
        </w:rPr>
        <w:t>3</w:t>
      </w:r>
      <w:proofErr w:type="gramStart"/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</w:rPr>
        <w:t>H]thymidine</w:t>
      </w:r>
      <w:proofErr w:type="gramEnd"/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 uptake of each media alone condition (i.e. media without </w:t>
      </w:r>
      <w:r w:rsidRPr="004C3953">
        <w:rPr>
          <w:rFonts w:asciiTheme="minorHAnsi" w:hAnsiTheme="minorHAnsi" w:cstheme="minorHAnsi"/>
          <w:sz w:val="22"/>
          <w:szCs w:val="22"/>
        </w:rPr>
        <w:t>M</w:t>
      </w:r>
      <w:r w:rsidRPr="004C3953">
        <w:rPr>
          <w:rFonts w:asciiTheme="minorHAnsi" w:hAnsiTheme="minorHAnsi" w:cstheme="minorHAnsi"/>
          <w:sz w:val="22"/>
          <w:szCs w:val="22"/>
        </w:rPr>
        <w:sym w:font="Symbol" w:char="F066"/>
      </w:r>
      <w:r w:rsidRPr="004C3953">
        <w:rPr>
          <w:rFonts w:asciiTheme="minorHAnsi" w:hAnsiTheme="minorHAnsi" w:cstheme="minorHAnsi"/>
          <w:sz w:val="22"/>
          <w:szCs w:val="22"/>
        </w:rPr>
        <w:t xml:space="preserve">, media with </w:t>
      </w:r>
      <w:r w:rsidRPr="004C3953">
        <w:rPr>
          <w:rFonts w:asciiTheme="minorHAnsi" w:hAnsiTheme="minorHAnsi" w:cstheme="minorHAnsi"/>
          <w:i/>
          <w:iCs/>
          <w:sz w:val="22"/>
          <w:szCs w:val="22"/>
        </w:rPr>
        <w:t>C57BL/6</w:t>
      </w:r>
      <w:r w:rsidRPr="004C3953">
        <w:rPr>
          <w:rFonts w:asciiTheme="minorHAnsi" w:hAnsiTheme="minorHAnsi" w:cstheme="minorHAnsi"/>
          <w:sz w:val="22"/>
          <w:szCs w:val="22"/>
        </w:rPr>
        <w:t xml:space="preserve"> M</w:t>
      </w:r>
      <w:r w:rsidRPr="004C3953">
        <w:rPr>
          <w:rFonts w:asciiTheme="minorHAnsi" w:hAnsiTheme="minorHAnsi" w:cstheme="minorHAnsi"/>
          <w:sz w:val="22"/>
          <w:szCs w:val="22"/>
        </w:rPr>
        <w:sym w:font="Symbol" w:char="F066"/>
      </w:r>
      <w:r w:rsidRPr="004C3953">
        <w:rPr>
          <w:rFonts w:asciiTheme="minorHAnsi" w:hAnsiTheme="minorHAnsi" w:cstheme="minorHAnsi"/>
          <w:sz w:val="22"/>
          <w:szCs w:val="22"/>
        </w:rPr>
        <w:t xml:space="preserve">, media with </w:t>
      </w:r>
      <w:proofErr w:type="spellStart"/>
      <w:r w:rsidRPr="004C3953">
        <w:rPr>
          <w:rFonts w:asciiTheme="minorHAnsi" w:hAnsiTheme="minorHAnsi" w:cstheme="minorHAnsi"/>
          <w:i/>
          <w:iCs/>
          <w:sz w:val="22"/>
          <w:szCs w:val="22"/>
        </w:rPr>
        <w:t>Balb</w:t>
      </w:r>
      <w:proofErr w:type="spellEnd"/>
      <w:r w:rsidRPr="004C3953">
        <w:rPr>
          <w:rFonts w:asciiTheme="minorHAnsi" w:hAnsiTheme="minorHAnsi" w:cstheme="minorHAnsi"/>
          <w:i/>
          <w:iCs/>
          <w:sz w:val="22"/>
          <w:szCs w:val="22"/>
        </w:rPr>
        <w:t>/c</w:t>
      </w:r>
      <w:r w:rsidRPr="004C3953">
        <w:rPr>
          <w:rFonts w:asciiTheme="minorHAnsi" w:hAnsiTheme="minorHAnsi" w:cstheme="minorHAnsi"/>
          <w:sz w:val="22"/>
          <w:szCs w:val="22"/>
        </w:rPr>
        <w:t xml:space="preserve"> M</w:t>
      </w:r>
      <w:r w:rsidRPr="004C3953">
        <w:rPr>
          <w:rFonts w:asciiTheme="minorHAnsi" w:hAnsiTheme="minorHAnsi" w:cstheme="minorHAnsi"/>
          <w:sz w:val="22"/>
          <w:szCs w:val="22"/>
        </w:rPr>
        <w:sym w:font="Symbol" w:char="F066"/>
      </w:r>
      <w:r w:rsidRPr="004C3953">
        <w:rPr>
          <w:rFonts w:asciiTheme="minorHAnsi" w:hAnsiTheme="minorHAnsi" w:cstheme="minorHAnsi"/>
          <w:sz w:val="22"/>
          <w:szCs w:val="22"/>
        </w:rPr>
        <w:t>) was calculated for each separate experiment, then used to determine intra-</w:t>
      </w:r>
      <w:r w:rsidRPr="004C3953">
        <w:rPr>
          <w:rFonts w:asciiTheme="minorHAnsi" w:hAnsiTheme="minorHAnsi" w:cstheme="minorHAnsi"/>
          <w:sz w:val="22"/>
          <w:szCs w:val="22"/>
        </w:rPr>
        <w:lastRenderedPageBreak/>
        <w:t>experimental fold-change differences for each sample in that particular macrophage condition.</w:t>
      </w:r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 Each symbol represents the fold change from one well. </w:t>
      </w:r>
      <w:r>
        <w:rPr>
          <w:rStyle w:val="normaltextrun"/>
          <w:rFonts w:asciiTheme="minorHAnsi" w:eastAsia="Calibri" w:hAnsiTheme="minorHAnsi" w:cstheme="minorHAnsi"/>
          <w:bCs/>
          <w:sz w:val="22"/>
          <w:szCs w:val="22"/>
        </w:rPr>
        <w:t xml:space="preserve">(B) </w:t>
      </w:r>
      <w:r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B78 or </w:t>
      </w:r>
      <w:r>
        <w:rPr>
          <w:rStyle w:val="normaltextrun"/>
          <w:rFonts w:asciiTheme="minorHAnsi" w:eastAsia="Calibri" w:hAnsiTheme="minorHAnsi" w:cstheme="minorHAnsi"/>
          <w:bCs/>
          <w:sz w:val="22"/>
          <w:szCs w:val="22"/>
        </w:rPr>
        <w:t xml:space="preserve">(D) </w:t>
      </w:r>
      <w:r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A20 tumor cells were harvested, fixed, permeabilized, and stained with anti-TLR-9 (blue line) or isotype control (gray shaded) to evaluate for TLR-9 expression. </w:t>
      </w:r>
      <w:r>
        <w:rPr>
          <w:rStyle w:val="normaltextrun"/>
          <w:rFonts w:asciiTheme="minorHAnsi" w:eastAsia="Calibri" w:hAnsiTheme="minorHAnsi" w:cstheme="minorHAnsi"/>
          <w:bCs/>
          <w:sz w:val="22"/>
          <w:szCs w:val="22"/>
        </w:rPr>
        <w:t xml:space="preserve">(E) </w:t>
      </w:r>
      <w:r w:rsidRPr="004C3953">
        <w:rPr>
          <w:rFonts w:asciiTheme="minorHAnsi" w:hAnsiTheme="minorHAnsi" w:cstheme="minorHAnsi"/>
          <w:sz w:val="22"/>
          <w:szCs w:val="22"/>
        </w:rPr>
        <w:t xml:space="preserve">A20 cells were co-cultured with media alone (black) or 3 </w:t>
      </w:r>
      <w:r w:rsidRPr="004C3953">
        <w:rPr>
          <w:rFonts w:asciiTheme="minorHAnsi" w:hAnsiTheme="minorHAnsi" w:cstheme="minorHAnsi"/>
          <w:sz w:val="22"/>
          <w:szCs w:val="22"/>
        </w:rPr>
        <w:sym w:font="Symbol" w:char="F06D"/>
      </w:r>
      <w:r w:rsidRPr="004C3953">
        <w:rPr>
          <w:rFonts w:asciiTheme="minorHAnsi" w:hAnsiTheme="minorHAnsi" w:cstheme="minorHAnsi"/>
          <w:sz w:val="22"/>
          <w:szCs w:val="22"/>
        </w:rPr>
        <w:t>g/mL of CpG (green) for 72 hours before A20 cells were harvested and analyzed via flow cytometry. Average (+/- SEM) median fluorescence intensity (MFI) for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C3953">
        <w:rPr>
          <w:rFonts w:asciiTheme="minorHAnsi" w:hAnsiTheme="minorHAnsi" w:cstheme="minorHAnsi"/>
          <w:sz w:val="22"/>
          <w:szCs w:val="22"/>
        </w:rPr>
        <w:t>CD80,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C3953">
        <w:rPr>
          <w:rFonts w:asciiTheme="minorHAnsi" w:hAnsiTheme="minorHAnsi" w:cstheme="minorHAnsi"/>
          <w:sz w:val="22"/>
          <w:szCs w:val="22"/>
        </w:rPr>
        <w:t>CD86, MHC-I, and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C3953">
        <w:rPr>
          <w:rFonts w:asciiTheme="minorHAnsi" w:hAnsiTheme="minorHAnsi" w:cstheme="minorHAnsi"/>
          <w:sz w:val="22"/>
          <w:szCs w:val="22"/>
        </w:rPr>
        <w:t>MHC-II on A20 tumor cells cultured without (black) or with CpG (green).</w:t>
      </w:r>
      <w:r>
        <w:rPr>
          <w:rStyle w:val="normaltextrun"/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4C3953">
        <w:rPr>
          <w:rStyle w:val="normaltextrun"/>
          <w:rFonts w:asciiTheme="minorHAnsi" w:eastAsia="Calibri" w:hAnsiTheme="minorHAnsi" w:cstheme="minorHAnsi"/>
          <w:sz w:val="22"/>
          <w:szCs w:val="22"/>
        </w:rPr>
        <w:t xml:space="preserve">P values calculated via two-way ANOVA with Tukey’s multiple comparison correction. </w:t>
      </w:r>
      <w:r w:rsidRPr="004C3953">
        <w:rPr>
          <w:rFonts w:asciiTheme="minorHAnsi" w:hAnsiTheme="minorHAnsi" w:cstheme="minorHAnsi"/>
          <w:sz w:val="22"/>
          <w:szCs w:val="22"/>
        </w:rPr>
        <w:t>*, P</w:t>
      </w:r>
      <w:r w:rsidRPr="004C395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≤0.05; </w:t>
      </w:r>
      <w:r w:rsidRPr="004C3953">
        <w:rPr>
          <w:rFonts w:asciiTheme="minorHAnsi" w:hAnsiTheme="minorHAnsi" w:cstheme="minorHAnsi"/>
          <w:sz w:val="22"/>
          <w:szCs w:val="22"/>
        </w:rPr>
        <w:t>**, P</w:t>
      </w:r>
      <w:r w:rsidRPr="004C395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 xml:space="preserve">≤0.01; ***, </w:t>
      </w:r>
      <w:r w:rsidRPr="004C3953">
        <w:rPr>
          <w:rFonts w:asciiTheme="minorHAnsi" w:hAnsiTheme="minorHAnsi" w:cstheme="minorHAnsi"/>
          <w:sz w:val="22"/>
          <w:szCs w:val="22"/>
        </w:rPr>
        <w:t>P</w:t>
      </w:r>
      <w:r w:rsidRPr="004C395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≤0.001; ns – no significance</w:t>
      </w:r>
    </w:p>
    <w:p w14:paraId="1F844C62" w14:textId="77777777" w:rsidR="008E09CA" w:rsidRPr="004C3953" w:rsidRDefault="008E09CA" w:rsidP="008E09CA">
      <w:pPr>
        <w:spacing w:line="480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</w:pPr>
      <w:r w:rsidRPr="00F5131F">
        <w:rPr>
          <w:rFonts w:asciiTheme="minorHAnsi" w:hAnsiTheme="minorHAnsi" w:cstheme="minorHAnsi"/>
          <w:b/>
          <w:bCs/>
          <w:color w:val="000000"/>
          <w:sz w:val="22"/>
          <w:szCs w:val="22"/>
          <w:highlight w:val="yellow"/>
          <w:bdr w:val="none" w:sz="0" w:space="0" w:color="auto" w:frame="1"/>
        </w:rPr>
        <w:t>Fig. S5</w:t>
      </w:r>
      <w:r w:rsidRPr="004C3953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Validation of the Local and Distant Anti-Tumor Effects of CpG Alone and OX40 Alone in the Two-Tumor A20 Model</w:t>
      </w:r>
    </w:p>
    <w:p w14:paraId="31730659" w14:textId="77777777" w:rsidR="008E09CA" w:rsidRPr="00F5131F" w:rsidRDefault="008E09CA" w:rsidP="008E09CA">
      <w:pPr>
        <w:spacing w:line="480" w:lineRule="auto"/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</w:pPr>
      <w:proofErr w:type="spellStart"/>
      <w:r w:rsidRPr="004C3953">
        <w:rPr>
          <w:rFonts w:asciiTheme="minorHAnsi" w:hAnsiTheme="minorHAnsi" w:cstheme="minorHAnsi"/>
          <w:i/>
          <w:iCs/>
          <w:sz w:val="22"/>
          <w:szCs w:val="22"/>
        </w:rPr>
        <w:t>Balb</w:t>
      </w:r>
      <w:proofErr w:type="spellEnd"/>
      <w:r w:rsidRPr="004C3953">
        <w:rPr>
          <w:rFonts w:asciiTheme="minorHAnsi" w:hAnsiTheme="minorHAnsi" w:cstheme="minorHAnsi"/>
          <w:i/>
          <w:iCs/>
          <w:sz w:val="22"/>
          <w:szCs w:val="22"/>
        </w:rPr>
        <w:t>/c</w:t>
      </w:r>
      <w:r w:rsidRPr="004C3953">
        <w:rPr>
          <w:rFonts w:asciiTheme="minorHAnsi" w:hAnsiTheme="minorHAnsi" w:cstheme="minorHAnsi"/>
          <w:sz w:val="22"/>
          <w:szCs w:val="22"/>
        </w:rPr>
        <w:t xml:space="preserve"> mice bearing two </w:t>
      </w:r>
      <w:proofErr w:type="gramStart"/>
      <w:r w:rsidRPr="004C3953">
        <w:rPr>
          <w:rFonts w:asciiTheme="minorHAnsi" w:hAnsiTheme="minorHAnsi" w:cstheme="minorHAnsi"/>
          <w:sz w:val="22"/>
          <w:szCs w:val="22"/>
        </w:rPr>
        <w:t>separate</w:t>
      </w:r>
      <w:proofErr w:type="gramEnd"/>
      <w:r w:rsidRPr="004C3953">
        <w:rPr>
          <w:rFonts w:asciiTheme="minorHAnsi" w:hAnsiTheme="minorHAnsi" w:cstheme="minorHAnsi"/>
          <w:sz w:val="22"/>
          <w:szCs w:val="22"/>
        </w:rPr>
        <w:t xml:space="preserve"> small (~100 mm</w:t>
      </w:r>
      <w:r w:rsidRPr="004C3953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C3953">
        <w:rPr>
          <w:rFonts w:asciiTheme="minorHAnsi" w:hAnsiTheme="minorHAnsi" w:cstheme="minorHAnsi"/>
          <w:sz w:val="22"/>
          <w:szCs w:val="22"/>
        </w:rPr>
        <w:t xml:space="preserve">) A20 tumors were treated with PBS (black), CpG (green), OX40 (orange), or CpG+OX40 (red). Average tumor volume (+/- SEM) are shown for the treated tumor 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 xml:space="preserve">(A) </w:t>
      </w:r>
      <w:r w:rsidRPr="004C3953">
        <w:rPr>
          <w:rFonts w:asciiTheme="minorHAnsi" w:hAnsiTheme="minorHAnsi" w:cstheme="minorHAnsi"/>
          <w:sz w:val="22"/>
          <w:szCs w:val="22"/>
        </w:rPr>
        <w:t xml:space="preserve">and the distant untreated tumor 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>(B)</w:t>
      </w:r>
      <w:r w:rsidRPr="004C3953">
        <w:rPr>
          <w:rFonts w:asciiTheme="minorHAnsi" w:hAnsiTheme="minorHAnsi" w:cstheme="minorHAnsi"/>
          <w:sz w:val="22"/>
          <w:szCs w:val="22"/>
        </w:rPr>
        <w:t xml:space="preserve">. The number of mice demonstrating a local complete response (LCR) at the treated tumor or distant untreated tumor are shown in parentheses in 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>(A)</w:t>
      </w:r>
      <w:r w:rsidRPr="004C3953">
        <w:rPr>
          <w:rFonts w:asciiTheme="minorHAnsi" w:hAnsiTheme="minorHAnsi" w:cstheme="minorHAnsi"/>
          <w:sz w:val="22"/>
          <w:szCs w:val="22"/>
        </w:rPr>
        <w:t xml:space="preserve"> and </w:t>
      </w:r>
      <w:r w:rsidRPr="004C3953">
        <w:rPr>
          <w:rFonts w:asciiTheme="minorHAnsi" w:hAnsiTheme="minorHAnsi" w:cstheme="minorHAnsi"/>
          <w:b/>
          <w:bCs/>
          <w:sz w:val="22"/>
          <w:szCs w:val="22"/>
        </w:rPr>
        <w:t>(B)</w:t>
      </w:r>
      <w:r w:rsidRPr="004C3953">
        <w:rPr>
          <w:rFonts w:asciiTheme="minorHAnsi" w:hAnsiTheme="minorHAnsi" w:cstheme="minorHAnsi"/>
          <w:sz w:val="22"/>
          <w:szCs w:val="22"/>
        </w:rPr>
        <w:t>, respectively. P values for tumor volume plots were calculated using time-weighted average analysis. *, P</w:t>
      </w:r>
      <w:r w:rsidRPr="004C3953">
        <w:rPr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</w:rPr>
        <w:t>≤0.05. All comparisons that are not shown with an * are not significantly different from each other.</w:t>
      </w:r>
      <w:r w:rsidRPr="004C39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0441C6" w14:textId="77777777" w:rsidR="00143252" w:rsidRDefault="00143252"/>
    <w:sectPr w:rsidR="00143252" w:rsidSect="008E001D">
      <w:footerReference w:type="even" r:id="rId4"/>
      <w:foot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68398441"/>
      <w:docPartObj>
        <w:docPartGallery w:val="Page Numbers (Bottom of Page)"/>
        <w:docPartUnique/>
      </w:docPartObj>
    </w:sdtPr>
    <w:sdtContent>
      <w:p w14:paraId="24C74765" w14:textId="77777777" w:rsidR="00D9107C" w:rsidRDefault="00000000" w:rsidP="005236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0AB6FA" w14:textId="77777777" w:rsidR="00D9107C" w:rsidRDefault="00000000" w:rsidP="00557C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43435888"/>
      <w:docPartObj>
        <w:docPartGallery w:val="Page Numbers (Bottom of Page)"/>
        <w:docPartUnique/>
      </w:docPartObj>
    </w:sdtPr>
    <w:sdtContent>
      <w:p w14:paraId="134934D2" w14:textId="77777777" w:rsidR="00D9107C" w:rsidRDefault="00000000" w:rsidP="005236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A7C2471" w14:textId="77777777" w:rsidR="00D9107C" w:rsidRDefault="00000000" w:rsidP="00557C1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CA"/>
    <w:rsid w:val="00117CED"/>
    <w:rsid w:val="00143252"/>
    <w:rsid w:val="00180C25"/>
    <w:rsid w:val="001A060A"/>
    <w:rsid w:val="001A524D"/>
    <w:rsid w:val="00246FFD"/>
    <w:rsid w:val="00337F8C"/>
    <w:rsid w:val="003427E3"/>
    <w:rsid w:val="00365C94"/>
    <w:rsid w:val="003B2845"/>
    <w:rsid w:val="003C5C30"/>
    <w:rsid w:val="0043637F"/>
    <w:rsid w:val="00450699"/>
    <w:rsid w:val="00491B0D"/>
    <w:rsid w:val="004F44CE"/>
    <w:rsid w:val="00535122"/>
    <w:rsid w:val="006B77E6"/>
    <w:rsid w:val="00743736"/>
    <w:rsid w:val="0076254E"/>
    <w:rsid w:val="008041F8"/>
    <w:rsid w:val="0088366B"/>
    <w:rsid w:val="008E09CA"/>
    <w:rsid w:val="00A06F1D"/>
    <w:rsid w:val="00A21625"/>
    <w:rsid w:val="00A43362"/>
    <w:rsid w:val="00A56724"/>
    <w:rsid w:val="00AA2840"/>
    <w:rsid w:val="00AC32EF"/>
    <w:rsid w:val="00AD394B"/>
    <w:rsid w:val="00AD3B44"/>
    <w:rsid w:val="00B4071E"/>
    <w:rsid w:val="00B56E4A"/>
    <w:rsid w:val="00B6092F"/>
    <w:rsid w:val="00C13A6A"/>
    <w:rsid w:val="00CC0CCD"/>
    <w:rsid w:val="00CF146C"/>
    <w:rsid w:val="00D018EA"/>
    <w:rsid w:val="00D1481F"/>
    <w:rsid w:val="00DE0FE3"/>
    <w:rsid w:val="00E10652"/>
    <w:rsid w:val="00E812BD"/>
    <w:rsid w:val="00F2527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D7C6A"/>
  <w15:chartTrackingRefBased/>
  <w15:docId w15:val="{95C3E313-1060-184C-8E36-E4E55A62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9C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8E09CA"/>
  </w:style>
  <w:style w:type="paragraph" w:styleId="Footer">
    <w:name w:val="footer"/>
    <w:basedOn w:val="Normal"/>
    <w:link w:val="FooterChar"/>
    <w:uiPriority w:val="99"/>
    <w:unhideWhenUsed/>
    <w:rsid w:val="008E09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9C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8E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Pieper</dc:creator>
  <cp:keywords/>
  <dc:description/>
  <cp:lastModifiedBy>Alexander Pieper</cp:lastModifiedBy>
  <cp:revision>1</cp:revision>
  <dcterms:created xsi:type="dcterms:W3CDTF">2023-01-30T18:46:00Z</dcterms:created>
  <dcterms:modified xsi:type="dcterms:W3CDTF">2023-01-30T18:47:00Z</dcterms:modified>
</cp:coreProperties>
</file>