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E99B6" w14:textId="77777777" w:rsidR="00183BDB" w:rsidRPr="00183BDB" w:rsidRDefault="00741882" w:rsidP="00183BDB">
      <w:pPr>
        <w:spacing w:line="360" w:lineRule="auto"/>
        <w:rPr>
          <w:rFonts w:ascii="Palatino Linotype" w:eastAsia="Palatino Linotype" w:hAnsi="Palatino Linotype" w:cs="Palatino Linotype"/>
          <w:b/>
        </w:rPr>
      </w:pPr>
      <w:r w:rsidRPr="00183BDB">
        <w:rPr>
          <w:rFonts w:ascii="Palatino Linotype" w:eastAsia="Palatino Linotype" w:hAnsi="Palatino Linotype" w:cs="Palatino Linotype"/>
          <w:b/>
        </w:rPr>
        <w:t>Supplementary-</w:t>
      </w:r>
    </w:p>
    <w:p w14:paraId="6A705144" w14:textId="77777777" w:rsidR="00725D91" w:rsidRPr="00707116" w:rsidRDefault="00725D91" w:rsidP="00725D91">
      <w:pPr>
        <w:spacing w:line="480" w:lineRule="auto"/>
        <w:rPr>
          <w:rFonts w:ascii="Palatino Linotype" w:eastAsia="Palatino Linotype" w:hAnsi="Palatino Linotype" w:cs="Palatino Linotype"/>
          <w:b/>
          <w:sz w:val="28"/>
          <w:szCs w:val="28"/>
        </w:rPr>
      </w:pPr>
      <w:r w:rsidRPr="00707116">
        <w:rPr>
          <w:rFonts w:ascii="Palatino Linotype" w:eastAsia="Palatino Linotype" w:hAnsi="Palatino Linotype" w:cs="Palatino Linotype"/>
          <w:b/>
          <w:sz w:val="28"/>
          <w:szCs w:val="28"/>
        </w:rPr>
        <w:t>Material</w:t>
      </w:r>
      <w:r w:rsidRPr="00B97975">
        <w:rPr>
          <w:rFonts w:ascii="Palatino Linotype" w:eastAsia="Palatino Linotype" w:hAnsi="Palatino Linotype" w:cs="Palatino Linotype"/>
          <w:b/>
          <w:sz w:val="28"/>
          <w:szCs w:val="28"/>
        </w:rPr>
        <w:t>s</w:t>
      </w:r>
      <w:r w:rsidRPr="00707116">
        <w:rPr>
          <w:rFonts w:ascii="Palatino Linotype" w:eastAsia="Palatino Linotype" w:hAnsi="Palatino Linotype" w:cs="Palatino Linotype"/>
          <w:b/>
          <w:sz w:val="28"/>
          <w:szCs w:val="28"/>
        </w:rPr>
        <w:t xml:space="preserve"> and Methods</w:t>
      </w:r>
    </w:p>
    <w:p w14:paraId="71EA8686"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Reagents</w:t>
      </w:r>
    </w:p>
    <w:p w14:paraId="4D37C74D" w14:textId="0FB5FFCA" w:rsidR="00725D91" w:rsidRDefault="00725D91" w:rsidP="00725D91">
      <w:pPr>
        <w:spacing w:line="480" w:lineRule="auto"/>
        <w:rPr>
          <w:rFonts w:ascii="Palatino Linotype" w:eastAsia="Palatino Linotype" w:hAnsi="Palatino Linotype" w:cs="Palatino Linotype"/>
        </w:rPr>
      </w:pPr>
      <w:r>
        <w:rPr>
          <w:rFonts w:ascii="Palatino Linotype" w:eastAsia="Palatino Linotype" w:hAnsi="Palatino Linotype" w:cs="Palatino Linotype"/>
        </w:rPr>
        <w:t>A</w:t>
      </w:r>
      <w:r w:rsidRPr="00B97975">
        <w:rPr>
          <w:rFonts w:ascii="Palatino Linotype" w:eastAsia="Palatino Linotype" w:hAnsi="Palatino Linotype" w:cs="Palatino Linotype"/>
        </w:rPr>
        <w:t>nti-PD-L1</w:t>
      </w:r>
      <w:r>
        <w:rPr>
          <w:rFonts w:ascii="Palatino Linotype" w:eastAsia="Palatino Linotype" w:hAnsi="Palatino Linotype" w:cs="Palatino Linotype"/>
        </w:rPr>
        <w:t xml:space="preserve"> </w:t>
      </w:r>
      <w:r w:rsidRPr="00B97975">
        <w:rPr>
          <w:rFonts w:ascii="Palatino Linotype" w:eastAsia="Palatino Linotype" w:hAnsi="Palatino Linotype" w:cs="Palatino Linotype"/>
        </w:rPr>
        <w:t xml:space="preserve">(Clone: 10F.9G2), anti-CTLA-4 </w:t>
      </w:r>
      <w:r>
        <w:rPr>
          <w:rFonts w:ascii="Palatino Linotype" w:eastAsia="Palatino Linotype" w:hAnsi="Palatino Linotype" w:cs="Palatino Linotype"/>
        </w:rPr>
        <w:t>=</w:t>
      </w:r>
      <w:r w:rsidRPr="00B97975">
        <w:rPr>
          <w:rFonts w:ascii="Palatino Linotype" w:eastAsia="Palatino Linotype" w:hAnsi="Palatino Linotype" w:cs="Palatino Linotype"/>
        </w:rPr>
        <w:t xml:space="preserve"> (Clone: 9H10), and anti-mouse CD8 antibod</w:t>
      </w:r>
      <w:r>
        <w:rPr>
          <w:rFonts w:ascii="Palatino Linotype" w:eastAsia="Palatino Linotype" w:hAnsi="Palatino Linotype" w:cs="Palatino Linotype"/>
        </w:rPr>
        <w:t>ies</w:t>
      </w:r>
      <w:r w:rsidRPr="00B97975">
        <w:rPr>
          <w:rFonts w:ascii="Palatino Linotype" w:eastAsia="Palatino Linotype" w:hAnsi="Palatino Linotype" w:cs="Palatino Linotype"/>
        </w:rPr>
        <w:t xml:space="preserve"> (Clone: 2.43) for immune checkpoint blockage were purchased from Bio X Cell (West Lebanon NH, USA). Liproxstatin-1, a ferroptosis inhibitor, was purchased from </w:t>
      </w:r>
      <w:proofErr w:type="spellStart"/>
      <w:r w:rsidRPr="00B97975">
        <w:rPr>
          <w:rFonts w:ascii="Palatino Linotype" w:eastAsia="Palatino Linotype" w:hAnsi="Palatino Linotype" w:cs="Palatino Linotype"/>
        </w:rPr>
        <w:t>Selleckchem</w:t>
      </w:r>
      <w:proofErr w:type="spellEnd"/>
      <w:r w:rsidRPr="00B97975">
        <w:rPr>
          <w:rFonts w:ascii="Palatino Linotype" w:eastAsia="Palatino Linotype" w:hAnsi="Palatino Linotype" w:cs="Palatino Linotype"/>
        </w:rPr>
        <w:t xml:space="preserve">. Antibodies that inhibit BODIPY 581/591 C11 were acquired from </w:t>
      </w:r>
      <w:proofErr w:type="spellStart"/>
      <w:r w:rsidRPr="00B97975">
        <w:rPr>
          <w:rFonts w:ascii="Palatino Linotype" w:eastAsia="Palatino Linotype" w:hAnsi="Palatino Linotype" w:cs="Palatino Linotype"/>
        </w:rPr>
        <w:t>Thermo</w:t>
      </w:r>
      <w:proofErr w:type="spellEnd"/>
      <w:r w:rsidRPr="00B97975">
        <w:rPr>
          <w:rFonts w:ascii="Palatino Linotype" w:eastAsia="Palatino Linotype" w:hAnsi="Palatino Linotype" w:cs="Palatino Linotype"/>
        </w:rPr>
        <w:t xml:space="preserve"> Fisher Scientific</w:t>
      </w:r>
      <w:r>
        <w:rPr>
          <w:rFonts w:ascii="Palatino Linotype" w:eastAsia="Palatino Linotype" w:hAnsi="Palatino Linotype" w:cs="Palatino Linotype"/>
        </w:rPr>
        <w:t xml:space="preserve"> (Waltham, MA, USA)</w:t>
      </w:r>
      <w:r w:rsidRPr="00B97975">
        <w:rPr>
          <w:rFonts w:ascii="Palatino Linotype" w:eastAsia="Palatino Linotype" w:hAnsi="Palatino Linotype" w:cs="Palatino Linotype"/>
        </w:rPr>
        <w:t xml:space="preserve">. </w:t>
      </w:r>
    </w:p>
    <w:p w14:paraId="5C5B919C"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Cell line experiments</w:t>
      </w:r>
    </w:p>
    <w:p w14:paraId="3FEDE9E9"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The mouse B16-OVA cell line used here was purchased from the American Type Culture Collection (ATCC). The murine melanoma cell line B16 gave rise to the OVA-transfected clone known as B16-OVA. The cells were grown in Dulbecco’s Modified Eagle Medium (DMEM) with 10% </w:t>
      </w:r>
      <w:proofErr w:type="spellStart"/>
      <w:r w:rsidRPr="00B97975">
        <w:rPr>
          <w:rFonts w:ascii="Palatino Linotype" w:eastAsia="Palatino Linotype" w:hAnsi="Palatino Linotype" w:cs="Palatino Linotype"/>
        </w:rPr>
        <w:t>fetal</w:t>
      </w:r>
      <w:proofErr w:type="spellEnd"/>
      <w:r w:rsidRPr="00B97975">
        <w:rPr>
          <w:rFonts w:ascii="Palatino Linotype" w:eastAsia="Palatino Linotype" w:hAnsi="Palatino Linotype" w:cs="Palatino Linotype"/>
        </w:rPr>
        <w:t xml:space="preserve"> bovine serum (FBS) at 37 °C in a humidified environment containing 5% CO</w:t>
      </w:r>
      <w:r w:rsidRPr="00B97975">
        <w:rPr>
          <w:rFonts w:ascii="Palatino Linotype" w:eastAsia="Palatino Linotype" w:hAnsi="Palatino Linotype" w:cs="Palatino Linotype"/>
          <w:vertAlign w:val="subscript"/>
        </w:rPr>
        <w:t>2</w:t>
      </w:r>
      <w:r w:rsidRPr="00B97975">
        <w:rPr>
          <w:rFonts w:ascii="Palatino Linotype" w:eastAsia="Palatino Linotype" w:hAnsi="Palatino Linotype" w:cs="Palatino Linotype"/>
        </w:rPr>
        <w:t>.</w:t>
      </w:r>
    </w:p>
    <w:p w14:paraId="3E15463B"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 xml:space="preserve">Mouse </w:t>
      </w:r>
      <w:proofErr w:type="spellStart"/>
      <w:r w:rsidRPr="00B97975">
        <w:rPr>
          <w:rFonts w:ascii="Palatino Linotype" w:eastAsia="Palatino Linotype" w:hAnsi="Palatino Linotype" w:cs="Palatino Linotype"/>
          <w:b/>
        </w:rPr>
        <w:t>tumor</w:t>
      </w:r>
      <w:proofErr w:type="spellEnd"/>
      <w:r w:rsidRPr="00B97975">
        <w:rPr>
          <w:rFonts w:ascii="Palatino Linotype" w:eastAsia="Palatino Linotype" w:hAnsi="Palatino Linotype" w:cs="Palatino Linotype"/>
          <w:b/>
        </w:rPr>
        <w:t xml:space="preserve"> model experiments</w:t>
      </w:r>
    </w:p>
    <w:p w14:paraId="51341FA6" w14:textId="75649380" w:rsidR="00725D91" w:rsidRPr="00B97975"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The SPHIC's ethical committee authorized all animal experimentation protocols and techniques. We obtained female, six- to eight-week-old C57BL/6 mice from the Shanghai SLAC Laboratory Animal Company. Mice were housed in a specific pathogen-free (SPF) environment. All animal experiments </w:t>
      </w:r>
      <w:r>
        <w:rPr>
          <w:rFonts w:ascii="Palatino Linotype" w:eastAsia="Palatino Linotype" w:hAnsi="Palatino Linotype" w:cs="Palatino Linotype"/>
        </w:rPr>
        <w:t>complied</w:t>
      </w:r>
      <w:r w:rsidRPr="00B97975">
        <w:rPr>
          <w:rFonts w:ascii="Palatino Linotype" w:eastAsia="Palatino Linotype" w:hAnsi="Palatino Linotype" w:cs="Palatino Linotype"/>
        </w:rPr>
        <w:t xml:space="preserve"> with the National Research Council's Guide for the Care and Use of Laboratory Animals. For experiments involving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-bearing mice, animals were subcutaneously injected with </w:t>
      </w:r>
      <w:r w:rsidR="00A40362">
        <w:rPr>
          <w:rFonts w:ascii="Palatino Linotype" w:eastAsia="Palatino Linotype" w:hAnsi="Palatino Linotype" w:cs="Palatino Linotype"/>
        </w:rPr>
        <w:t>5</w:t>
      </w:r>
      <w:r w:rsidRPr="00B97975">
        <w:rPr>
          <w:rFonts w:ascii="Palatino Linotype" w:eastAsia="Palatino Linotype" w:hAnsi="Palatino Linotype" w:cs="Palatino Linotype"/>
        </w:rPr>
        <w:t xml:space="preserve"> × 10</w:t>
      </w:r>
      <w:r w:rsidRPr="00B97975">
        <w:rPr>
          <w:rFonts w:ascii="Palatino Linotype" w:eastAsia="Palatino Linotype" w:hAnsi="Palatino Linotype" w:cs="Palatino Linotype"/>
          <w:vertAlign w:val="superscript"/>
        </w:rPr>
        <w:t>5</w:t>
      </w:r>
      <w:r w:rsidRPr="00B97975">
        <w:rPr>
          <w:rFonts w:ascii="Palatino Linotype" w:eastAsia="Palatino Linotype" w:hAnsi="Palatino Linotype" w:cs="Palatino Linotype"/>
        </w:rPr>
        <w:t xml:space="preserve"> B16-OVA cells into the flanks of both hind legs to initiate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formation. Before radiotherapy, </w:t>
      </w:r>
      <w:proofErr w:type="spellStart"/>
      <w:r w:rsidRPr="00B97975">
        <w:rPr>
          <w:rFonts w:ascii="Palatino Linotype" w:eastAsia="Palatino Linotype" w:hAnsi="Palatino Linotype" w:cs="Palatino Linotype"/>
        </w:rPr>
        <w:t>tumors</w:t>
      </w:r>
      <w:proofErr w:type="spellEnd"/>
      <w:r w:rsidRPr="00B97975">
        <w:rPr>
          <w:rFonts w:ascii="Palatino Linotype" w:eastAsia="Palatino Linotype" w:hAnsi="Palatino Linotype" w:cs="Palatino Linotype"/>
        </w:rPr>
        <w:t xml:space="preserve"> were permitted to reach a size of 5 × 5 mm and were systematized within 10% variances in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volumes. The </w:t>
      </w:r>
      <w:r w:rsidRPr="00B97975">
        <w:rPr>
          <w:rFonts w:ascii="Palatino Linotype" w:eastAsia="Palatino Linotype" w:hAnsi="Palatino Linotype" w:cs="Palatino Linotype"/>
        </w:rPr>
        <w:lastRenderedPageBreak/>
        <w:t xml:space="preserve">formula used to determine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volume was L × W</w:t>
      </w:r>
      <w:r w:rsidRPr="00B97975">
        <w:rPr>
          <w:rFonts w:ascii="Palatino Linotype" w:eastAsia="Palatino Linotype" w:hAnsi="Palatino Linotype" w:cs="Palatino Linotype"/>
          <w:vertAlign w:val="superscript"/>
        </w:rPr>
        <w:t>2</w:t>
      </w:r>
      <w:r w:rsidRPr="00B97975">
        <w:rPr>
          <w:rFonts w:ascii="Palatino Linotype" w:eastAsia="Palatino Linotype" w:hAnsi="Palatino Linotype" w:cs="Palatino Linotype"/>
        </w:rPr>
        <w:t xml:space="preserve"> × 0.52 (L was the longest diameter and W was orthogonal to L). Following radiotherapy, the volume was assessed every other day until the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size reached 10% of the mouse's body weight. The fold change in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volume was computed after normalizing the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volume at each time point (Vt) to the original volume (V0).</w:t>
      </w:r>
    </w:p>
    <w:p w14:paraId="57AEF174" w14:textId="77777777" w:rsidR="00725D91" w:rsidRPr="00B97975"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Mice were divided into four groups to examine the potential benefits of using immunotherapy in conjunction with carbon ions: Group I (Control): Control group with appropriate isotype control </w:t>
      </w:r>
      <w:proofErr w:type="spellStart"/>
      <w:r w:rsidRPr="00B97975">
        <w:rPr>
          <w:rFonts w:ascii="Palatino Linotype" w:eastAsia="Palatino Linotype" w:hAnsi="Palatino Linotype" w:cs="Palatino Linotype"/>
        </w:rPr>
        <w:t>mAbs</w:t>
      </w:r>
      <w:proofErr w:type="spellEnd"/>
      <w:r w:rsidRPr="00B97975">
        <w:rPr>
          <w:rFonts w:ascii="Palatino Linotype" w:eastAsia="Palatino Linotype" w:hAnsi="Palatino Linotype" w:cs="Palatino Linotype"/>
        </w:rPr>
        <w:t xml:space="preserve"> (A rat immunoglobulin G (IgG)); Group II (CIRT): CIRT targeting the right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Group III (ICI): Immunotherapy with anti-PD-L1 and anti-CTLA-4 antibodies; Group IV (Combined): CIRT combined with anti-PD-L1 antibody and anti-CTLA-4 antibody. Each group included </w:t>
      </w:r>
      <w:r>
        <w:rPr>
          <w:rFonts w:ascii="Palatino Linotype" w:eastAsia="Palatino Linotype" w:hAnsi="Palatino Linotype" w:cs="Palatino Linotype"/>
        </w:rPr>
        <w:t>seven</w:t>
      </w:r>
      <w:r w:rsidRPr="00B97975">
        <w:rPr>
          <w:rFonts w:ascii="Palatino Linotype" w:eastAsia="Palatino Linotype" w:hAnsi="Palatino Linotype" w:cs="Palatino Linotype"/>
        </w:rPr>
        <w:t xml:space="preserve"> mice. On days 0, 7, and 14 after radiation treatment, mice in the ICI and Combined groups received intraperitoneal injections of 200 µg of anti-PD-L1 and anti-CTLA-4 antibodies. A rat immunoglobulin G (IgG) isotype antibody was applied as a control.</w:t>
      </w:r>
    </w:p>
    <w:p w14:paraId="6D71DA49" w14:textId="77777777" w:rsidR="00725D91" w:rsidRPr="00B97975"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Mice were divided into three groups to investigate CD8+ cell function in combination therapy: Group I (Control); Group II (CD8α): CIRT combined with anti-PD-L1 antibody, anti-CTLA-4 antibody, and anti-CD8 antibody; Group III (Combined)</w:t>
      </w:r>
      <w:r>
        <w:rPr>
          <w:rFonts w:ascii="Palatino Linotype" w:eastAsia="Palatino Linotype" w:hAnsi="Palatino Linotype" w:cs="Palatino Linotype"/>
        </w:rPr>
        <w:t>.</w:t>
      </w:r>
      <w:r w:rsidRPr="00B97975">
        <w:rPr>
          <w:rFonts w:ascii="Palatino Linotype" w:eastAsia="Palatino Linotype" w:hAnsi="Palatino Linotype" w:cs="Palatino Linotype"/>
        </w:rPr>
        <w:t xml:space="preserve"> After implanting subcutaneous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cells, mice in the anti-CD8 antibody group received 150 µg of anti-CD8 antibody intraperitoneally every four days.</w:t>
      </w:r>
    </w:p>
    <w:p w14:paraId="43D018FB"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Mice were divided into three groups to examine the ferroptosis impact in combination therapy: Group I (Control); Group II (Combined with ferroptosis inhibitor liproxstatin-1): CIRT combined with anti-PD-L1 antibody, anti-CTLA-4 antibody, and liproxstatin-1; Group III (Combined)</w:t>
      </w:r>
      <w:r>
        <w:rPr>
          <w:rFonts w:ascii="Palatino Linotype" w:eastAsia="Palatino Linotype" w:hAnsi="Palatino Linotype" w:cs="Palatino Linotype"/>
        </w:rPr>
        <w:t>.</w:t>
      </w:r>
      <w:r w:rsidRPr="00B97975">
        <w:rPr>
          <w:rFonts w:ascii="Palatino Linotype" w:eastAsia="Palatino Linotype" w:hAnsi="Palatino Linotype" w:cs="Palatino Linotype"/>
        </w:rPr>
        <w:t xml:space="preserve"> After radiation therapy, mice in the ferroptosis inhibitor liproxstatin-1 groups received daily intraperitoneal injections of 30 mg/kg liproxstatin-1.</w:t>
      </w:r>
    </w:p>
    <w:p w14:paraId="432A7F36"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lastRenderedPageBreak/>
        <w:t>Treatment planning and delivery of CIRT</w:t>
      </w:r>
    </w:p>
    <w:p w14:paraId="505F20BE"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Single fraction CIRT (4 </w:t>
      </w:r>
      <w:proofErr w:type="spellStart"/>
      <w:r w:rsidRPr="00B97975">
        <w:rPr>
          <w:rFonts w:ascii="Palatino Linotype" w:eastAsia="Palatino Linotype" w:hAnsi="Palatino Linotype" w:cs="Palatino Linotype"/>
        </w:rPr>
        <w:t>Gy</w:t>
      </w:r>
      <w:proofErr w:type="spellEnd"/>
      <w:r w:rsidRPr="00B97975">
        <w:rPr>
          <w:rFonts w:ascii="Palatino Linotype" w:eastAsia="Palatino Linotype" w:hAnsi="Palatino Linotype" w:cs="Palatino Linotype"/>
        </w:rPr>
        <w:t xml:space="preserve">, physical dosage) was administered to </w:t>
      </w:r>
      <w:proofErr w:type="spellStart"/>
      <w:r w:rsidRPr="00B97975">
        <w:rPr>
          <w:rFonts w:ascii="Palatino Linotype" w:eastAsia="Palatino Linotype" w:hAnsi="Palatino Linotype" w:cs="Palatino Linotype"/>
        </w:rPr>
        <w:t>tumors</w:t>
      </w:r>
      <w:proofErr w:type="spellEnd"/>
      <w:r w:rsidRPr="00B97975">
        <w:rPr>
          <w:rFonts w:ascii="Palatino Linotype" w:eastAsia="Palatino Linotype" w:hAnsi="Palatino Linotype" w:cs="Palatino Linotype"/>
        </w:rPr>
        <w:t xml:space="preserve"> on the right hind legs of the mice. Radiation was delivered according to previously described methods. </w:t>
      </w:r>
      <w:r w:rsidRPr="00B97975">
        <w:rPr>
          <w:rFonts w:ascii="Palatino Linotype" w:hAnsi="Palatino Linotype"/>
          <w:szCs w:val="21"/>
        </w:rPr>
        <w:fldChar w:fldCharType="begin">
          <w:fldData xml:space="preserve">PEVuZE5vdGU+PENpdGU+PEF1dGhvcj5IdWFuZzwvQXV0aG9yPjxZZWFyPjIwMjA8L1llYXI+PFJl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</w:fldData>
        </w:fldChar>
      </w:r>
      <w:r w:rsidRPr="00B97975">
        <w:rPr>
          <w:rFonts w:ascii="Palatino Linotype" w:hAnsi="Palatino Linotype"/>
          <w:szCs w:val="21"/>
        </w:rPr>
        <w:instrText xml:space="preserve"> ADDIN EN.CITE </w:instrText>
      </w:r>
      <w:r w:rsidRPr="00B97975">
        <w:rPr>
          <w:rFonts w:ascii="Palatino Linotype" w:hAnsi="Palatino Linotype"/>
          <w:szCs w:val="21"/>
        </w:rPr>
        <w:fldChar w:fldCharType="begin">
          <w:fldData xml:space="preserve">PEVuZE5vdGU+PENpdGU+PEF1dGhvcj5IdWFuZzwvQXV0aG9yPjxZZWFyPjIwMjA8L1llYXI+PFJl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</w:fldData>
        </w:fldChar>
      </w:r>
      <w:r w:rsidRPr="00B97975">
        <w:rPr>
          <w:rFonts w:ascii="Palatino Linotype" w:hAnsi="Palatino Linotype"/>
          <w:szCs w:val="21"/>
        </w:rPr>
        <w:instrText xml:space="preserve"> ADDIN EN.CITE.DATA </w:instrText>
      </w:r>
      <w:r w:rsidR="00000000">
        <w:rPr>
          <w:rFonts w:ascii="Palatino Linotype" w:hAnsi="Palatino Linotype"/>
          <w:szCs w:val="21"/>
        </w:rPr>
      </w:r>
      <w:r w:rsidR="00000000">
        <w:rPr>
          <w:rFonts w:ascii="Palatino Linotype" w:hAnsi="Palatino Linotype"/>
          <w:szCs w:val="21"/>
        </w:rPr>
        <w:fldChar w:fldCharType="separate"/>
      </w:r>
      <w:r w:rsidRPr="00B97975">
        <w:rPr>
          <w:rFonts w:ascii="Palatino Linotype" w:hAnsi="Palatino Linotype"/>
          <w:szCs w:val="21"/>
        </w:rPr>
        <w:fldChar w:fldCharType="end"/>
      </w:r>
      <w:r w:rsidRPr="00B97975">
        <w:rPr>
          <w:rFonts w:ascii="Palatino Linotype" w:hAnsi="Palatino Linotype"/>
          <w:szCs w:val="21"/>
        </w:rPr>
      </w:r>
      <w:r w:rsidRPr="00B97975">
        <w:rPr>
          <w:rFonts w:ascii="Palatino Linotype" w:hAnsi="Palatino Linotype"/>
          <w:szCs w:val="21"/>
        </w:rPr>
        <w:fldChar w:fldCharType="separate"/>
      </w:r>
      <w:r w:rsidRPr="00B97975">
        <w:rPr>
          <w:rFonts w:ascii="Palatino Linotype" w:eastAsia="Palatino Linotype" w:hAnsi="Palatino Linotype" w:cs="Palatino Linotype"/>
        </w:rPr>
        <w:t>[19]</w:t>
      </w:r>
      <w:r w:rsidRPr="00B97975">
        <w:rPr>
          <w:rFonts w:ascii="Palatino Linotype" w:eastAsia="Palatino Linotype" w:hAnsi="Palatino Linotype" w:cs="Palatino Linotype"/>
        </w:rPr>
        <w:fldChar w:fldCharType="end"/>
      </w:r>
      <w:r w:rsidRPr="00B97975">
        <w:rPr>
          <w:rFonts w:ascii="Palatino Linotype" w:eastAsia="Palatino Linotype" w:hAnsi="Palatino Linotype" w:cs="Palatino Linotype"/>
        </w:rPr>
        <w:t xml:space="preserve"> The energy of the carbon beams ranged from 118.41 to 140.01 MeV/u, </w:t>
      </w:r>
      <w:r>
        <w:rPr>
          <w:rFonts w:ascii="Palatino Linotype" w:eastAsia="Palatino Linotype" w:hAnsi="Palatino Linotype" w:cs="Palatino Linotype"/>
        </w:rPr>
        <w:t>and</w:t>
      </w:r>
      <w:r w:rsidRPr="00B97975">
        <w:rPr>
          <w:rFonts w:ascii="Palatino Linotype" w:eastAsia="Palatino Linotype" w:hAnsi="Palatino Linotype" w:cs="Palatino Linotype"/>
        </w:rPr>
        <w:t xml:space="preserve"> the mean dose averaged linear energy transfer (LET) within the SOBP was 96.94</w:t>
      </w:r>
      <w:r>
        <w:rPr>
          <w:rFonts w:ascii="Palatino Linotype" w:eastAsia="Palatino Linotype" w:hAnsi="Palatino Linotype" w:cs="Palatino Linotype"/>
        </w:rPr>
        <w:t xml:space="preserve"> </w:t>
      </w:r>
      <w:r w:rsidRPr="00B97975">
        <w:rPr>
          <w:rFonts w:ascii="Palatino Linotype" w:eastAsia="Palatino Linotype" w:hAnsi="Palatino Linotype" w:cs="Palatino Linotype"/>
        </w:rPr>
        <w:t>keV/um</w:t>
      </w:r>
      <w:r>
        <w:rPr>
          <w:rFonts w:ascii="Palatino Linotype" w:eastAsia="Palatino Linotype" w:hAnsi="Palatino Linotype" w:cs="Palatino Linotype"/>
        </w:rPr>
        <w:t>.</w:t>
      </w:r>
    </w:p>
    <w:p w14:paraId="53FCD3CE"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RNA sequencing analysis</w:t>
      </w:r>
    </w:p>
    <w:p w14:paraId="25566B37"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RNA differential expression analysis was performed using DESeq2 </w:t>
      </w:r>
      <w:r w:rsidRPr="00B97975">
        <w:rPr>
          <w:rFonts w:ascii="Palatino Linotype" w:hAnsi="Palatino Linotype"/>
          <w:szCs w:val="21"/>
        </w:rPr>
        <w:fldChar w:fldCharType="begin"/>
      </w:r>
      <w:r w:rsidRPr="00B97975">
        <w:rPr>
          <w:rFonts w:ascii="Palatino Linotype" w:hAnsi="Palatino Linotype"/>
          <w:szCs w:val="21"/>
        </w:rPr>
        <w:instrText xml:space="preserve"> ADDIN EN.CITE &lt;EndNote&gt;&lt;Cite&gt;&lt;Author&gt;Love&lt;/Author&gt;&lt;Year&gt;2014&lt;/Year&gt;&lt;RecNum&gt;23&lt;/RecNum&gt;&lt;DisplayText&gt;[20]&lt;/DisplayText&gt;&lt;record&gt;&lt;rec-number&gt;23&lt;/rec-number&gt;&lt;foreign-keys&gt;&lt;key app="EN" db-id="wdexs5veb2xxzfese0a522tpdr0a5tfd22x2" timestamp="1669559526"&gt;23&lt;/key&gt;&lt;/foreign-keys&gt;&lt;ref-type name="Journal Article"&gt;17&lt;/ref-type&gt;&lt;contributors&gt;&lt;authors&gt;&lt;author&gt;Love, M. I.&lt;/author&gt;&lt;author&gt;Huber, W.&lt;/author&gt;&lt;author&gt;Anders, S.&lt;/author&gt;&lt;/authors&gt;&lt;/contributors&gt;&lt;titles&gt;&lt;title&gt;Moderated estimation of fold change and dispersion for RNA-seq data with DESeq2&lt;/title&gt;&lt;secondary-title&gt;Genome Biol&lt;/secondary-title&gt;&lt;/titles&gt;&lt;periodical&gt;&lt;full-title&gt;Genome Biol&lt;/full-title&gt;&lt;/periodical&gt;&lt;pages&gt;550&lt;/pages&gt;&lt;volume&gt;15&lt;/volume&gt;&lt;number&gt;12&lt;/number&gt;&lt;edition&gt;2014/12/18&lt;/edition&gt;&lt;keywords&gt;&lt;keyword&gt;Algorithms&lt;/keyword&gt;&lt;keyword&gt;Computational Biology/*methods&lt;/keyword&gt;&lt;keyword&gt;High-Throughput Nucleotide Sequencing&lt;/keyword&gt;&lt;keyword&gt;Models, Genetic&lt;/keyword&gt;&lt;keyword&gt;RNA/*analysis&lt;/keyword&gt;&lt;keyword&gt;Sequence Analysis, RNA&lt;/keyword&gt;&lt;keyword&gt;*Software&lt;/keyword&gt;&lt;/keywords&gt;&lt;dates&gt;&lt;year&gt;2014&lt;/year&gt;&lt;/dates&gt;&lt;isbn&gt;1474-760X (Electronic)&amp;#xD;1465-6906 (Print)&amp;#xD;1474-7596 (Linking)&lt;/isbn&gt;&lt;accession-num&gt;25516281&lt;/accession-num&gt;&lt;urls&gt;&lt;related-urls&gt;&lt;url&gt;https://www.ncbi.nlm.nih.gov/pubmed/25516281&lt;/url&gt;&lt;/related-urls&gt;&lt;/urls&gt;&lt;custom2&gt;PMC4302049&lt;/custom2&gt;&lt;electronic-resource-num&gt;10.1186/s13059-014-0550-8&lt;/electronic-resource-num&gt;&lt;/record&gt;&lt;/Cite&gt;&lt;/EndNote&gt;</w:instrText>
      </w:r>
      <w:r w:rsidRPr="00B97975">
        <w:rPr>
          <w:rFonts w:ascii="Palatino Linotype" w:hAnsi="Palatino Linotype"/>
          <w:szCs w:val="21"/>
        </w:rPr>
        <w:fldChar w:fldCharType="separate"/>
      </w:r>
      <w:r w:rsidRPr="00B97975">
        <w:rPr>
          <w:rFonts w:ascii="Palatino Linotype" w:eastAsia="Palatino Linotype" w:hAnsi="Palatino Linotype" w:cs="Palatino Linotype"/>
        </w:rPr>
        <w:t>[20]</w:t>
      </w:r>
      <w:r w:rsidRPr="00B97975">
        <w:rPr>
          <w:rFonts w:ascii="Palatino Linotype" w:eastAsia="Palatino Linotype" w:hAnsi="Palatino Linotype" w:cs="Palatino Linotype"/>
        </w:rPr>
        <w:fldChar w:fldCharType="end"/>
      </w:r>
      <w:r w:rsidRPr="00B97975">
        <w:rPr>
          <w:rFonts w:ascii="Palatino Linotype" w:eastAsia="Palatino Linotype" w:hAnsi="Palatino Linotype" w:cs="Palatino Linotype"/>
        </w:rPr>
        <w:t xml:space="preserve"> R package between two different groups. The genes/transcripts with the parameter of false discovery rate (FDR) below 0.05 and absolute fold change ≥ 2 were considered differentially expressed genes (DEGs)/transcripts. Gene Ontology (GO) and Kyoto Encyclopedia of Genes and Genomes (KEGG) studies were carried out to assess functional enrichment </w:t>
      </w:r>
      <w:r>
        <w:rPr>
          <w:rFonts w:ascii="Palatino Linotype" w:eastAsia="Palatino Linotype" w:hAnsi="Palatino Linotype" w:cs="Palatino Linotype"/>
        </w:rPr>
        <w:t>to define</w:t>
      </w:r>
      <w:r w:rsidRPr="00B97975">
        <w:rPr>
          <w:rFonts w:ascii="Palatino Linotype" w:eastAsia="Palatino Linotype" w:hAnsi="Palatino Linotype" w:cs="Palatino Linotype"/>
        </w:rPr>
        <w:t xml:space="preserve"> the biological activities of DEGs. The estimated </w:t>
      </w:r>
      <w:r w:rsidRPr="00B97975">
        <w:rPr>
          <w:rFonts w:ascii="Palatino Linotype" w:eastAsia="Palatino Linotype" w:hAnsi="Palatino Linotype" w:cs="Palatino Linotype"/>
          <w:i/>
          <w:iCs/>
        </w:rPr>
        <w:t>t</w:t>
      </w:r>
      <w:r w:rsidRPr="00B97975">
        <w:rPr>
          <w:rFonts w:ascii="Palatino Linotype" w:eastAsia="Palatino Linotype" w:hAnsi="Palatino Linotype" w:cs="Palatino Linotype"/>
        </w:rPr>
        <w:t xml:space="preserve">-test was subjected to FDR correction, with a criterion of FDR ≤ 0.05 employed as the threshold. </w:t>
      </w:r>
      <w:proofErr w:type="spellStart"/>
      <w:r>
        <w:rPr>
          <w:rFonts w:ascii="Palatino Linotype" w:eastAsia="Palatino Linotype" w:hAnsi="Palatino Linotype" w:cs="Palatino Linotype"/>
        </w:rPr>
        <w:t>T</w:t>
      </w:r>
      <w:r w:rsidRPr="001323C2">
        <w:rPr>
          <w:rFonts w:ascii="Palatino Linotype" w:eastAsia="Palatino Linotype" w:hAnsi="Palatino Linotype" w:cs="Palatino Linotype"/>
        </w:rPr>
        <w:t>umor</w:t>
      </w:r>
      <w:proofErr w:type="spellEnd"/>
      <w:r w:rsidRPr="001323C2">
        <w:rPr>
          <w:rFonts w:ascii="Palatino Linotype" w:eastAsia="Palatino Linotype" w:hAnsi="Palatino Linotype" w:cs="Palatino Linotype"/>
        </w:rPr>
        <w:t xml:space="preserve"> collection for RNA-</w:t>
      </w:r>
      <w:proofErr w:type="spellStart"/>
      <w:r w:rsidRPr="001323C2">
        <w:rPr>
          <w:rFonts w:ascii="Palatino Linotype" w:eastAsia="Palatino Linotype" w:hAnsi="Palatino Linotype" w:cs="Palatino Linotype"/>
        </w:rPr>
        <w:t>seq</w:t>
      </w:r>
      <w:proofErr w:type="spellEnd"/>
      <w:r>
        <w:rPr>
          <w:rFonts w:ascii="Palatino Linotype" w:eastAsia="Palatino Linotype" w:hAnsi="Palatino Linotype" w:cs="Palatino Linotype"/>
        </w:rPr>
        <w:t xml:space="preserve"> was performed</w:t>
      </w:r>
      <w:r w:rsidRPr="001323C2">
        <w:rPr>
          <w:rFonts w:ascii="Palatino Linotype" w:eastAsia="Palatino Linotype" w:hAnsi="Palatino Linotype" w:cs="Palatino Linotype"/>
        </w:rPr>
        <w:t xml:space="preserve"> 8 </w:t>
      </w:r>
      <w:r>
        <w:rPr>
          <w:rFonts w:ascii="Palatino Linotype" w:eastAsia="Palatino Linotype" w:hAnsi="Palatino Linotype" w:cs="Palatino Linotype"/>
        </w:rPr>
        <w:t xml:space="preserve">days </w:t>
      </w:r>
      <w:r w:rsidRPr="001323C2">
        <w:rPr>
          <w:rFonts w:ascii="Palatino Linotype" w:eastAsia="Palatino Linotype" w:hAnsi="Palatino Linotype" w:cs="Palatino Linotype"/>
        </w:rPr>
        <w:t>after radiation treatment.</w:t>
      </w:r>
      <w:r>
        <w:rPr>
          <w:rFonts w:ascii="Palatino Linotype" w:eastAsia="Palatino Linotype" w:hAnsi="Palatino Linotype" w:cs="Palatino Linotype"/>
        </w:rPr>
        <w:t xml:space="preserve"> </w:t>
      </w:r>
    </w:p>
    <w:p w14:paraId="04B717DF"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Bioinformatics analysis of RNA sequencing data</w:t>
      </w:r>
    </w:p>
    <w:p w14:paraId="7F1B8147" w14:textId="77777777" w:rsidR="00725D91" w:rsidRDefault="00725D91" w:rsidP="00725D91">
      <w:pPr>
        <w:spacing w:line="480" w:lineRule="auto"/>
        <w:rPr>
          <w:rFonts w:ascii="Palatino Linotype" w:hAnsi="Palatino Linotype" w:cs="Palatino Linotype"/>
        </w:rPr>
      </w:pPr>
      <w:r w:rsidRPr="00B97975">
        <w:rPr>
          <w:rFonts w:ascii="Palatino Linotype" w:eastAsia="Palatino Linotype" w:hAnsi="Palatino Linotype" w:cs="Palatino Linotype"/>
        </w:rPr>
        <w:t xml:space="preserve">GSVA R package was used to quantify the </w:t>
      </w:r>
      <w:proofErr w:type="spellStart"/>
      <w:r w:rsidRPr="00B97975">
        <w:rPr>
          <w:rFonts w:ascii="Palatino Linotype" w:eastAsia="Palatino Linotype" w:hAnsi="Palatino Linotype" w:cs="Palatino Linotype"/>
        </w:rPr>
        <w:t>signaling</w:t>
      </w:r>
      <w:proofErr w:type="spellEnd"/>
      <w:r w:rsidRPr="00B97975">
        <w:rPr>
          <w:rFonts w:ascii="Palatino Linotype" w:eastAsia="Palatino Linotype" w:hAnsi="Palatino Linotype" w:cs="Palatino Linotype"/>
        </w:rPr>
        <w:t xml:space="preserve"> pathways in each group, as identified by their enrichment in the </w:t>
      </w:r>
      <w:proofErr w:type="spellStart"/>
      <w:r w:rsidRPr="00B97975">
        <w:rPr>
          <w:rFonts w:ascii="Palatino Linotype" w:eastAsia="Palatino Linotype" w:hAnsi="Palatino Linotype" w:cs="Palatino Linotype"/>
        </w:rPr>
        <w:t>MSigDB</w:t>
      </w:r>
      <w:proofErr w:type="spellEnd"/>
      <w:r w:rsidRPr="00B97975">
        <w:rPr>
          <w:rFonts w:ascii="Palatino Linotype" w:eastAsia="Palatino Linotype" w:hAnsi="Palatino Linotype" w:cs="Palatino Linotype"/>
        </w:rPr>
        <w:t xml:space="preserve"> collection (c2.kegg.v7.1 </w:t>
      </w:r>
      <w:proofErr w:type="spellStart"/>
      <w:r w:rsidRPr="00B97975">
        <w:rPr>
          <w:rFonts w:ascii="Palatino Linotype" w:eastAsia="Palatino Linotype" w:hAnsi="Palatino Linotype" w:cs="Palatino Linotype"/>
        </w:rPr>
        <w:t>symbols.gmt</w:t>
      </w:r>
      <w:proofErr w:type="spellEnd"/>
      <w:r w:rsidRPr="00B97975">
        <w:rPr>
          <w:rFonts w:ascii="Palatino Linotype" w:eastAsia="Palatino Linotype" w:hAnsi="Palatino Linotype" w:cs="Palatino Linotype"/>
        </w:rPr>
        <w:t>; h.all.v7.0.cymbols.gmt). The enrichment score was presented using a heatmap.</w:t>
      </w:r>
    </w:p>
    <w:p w14:paraId="5D3B74A1"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The relationship between DEG expression and immune cell infiltration between different treatment groups was </w:t>
      </w:r>
      <w:proofErr w:type="spellStart"/>
      <w:r>
        <w:rPr>
          <w:rFonts w:ascii="Palatino Linotype" w:eastAsia="Palatino Linotype" w:hAnsi="Palatino Linotype" w:cs="Palatino Linotype"/>
        </w:rPr>
        <w:t>analyzed</w:t>
      </w:r>
      <w:proofErr w:type="spellEnd"/>
      <w:r>
        <w:rPr>
          <w:rFonts w:ascii="Palatino Linotype" w:eastAsia="Palatino Linotype" w:hAnsi="Palatino Linotype" w:cs="Palatino Linotype"/>
        </w:rPr>
        <w:t xml:space="preserve"> </w:t>
      </w:r>
      <w:r w:rsidRPr="00B97975">
        <w:rPr>
          <w:rFonts w:ascii="Palatino Linotype" w:eastAsia="Palatino Linotype" w:hAnsi="Palatino Linotype" w:cs="Palatino Linotype"/>
        </w:rPr>
        <w:t xml:space="preserve">using the single sample </w:t>
      </w:r>
      <w:r>
        <w:rPr>
          <w:rFonts w:ascii="Palatino Linotype" w:eastAsia="Palatino Linotype" w:hAnsi="Palatino Linotype" w:cs="Palatino Linotype"/>
        </w:rPr>
        <w:t>gene set enrichment analysis</w:t>
      </w:r>
      <w:r w:rsidRPr="00B97975">
        <w:rPr>
          <w:rFonts w:ascii="Palatino Linotype" w:eastAsia="Palatino Linotype" w:hAnsi="Palatino Linotype" w:cs="Palatino Linotype"/>
        </w:rPr>
        <w:t xml:space="preserve"> (</w:t>
      </w:r>
      <w:proofErr w:type="spellStart"/>
      <w:r w:rsidRPr="00B97975">
        <w:rPr>
          <w:rFonts w:ascii="Palatino Linotype" w:eastAsia="Palatino Linotype" w:hAnsi="Palatino Linotype" w:cs="Palatino Linotype"/>
        </w:rPr>
        <w:t>ssGSEA</w:t>
      </w:r>
      <w:proofErr w:type="spellEnd"/>
      <w:r w:rsidRPr="00B97975">
        <w:rPr>
          <w:rFonts w:ascii="Palatino Linotype" w:eastAsia="Palatino Linotype" w:hAnsi="Palatino Linotype" w:cs="Palatino Linotype"/>
        </w:rPr>
        <w:t xml:space="preserve">) method from R package GSVA (version 3.6). These GSEA enrichment scores were then used for each immune cell type that was obtained from each sample and was completed using “GSVA” and “GSEA’’ as the immune cell infiltration measure in each </w:t>
      </w:r>
      <w:r w:rsidRPr="00B97975">
        <w:rPr>
          <w:rFonts w:ascii="Palatino Linotype" w:eastAsia="Palatino Linotype" w:hAnsi="Palatino Linotype" w:cs="Palatino Linotype"/>
        </w:rPr>
        <w:lastRenderedPageBreak/>
        <w:t xml:space="preserve">sample. ESTIMATE was used to calculate </w:t>
      </w:r>
      <w:r>
        <w:rPr>
          <w:rFonts w:ascii="Palatino Linotype" w:eastAsia="Palatino Linotype" w:hAnsi="Palatino Linotype" w:cs="Palatino Linotype"/>
        </w:rPr>
        <w:t>the</w:t>
      </w:r>
      <w:r w:rsidRPr="00B97975">
        <w:rPr>
          <w:rFonts w:ascii="Palatino Linotype" w:eastAsia="Palatino Linotype" w:hAnsi="Palatino Linotype" w:cs="Palatino Linotype"/>
        </w:rPr>
        <w:t xml:space="preserve"> </w:t>
      </w:r>
      <w:r>
        <w:rPr>
          <w:rFonts w:ascii="Palatino Linotype" w:eastAsia="Palatino Linotype" w:hAnsi="Palatino Linotype" w:cs="Palatino Linotype"/>
        </w:rPr>
        <w:t>i</w:t>
      </w:r>
      <w:r w:rsidRPr="00B97975">
        <w:rPr>
          <w:rFonts w:ascii="Palatino Linotype" w:eastAsia="Palatino Linotype" w:hAnsi="Palatino Linotype" w:cs="Palatino Linotype"/>
        </w:rPr>
        <w:t xml:space="preserve">mmune </w:t>
      </w:r>
      <w:r>
        <w:rPr>
          <w:rFonts w:ascii="Palatino Linotype" w:eastAsia="Palatino Linotype" w:hAnsi="Palatino Linotype" w:cs="Palatino Linotype"/>
        </w:rPr>
        <w:t>s</w:t>
      </w:r>
      <w:r w:rsidRPr="00B97975">
        <w:rPr>
          <w:rFonts w:ascii="Palatino Linotype" w:eastAsia="Palatino Linotype" w:hAnsi="Palatino Linotype" w:cs="Palatino Linotype"/>
        </w:rPr>
        <w:t xml:space="preserve">core, which is the estimate of immune cells in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tissue calculated using the “estimate” R package (version 3.6).</w:t>
      </w:r>
    </w:p>
    <w:p w14:paraId="2FD83441"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Multi-cytokine assay</w:t>
      </w:r>
    </w:p>
    <w:p w14:paraId="14597D8E"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Briefly,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tissue was homogenized and cell supernatants from each therapy group were collected for a multi-cytokine test. Cytokine levels were evaluated using a Luminex 200 system (Luminex) using a panel of 31 mouse cytokines (LX-MultiDTM-31) following the manufacturer’s recommendations. The selected cytokines included TNF-alpha, IFN-γ, GM-CSF, IL-10, IL-16, IL-1b, IL-2, IL-4, IL-6, CX3CL, CXCL1, CXCL10, CXCL11, CXCL12, CXCL13, CXCL16, CXCL5, CCL11, CCL12, CCL17, CCL19, CCL2, CCL20, CCL22, CCL24, CCL27, CCL3, CCL4, CCL5, CCL7, and CCL1.</w:t>
      </w:r>
      <w:r>
        <w:rPr>
          <w:rFonts w:ascii="Palatino Linotype" w:eastAsia="Palatino Linotype" w:hAnsi="Palatino Linotype" w:cs="Palatino Linotype"/>
        </w:rPr>
        <w:t xml:space="preserve"> </w:t>
      </w:r>
      <w:proofErr w:type="spellStart"/>
      <w:r>
        <w:rPr>
          <w:rFonts w:ascii="Palatino Linotype" w:eastAsia="Palatino Linotype" w:hAnsi="Palatino Linotype" w:cs="Palatino Linotype"/>
        </w:rPr>
        <w:t>Tumors</w:t>
      </w:r>
      <w:proofErr w:type="spellEnd"/>
      <w:r>
        <w:rPr>
          <w:rFonts w:ascii="Palatino Linotype" w:eastAsia="Palatino Linotype" w:hAnsi="Palatino Linotype" w:cs="Palatino Linotype"/>
        </w:rPr>
        <w:t xml:space="preserve"> were</w:t>
      </w:r>
      <w:r w:rsidRPr="00DB4DAE">
        <w:rPr>
          <w:rFonts w:ascii="Palatino Linotype" w:eastAsia="Palatino Linotype" w:hAnsi="Palatino Linotype" w:cs="Palatino Linotype"/>
        </w:rPr>
        <w:t xml:space="preserve"> collect</w:t>
      </w:r>
      <w:r>
        <w:rPr>
          <w:rFonts w:ascii="Palatino Linotype" w:eastAsia="Palatino Linotype" w:hAnsi="Palatino Linotype" w:cs="Palatino Linotype"/>
        </w:rPr>
        <w:t>ed</w:t>
      </w:r>
      <w:r w:rsidRPr="00DB4DAE">
        <w:rPr>
          <w:rFonts w:ascii="Palatino Linotype" w:eastAsia="Palatino Linotype" w:hAnsi="Palatino Linotype" w:cs="Palatino Linotype"/>
        </w:rPr>
        <w:t xml:space="preserve"> for multi-cytokine </w:t>
      </w:r>
      <w:r>
        <w:rPr>
          <w:rFonts w:ascii="Palatino Linotype" w:eastAsia="Palatino Linotype" w:hAnsi="Palatino Linotype" w:cs="Palatino Linotype"/>
        </w:rPr>
        <w:t>tests</w:t>
      </w:r>
      <w:r w:rsidRPr="00DB4DAE">
        <w:rPr>
          <w:rFonts w:ascii="Palatino Linotype" w:eastAsia="Palatino Linotype" w:hAnsi="Palatino Linotype" w:cs="Palatino Linotype"/>
        </w:rPr>
        <w:t xml:space="preserve"> </w:t>
      </w:r>
      <w:r>
        <w:rPr>
          <w:rFonts w:ascii="Palatino Linotype" w:eastAsia="Palatino Linotype" w:hAnsi="Palatino Linotype" w:cs="Palatino Linotype"/>
        </w:rPr>
        <w:t>8 days</w:t>
      </w:r>
      <w:r w:rsidRPr="00DB4DAE">
        <w:rPr>
          <w:rFonts w:ascii="Palatino Linotype" w:eastAsia="Palatino Linotype" w:hAnsi="Palatino Linotype" w:cs="Palatino Linotype"/>
        </w:rPr>
        <w:t xml:space="preserve"> after radiation treatment.</w:t>
      </w:r>
      <w:r>
        <w:rPr>
          <w:rFonts w:ascii="Palatino Linotype" w:eastAsia="Palatino Linotype" w:hAnsi="Palatino Linotype" w:cs="Palatino Linotype"/>
        </w:rPr>
        <w:t xml:space="preserve"> </w:t>
      </w:r>
    </w:p>
    <w:p w14:paraId="4F7AB3E4"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Lipid peroxidation assessment using BODIPY-C11 staining</w:t>
      </w:r>
    </w:p>
    <w:p w14:paraId="31540A8B"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A </w:t>
      </w:r>
      <w:r>
        <w:rPr>
          <w:rFonts w:ascii="Palatino Linotype" w:eastAsia="Palatino Linotype" w:hAnsi="Palatino Linotype" w:cs="Palatino Linotype"/>
        </w:rPr>
        <w:t>single-cell</w:t>
      </w:r>
      <w:r w:rsidRPr="00B97975">
        <w:rPr>
          <w:rFonts w:ascii="Palatino Linotype" w:eastAsia="Palatino Linotype" w:hAnsi="Palatino Linotype" w:cs="Palatino Linotype"/>
        </w:rPr>
        <w:t xml:space="preserve"> suspension was created to measure the lipid peroxidation amount in samples from different groups. For B16-OVA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-bearing mice, the right subcutaneous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tissue was removed, chopped into tiny pieces, mechanically minced against a 100 M cell strainer, and then washed in phosphate-buffered saline (PBS). The cell mixture was collected and density gradient centrifugation was used to pre-enrich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 xml:space="preserve"> and immunological cells. Anti-CD45 and anti-OVA257-264-H2Kb antibodies were used to stain the cell pellet, followed by BODIPY 581/591 C11. After filtration through a 40 M cell strainer, cells were immediately examined using a flow cytometer. The signals from both non-oxidized C11 (PE channel) and oxidized C11 (FITC channel) were observed for BODIPY 581/591 C11 staining. For each sample, the MFI of FITC to </w:t>
      </w:r>
      <w:r>
        <w:rPr>
          <w:rFonts w:ascii="Palatino Linotype" w:eastAsia="Palatino Linotype" w:hAnsi="Palatino Linotype" w:cs="Palatino Linotype"/>
        </w:rPr>
        <w:t xml:space="preserve">the </w:t>
      </w:r>
      <w:r w:rsidRPr="00B97975">
        <w:rPr>
          <w:rFonts w:ascii="Palatino Linotype" w:eastAsia="Palatino Linotype" w:hAnsi="Palatino Linotype" w:cs="Palatino Linotype"/>
        </w:rPr>
        <w:t>MFI of PE was determined. On other occasions, only the signal from the oxidized C11 was measured, and the MFI of the FITC was computed. The relative lipid ROS results were standardized to control samples.</w:t>
      </w:r>
    </w:p>
    <w:p w14:paraId="32E3C0C7"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lastRenderedPageBreak/>
        <w:t xml:space="preserve">Flow cytometric (FCM) analysis of </w:t>
      </w:r>
      <w:proofErr w:type="spellStart"/>
      <w:r w:rsidRPr="00B97975">
        <w:rPr>
          <w:rFonts w:ascii="Palatino Linotype" w:eastAsia="Palatino Linotype" w:hAnsi="Palatino Linotype" w:cs="Palatino Linotype"/>
          <w:b/>
        </w:rPr>
        <w:t>tumor</w:t>
      </w:r>
      <w:proofErr w:type="spellEnd"/>
      <w:r w:rsidRPr="00B97975">
        <w:rPr>
          <w:rFonts w:ascii="Palatino Linotype" w:eastAsia="Palatino Linotype" w:hAnsi="Palatino Linotype" w:cs="Palatino Linotype"/>
          <w:b/>
        </w:rPr>
        <w:t>-infiltrating CD45+ and CD8+ T cells</w:t>
      </w:r>
    </w:p>
    <w:p w14:paraId="66675AE6" w14:textId="77777777" w:rsidR="00725D91"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After the appropriate experimental period, </w:t>
      </w:r>
      <w:proofErr w:type="spellStart"/>
      <w:r>
        <w:rPr>
          <w:rFonts w:ascii="Palatino Linotype" w:eastAsia="Palatino Linotype" w:hAnsi="Palatino Linotype" w:cs="Palatino Linotype"/>
        </w:rPr>
        <w:t>tumor</w:t>
      </w:r>
      <w:proofErr w:type="spellEnd"/>
      <w:r>
        <w:rPr>
          <w:rFonts w:ascii="Palatino Linotype" w:eastAsia="Palatino Linotype" w:hAnsi="Palatino Linotype" w:cs="Palatino Linotype"/>
        </w:rPr>
        <w:t xml:space="preserve"> samples from </w:t>
      </w:r>
      <w:r w:rsidRPr="00B97975">
        <w:rPr>
          <w:rFonts w:ascii="Palatino Linotype" w:eastAsia="Palatino Linotype" w:hAnsi="Palatino Linotype" w:cs="Palatino Linotype"/>
        </w:rPr>
        <w:t>mice were extracted and digested for 30 min at 37 °C with 0.1 mg/m</w:t>
      </w:r>
      <w:r>
        <w:rPr>
          <w:rFonts w:ascii="Palatino Linotype" w:eastAsia="Palatino Linotype" w:hAnsi="Palatino Linotype" w:cs="Palatino Linotype"/>
        </w:rPr>
        <w:t>L of</w:t>
      </w:r>
      <w:r w:rsidRPr="00B97975">
        <w:rPr>
          <w:rFonts w:ascii="Palatino Linotype" w:eastAsia="Palatino Linotype" w:hAnsi="Palatino Linotype" w:cs="Palatino Linotype"/>
        </w:rPr>
        <w:t xml:space="preserve"> DNase I and 1 mg/m</w:t>
      </w:r>
      <w:r>
        <w:rPr>
          <w:rFonts w:ascii="Palatino Linotype" w:eastAsia="Palatino Linotype" w:hAnsi="Palatino Linotype" w:cs="Palatino Linotype"/>
        </w:rPr>
        <w:t>L of</w:t>
      </w:r>
      <w:r w:rsidRPr="00B97975">
        <w:rPr>
          <w:rFonts w:ascii="Palatino Linotype" w:eastAsia="Palatino Linotype" w:hAnsi="Palatino Linotype" w:cs="Palatino Linotype"/>
        </w:rPr>
        <w:t xml:space="preserve"> Collagenase D (Roche). Samples were filtered through a 70-μm cell strainer (MACS </w:t>
      </w:r>
      <w:proofErr w:type="spellStart"/>
      <w:r w:rsidRPr="00B97975">
        <w:rPr>
          <w:rFonts w:ascii="Palatino Linotype" w:eastAsia="Palatino Linotype" w:hAnsi="Palatino Linotype" w:cs="Palatino Linotype"/>
        </w:rPr>
        <w:t>SmartStrainers</w:t>
      </w:r>
      <w:proofErr w:type="spellEnd"/>
      <w:r w:rsidRPr="00B97975">
        <w:rPr>
          <w:rFonts w:ascii="Palatino Linotype" w:eastAsia="Palatino Linotype" w:hAnsi="Palatino Linotype" w:cs="Palatino Linotype"/>
        </w:rPr>
        <w:t xml:space="preserve">,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130-098-462</w:t>
      </w:r>
      <w:r>
        <w:rPr>
          <w:rFonts w:ascii="Palatino Linotype" w:eastAsia="Palatino Linotype" w:hAnsi="Palatino Linotype" w:cs="Palatino Linotype"/>
        </w:rPr>
        <w:t>;</w:t>
      </w:r>
      <w:r w:rsidRPr="00991864">
        <w:rPr>
          <w:rFonts w:ascii="Palatino Linotype" w:eastAsia="Palatino Linotype" w:hAnsi="Palatino Linotype" w:cs="Palatino Linotype"/>
        </w:rPr>
        <w:t xml:space="preserve"> </w:t>
      </w:r>
      <w:proofErr w:type="spellStart"/>
      <w:r w:rsidRPr="00B97975">
        <w:rPr>
          <w:rFonts w:ascii="Palatino Linotype" w:eastAsia="Palatino Linotype" w:hAnsi="Palatino Linotype" w:cs="Palatino Linotype"/>
        </w:rPr>
        <w:t>Miltenyi</w:t>
      </w:r>
      <w:proofErr w:type="spellEnd"/>
      <w:r w:rsidRPr="00B97975">
        <w:rPr>
          <w:rFonts w:ascii="Palatino Linotype" w:eastAsia="Palatino Linotype" w:hAnsi="Palatino Linotype" w:cs="Palatino Linotype"/>
        </w:rPr>
        <w:t xml:space="preserve"> </w:t>
      </w:r>
      <w:proofErr w:type="spellStart"/>
      <w:r w:rsidRPr="00B97975">
        <w:rPr>
          <w:rFonts w:ascii="Palatino Linotype" w:eastAsia="Palatino Linotype" w:hAnsi="Palatino Linotype" w:cs="Palatino Linotype"/>
        </w:rPr>
        <w:t>Biotec</w:t>
      </w:r>
      <w:proofErr w:type="spellEnd"/>
      <w:r>
        <w:rPr>
          <w:rFonts w:ascii="Palatino Linotype" w:eastAsia="Palatino Linotype" w:hAnsi="Palatino Linotype" w:cs="Palatino Linotype"/>
        </w:rPr>
        <w:t>,</w:t>
      </w:r>
      <w:r w:rsidRPr="00991864">
        <w:t xml:space="preserve"> </w:t>
      </w:r>
      <w:r w:rsidRPr="00991864">
        <w:rPr>
          <w:rFonts w:ascii="Palatino Linotype" w:eastAsia="Palatino Linotype" w:hAnsi="Palatino Linotype" w:cs="Palatino Linotype"/>
        </w:rPr>
        <w:t>North Rhine-Westphalia, Germany</w:t>
      </w:r>
      <w:r w:rsidRPr="00B97975">
        <w:rPr>
          <w:rFonts w:ascii="Palatino Linotype" w:eastAsia="Palatino Linotype" w:hAnsi="Palatino Linotype" w:cs="Palatino Linotype"/>
        </w:rPr>
        <w:t>) to obtain the single-cell suspensions, after which they were resuspended and preincubated with Fc-block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553142</w:t>
      </w:r>
      <w:r>
        <w:rPr>
          <w:rFonts w:ascii="Palatino Linotype" w:eastAsia="Palatino Linotype" w:hAnsi="Palatino Linotype" w:cs="Palatino Linotype"/>
        </w:rPr>
        <w:t>; BD Biosciences, Franklin Lakes, NJ, USA</w:t>
      </w:r>
      <w:r w:rsidRPr="00B97975">
        <w:rPr>
          <w:rFonts w:ascii="Palatino Linotype" w:eastAsia="Palatino Linotype" w:hAnsi="Palatino Linotype" w:cs="Palatino Linotype"/>
        </w:rPr>
        <w:t>) to prevent nonspecific Fc-receptor-mediated binding. Cell surface marker staining was conducted using APC-CY7-conjugated anti-mouse CD45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561037), fluorescein isothiocyanate (FITC)-conjugated anti-mouse CD4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561828), or BV605-conjugated anti-mouse CD8 </w:t>
      </w:r>
      <w:r>
        <w:rPr>
          <w:rFonts w:ascii="Palatino Linotype" w:eastAsia="Palatino Linotype" w:hAnsi="Palatino Linotype" w:cs="Palatino Linotype"/>
        </w:rPr>
        <w:t xml:space="preserve">antibodies </w:t>
      </w:r>
      <w:r w:rsidRPr="00B97975">
        <w:rPr>
          <w:rFonts w:ascii="Palatino Linotype" w:eastAsia="Palatino Linotype" w:hAnsi="Palatino Linotype" w:cs="Palatino Linotype"/>
        </w:rPr>
        <w:t>(</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563152</w:t>
      </w:r>
      <w:r>
        <w:rPr>
          <w:rFonts w:ascii="Palatino Linotype" w:eastAsia="Palatino Linotype" w:hAnsi="Palatino Linotype" w:cs="Palatino Linotype"/>
        </w:rPr>
        <w:t>; all antibodies were purchased from BD Biosciences</w:t>
      </w:r>
      <w:r w:rsidRPr="00B97975">
        <w:rPr>
          <w:rFonts w:ascii="Palatino Linotype" w:eastAsia="Palatino Linotype" w:hAnsi="Palatino Linotype" w:cs="Palatino Linotype"/>
        </w:rPr>
        <w:t>), and BV510-conjugated anti-mouse fixable viability dye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564406) staining was performed on ice in the dark for 40 min. Using a flow cytometer (</w:t>
      </w:r>
      <w:proofErr w:type="spellStart"/>
      <w:r w:rsidRPr="00B97975">
        <w:rPr>
          <w:rFonts w:ascii="Palatino Linotype" w:eastAsia="Palatino Linotype" w:hAnsi="Palatino Linotype" w:cs="Palatino Linotype"/>
        </w:rPr>
        <w:t>CytoFLEX</w:t>
      </w:r>
      <w:proofErr w:type="spellEnd"/>
      <w:r w:rsidRPr="00B97975">
        <w:rPr>
          <w:rFonts w:ascii="Palatino Linotype" w:eastAsia="Palatino Linotype" w:hAnsi="Palatino Linotype" w:cs="Palatino Linotype"/>
        </w:rPr>
        <w:t xml:space="preserve"> S; Beckman Coulter</w:t>
      </w:r>
      <w:r>
        <w:rPr>
          <w:rFonts w:ascii="Palatino Linotype" w:eastAsia="Palatino Linotype" w:hAnsi="Palatino Linotype" w:cs="Palatino Linotype"/>
        </w:rPr>
        <w:t>, Pasadena, CA, USA</w:t>
      </w:r>
      <w:r w:rsidRPr="00B97975">
        <w:rPr>
          <w:rFonts w:ascii="Palatino Linotype" w:eastAsia="Palatino Linotype" w:hAnsi="Palatino Linotype" w:cs="Palatino Linotype"/>
        </w:rPr>
        <w:t xml:space="preserve">), </w:t>
      </w:r>
      <w:proofErr w:type="spellStart"/>
      <w:r w:rsidRPr="00B97975">
        <w:rPr>
          <w:rFonts w:ascii="Palatino Linotype" w:eastAsia="Palatino Linotype" w:hAnsi="Palatino Linotype" w:cs="Palatino Linotype"/>
        </w:rPr>
        <w:t>tumor</w:t>
      </w:r>
      <w:proofErr w:type="spellEnd"/>
      <w:r w:rsidRPr="00B97975">
        <w:rPr>
          <w:rFonts w:ascii="Palatino Linotype" w:eastAsia="Palatino Linotype" w:hAnsi="Palatino Linotype" w:cs="Palatino Linotype"/>
        </w:rPr>
        <w:t>-infiltrating CD8+ and CD45+ cells were further assessed.</w:t>
      </w:r>
      <w:r>
        <w:rPr>
          <w:rFonts w:ascii="Palatino Linotype" w:eastAsia="Palatino Linotype" w:hAnsi="Palatino Linotype" w:cs="Palatino Linotype"/>
        </w:rPr>
        <w:t xml:space="preserve"> </w:t>
      </w:r>
      <w:proofErr w:type="spellStart"/>
      <w:r>
        <w:rPr>
          <w:rFonts w:ascii="Palatino Linotype" w:eastAsia="Palatino Linotype" w:hAnsi="Palatino Linotype" w:cs="Palatino Linotype"/>
        </w:rPr>
        <w:t>Tumors</w:t>
      </w:r>
      <w:proofErr w:type="spellEnd"/>
      <w:r>
        <w:rPr>
          <w:rFonts w:ascii="Palatino Linotype" w:eastAsia="Palatino Linotype" w:hAnsi="Palatino Linotype" w:cs="Palatino Linotype"/>
        </w:rPr>
        <w:t xml:space="preserve"> were collected for</w:t>
      </w:r>
      <w:r w:rsidRPr="007C4636">
        <w:rPr>
          <w:rFonts w:ascii="Palatino Linotype" w:eastAsia="Palatino Linotype" w:hAnsi="Palatino Linotype" w:cs="Palatino Linotype"/>
        </w:rPr>
        <w:t xml:space="preserve"> FCM analysis 8 </w:t>
      </w:r>
      <w:r>
        <w:rPr>
          <w:rFonts w:ascii="Palatino Linotype" w:eastAsia="Palatino Linotype" w:hAnsi="Palatino Linotype" w:cs="Palatino Linotype"/>
        </w:rPr>
        <w:t xml:space="preserve">days </w:t>
      </w:r>
      <w:r w:rsidRPr="007C4636">
        <w:rPr>
          <w:rFonts w:ascii="Palatino Linotype" w:eastAsia="Palatino Linotype" w:hAnsi="Palatino Linotype" w:cs="Palatino Linotype"/>
        </w:rPr>
        <w:t>after radiation treatment.</w:t>
      </w:r>
    </w:p>
    <w:p w14:paraId="5E2051E2"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Immunofluorescence assays</w:t>
      </w:r>
    </w:p>
    <w:p w14:paraId="0D454B8A" w14:textId="4562370B" w:rsidR="00725D91" w:rsidRPr="00B97975"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t xml:space="preserve">Multiplex immunofluorescence studies using successive staining cycles were performed for tissue immunofluorescence staining. After being deparaffinized, rehydrated, and exposed to antigen retrieval, slides were serially stained with CD4 (1:1000;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ab183685</w:t>
      </w:r>
      <w:r>
        <w:rPr>
          <w:rFonts w:ascii="Palatino Linotype" w:eastAsia="Palatino Linotype" w:hAnsi="Palatino Linotype" w:cs="Palatino Linotype"/>
        </w:rPr>
        <w:t>; Abcam, Cambridge, UK</w:t>
      </w:r>
      <w:r w:rsidRPr="00B97975">
        <w:rPr>
          <w:rFonts w:ascii="Palatino Linotype" w:eastAsia="Palatino Linotype" w:hAnsi="Palatino Linotype" w:cs="Palatino Linotype"/>
        </w:rPr>
        <w:t xml:space="preserve">) and CD8 (1:2000; </w:t>
      </w:r>
      <w:proofErr w:type="spellStart"/>
      <w:r w:rsidRPr="00B97975">
        <w:rPr>
          <w:rFonts w:ascii="Palatino Linotype" w:eastAsia="Palatino Linotype" w:hAnsi="Palatino Linotype" w:cs="Palatino Linotype"/>
        </w:rPr>
        <w:t>catalog</w:t>
      </w:r>
      <w:proofErr w:type="spellEnd"/>
      <w:r w:rsidRPr="00B97975">
        <w:rPr>
          <w:rFonts w:ascii="Palatino Linotype" w:eastAsia="Palatino Linotype" w:hAnsi="Palatino Linotype" w:cs="Palatino Linotype"/>
        </w:rPr>
        <w:t xml:space="preserve"> no. ab217344</w:t>
      </w:r>
      <w:r>
        <w:rPr>
          <w:rFonts w:ascii="Palatino Linotype" w:eastAsia="Palatino Linotype" w:hAnsi="Palatino Linotype" w:cs="Palatino Linotype"/>
        </w:rPr>
        <w:t>;</w:t>
      </w:r>
      <w:r w:rsidRPr="00991864">
        <w:rPr>
          <w:rFonts w:ascii="Palatino Linotype" w:eastAsia="Palatino Linotype" w:hAnsi="Palatino Linotype" w:cs="Palatino Linotype"/>
        </w:rPr>
        <w:t xml:space="preserve"> </w:t>
      </w:r>
      <w:r w:rsidRPr="00B97975">
        <w:rPr>
          <w:rFonts w:ascii="Palatino Linotype" w:eastAsia="Palatino Linotype" w:hAnsi="Palatino Linotype" w:cs="Palatino Linotype"/>
        </w:rPr>
        <w:t xml:space="preserve">Abcam)-specific antibodies. Each sample was then treated with anti-rabbit polymeric horseradish peroxidase before being </w:t>
      </w:r>
      <w:proofErr w:type="spellStart"/>
      <w:r w:rsidRPr="00B97975">
        <w:rPr>
          <w:rFonts w:ascii="Palatino Linotype" w:eastAsia="Palatino Linotype" w:hAnsi="Palatino Linotype" w:cs="Palatino Linotype"/>
        </w:rPr>
        <w:t>labeled</w:t>
      </w:r>
      <w:proofErr w:type="spellEnd"/>
      <w:r w:rsidRPr="00B97975">
        <w:rPr>
          <w:rFonts w:ascii="Palatino Linotype" w:eastAsia="Palatino Linotype" w:hAnsi="Palatino Linotype" w:cs="Palatino Linotype"/>
        </w:rPr>
        <w:t xml:space="preserve"> with Opal Fluorophore Reagents. Each antigen was serially tagged with a different fluorophore.</w:t>
      </w:r>
    </w:p>
    <w:p w14:paraId="366FB18B" w14:textId="77777777" w:rsidR="00725D91" w:rsidRPr="00B97975" w:rsidRDefault="00725D91" w:rsidP="00725D91">
      <w:pPr>
        <w:spacing w:line="480" w:lineRule="auto"/>
        <w:rPr>
          <w:rFonts w:ascii="Palatino Linotype" w:eastAsia="Palatino Linotype" w:hAnsi="Palatino Linotype" w:cs="Palatino Linotype"/>
          <w:b/>
        </w:rPr>
      </w:pPr>
      <w:r w:rsidRPr="00B97975">
        <w:rPr>
          <w:rFonts w:ascii="Palatino Linotype" w:eastAsia="Palatino Linotype" w:hAnsi="Palatino Linotype" w:cs="Palatino Linotype"/>
          <w:b/>
        </w:rPr>
        <w:t>Statistical analysis</w:t>
      </w:r>
    </w:p>
    <w:p w14:paraId="75FAF51D" w14:textId="77777777" w:rsidR="00725D91" w:rsidRPr="00B97975" w:rsidRDefault="00725D91" w:rsidP="00725D91">
      <w:pPr>
        <w:spacing w:line="480" w:lineRule="auto"/>
        <w:rPr>
          <w:rFonts w:ascii="Palatino Linotype" w:eastAsia="Palatino Linotype" w:hAnsi="Palatino Linotype" w:cs="Palatino Linotype"/>
        </w:rPr>
      </w:pPr>
      <w:r w:rsidRPr="00B97975">
        <w:rPr>
          <w:rFonts w:ascii="Palatino Linotype" w:eastAsia="Palatino Linotype" w:hAnsi="Palatino Linotype" w:cs="Palatino Linotype"/>
        </w:rPr>
        <w:lastRenderedPageBreak/>
        <w:t xml:space="preserve">Two-tailed unpaired Student's </w:t>
      </w:r>
      <w:r w:rsidRPr="00B97975">
        <w:rPr>
          <w:rFonts w:ascii="Palatino Linotype" w:eastAsia="Palatino Linotype" w:hAnsi="Palatino Linotype" w:cs="Palatino Linotype"/>
          <w:i/>
          <w:iCs/>
        </w:rPr>
        <w:t>t-</w:t>
      </w:r>
      <w:r w:rsidRPr="00B97975">
        <w:rPr>
          <w:rFonts w:ascii="Palatino Linotype" w:eastAsia="Palatino Linotype" w:hAnsi="Palatino Linotype" w:cs="Palatino Linotype"/>
        </w:rPr>
        <w:t xml:space="preserve">tests or Wilcoxon tests were used to compare </w:t>
      </w:r>
      <w:r>
        <w:rPr>
          <w:rFonts w:ascii="Palatino Linotype" w:eastAsia="Palatino Linotype" w:hAnsi="Palatino Linotype" w:cs="Palatino Linotype"/>
        </w:rPr>
        <w:t xml:space="preserve">the </w:t>
      </w:r>
      <w:r w:rsidRPr="00B97975">
        <w:rPr>
          <w:rFonts w:ascii="Palatino Linotype" w:eastAsia="Palatino Linotype" w:hAnsi="Palatino Linotype" w:cs="Palatino Linotype"/>
        </w:rPr>
        <w:t xml:space="preserve">two groups. Two-way ANOVA was </w:t>
      </w:r>
      <w:r>
        <w:rPr>
          <w:rFonts w:ascii="Palatino Linotype" w:eastAsia="Palatino Linotype" w:hAnsi="Palatino Linotype" w:cs="Palatino Linotype"/>
        </w:rPr>
        <w:t>used</w:t>
      </w:r>
      <w:r w:rsidRPr="00B97975">
        <w:rPr>
          <w:rFonts w:ascii="Palatino Linotype" w:eastAsia="Palatino Linotype" w:hAnsi="Palatino Linotype" w:cs="Palatino Linotype"/>
        </w:rPr>
        <w:t xml:space="preserve"> when comparing more than two groups. To determine the </w:t>
      </w:r>
      <w:r w:rsidRPr="00B97975">
        <w:rPr>
          <w:rFonts w:ascii="Palatino Linotype" w:eastAsia="Palatino Linotype" w:hAnsi="Palatino Linotype" w:cs="Palatino Linotype"/>
          <w:i/>
          <w:iCs/>
        </w:rPr>
        <w:t xml:space="preserve">p </w:t>
      </w:r>
      <w:r w:rsidRPr="00B97975">
        <w:rPr>
          <w:rFonts w:ascii="Palatino Linotype" w:eastAsia="Palatino Linotype" w:hAnsi="Palatino Linotype" w:cs="Palatino Linotype"/>
        </w:rPr>
        <w:t>values for Kaplan-Meier survival curves, the log-rank test was used. Data are provided as the mean ± SEM. R was used for all bioinformatics statistical calculations (v.3.6.3). The asterisks depicted in the figures indicate significance as follows: *</w:t>
      </w:r>
      <w:r w:rsidRPr="00B97975">
        <w:rPr>
          <w:rFonts w:ascii="Palatino Linotype" w:eastAsia="Palatino Linotype" w:hAnsi="Palatino Linotype" w:cs="Palatino Linotype"/>
          <w:i/>
          <w:iCs/>
        </w:rPr>
        <w:t>p</w:t>
      </w:r>
      <w:r w:rsidRPr="00B97975">
        <w:rPr>
          <w:rFonts w:ascii="Palatino Linotype" w:eastAsia="Palatino Linotype" w:hAnsi="Palatino Linotype" w:cs="Palatino Linotype"/>
        </w:rPr>
        <w:t xml:space="preserve"> &lt; 0.05, **</w:t>
      </w:r>
      <w:r w:rsidRPr="00B97975">
        <w:rPr>
          <w:rFonts w:ascii="Palatino Linotype" w:eastAsia="Palatino Linotype" w:hAnsi="Palatino Linotype" w:cs="Palatino Linotype"/>
          <w:i/>
          <w:iCs/>
        </w:rPr>
        <w:t>p</w:t>
      </w:r>
      <w:r w:rsidRPr="00B97975">
        <w:rPr>
          <w:rFonts w:ascii="Palatino Linotype" w:eastAsia="Palatino Linotype" w:hAnsi="Palatino Linotype" w:cs="Palatino Linotype"/>
        </w:rPr>
        <w:t xml:space="preserve"> &lt; 0.01, ***</w:t>
      </w:r>
      <w:r w:rsidRPr="00B97975">
        <w:rPr>
          <w:rFonts w:ascii="Palatino Linotype" w:eastAsia="Palatino Linotype" w:hAnsi="Palatino Linotype" w:cs="Palatino Linotype"/>
          <w:i/>
          <w:iCs/>
        </w:rPr>
        <w:t>p</w:t>
      </w:r>
      <w:r w:rsidRPr="00B97975">
        <w:rPr>
          <w:rFonts w:ascii="Palatino Linotype" w:eastAsia="Palatino Linotype" w:hAnsi="Palatino Linotype" w:cs="Palatino Linotype"/>
        </w:rPr>
        <w:t xml:space="preserve"> &lt; 0.001, ****</w:t>
      </w:r>
      <w:r w:rsidRPr="00B97975">
        <w:rPr>
          <w:rFonts w:ascii="Palatino Linotype" w:eastAsia="Palatino Linotype" w:hAnsi="Palatino Linotype" w:cs="Palatino Linotype"/>
          <w:i/>
          <w:iCs/>
        </w:rPr>
        <w:t>p</w:t>
      </w:r>
      <w:r w:rsidRPr="00B97975">
        <w:rPr>
          <w:rFonts w:ascii="Palatino Linotype" w:eastAsia="Palatino Linotype" w:hAnsi="Palatino Linotype" w:cs="Palatino Linotype"/>
        </w:rPr>
        <w:t xml:space="preserve"> &lt; 0.0001 ).</w:t>
      </w:r>
    </w:p>
    <w:p w14:paraId="2BA47BBA" w14:textId="77777777" w:rsidR="00E020F3" w:rsidRPr="00725D91" w:rsidRDefault="00E020F3" w:rsidP="00E020F3">
      <w:pPr>
        <w:rPr>
          <w:rFonts w:ascii="Times New Roman" w:hAnsi="Times New Roman" w:cs="Times New Roman"/>
        </w:rPr>
      </w:pPr>
    </w:p>
    <w:p w14:paraId="7B4EA174" w14:textId="77777777" w:rsidR="00E020F3" w:rsidRDefault="00E020F3" w:rsidP="00E020F3">
      <w:pPr>
        <w:rPr>
          <w:rFonts w:ascii="Times New Roman" w:hAnsi="Times New Roman" w:cs="Times New Roman"/>
        </w:rPr>
      </w:pPr>
    </w:p>
    <w:p w14:paraId="1B08ECF1" w14:textId="77777777" w:rsidR="00741882" w:rsidRDefault="00741882" w:rsidP="00F6035B">
      <w:pPr>
        <w:rPr>
          <w:rFonts w:ascii="Times New Roman" w:hAnsi="Times New Roman" w:cs="Times New Roman"/>
        </w:rPr>
      </w:pPr>
    </w:p>
    <w:p w14:paraId="227F8F84" w14:textId="77777777" w:rsidR="00741882" w:rsidRDefault="00741882" w:rsidP="00F6035B">
      <w:pPr>
        <w:rPr>
          <w:rFonts w:ascii="Times New Roman" w:hAnsi="Times New Roman" w:cs="Times New Roman"/>
        </w:rPr>
      </w:pPr>
    </w:p>
    <w:p w14:paraId="3BF4A2FD" w14:textId="77777777" w:rsidR="00741882" w:rsidRDefault="00741882" w:rsidP="00F6035B">
      <w:pPr>
        <w:rPr>
          <w:rFonts w:ascii="Times New Roman" w:hAnsi="Times New Roman" w:cs="Times New Roman"/>
        </w:rPr>
      </w:pPr>
    </w:p>
    <w:p w14:paraId="0F11E4C4" w14:textId="77777777" w:rsidR="00741882" w:rsidRDefault="00741882" w:rsidP="00F6035B">
      <w:pPr>
        <w:rPr>
          <w:rFonts w:ascii="Times New Roman" w:hAnsi="Times New Roman" w:cs="Times New Roman"/>
        </w:rPr>
      </w:pPr>
    </w:p>
    <w:p w14:paraId="5F7B475F" w14:textId="77777777" w:rsidR="00741882" w:rsidRDefault="00741882" w:rsidP="00F6035B">
      <w:pPr>
        <w:rPr>
          <w:rFonts w:ascii="Times New Roman" w:hAnsi="Times New Roman" w:cs="Times New Roman"/>
        </w:rPr>
      </w:pPr>
    </w:p>
    <w:p w14:paraId="6FE08F0B" w14:textId="77777777" w:rsidR="00741882" w:rsidRDefault="00741882" w:rsidP="00F6035B">
      <w:pPr>
        <w:rPr>
          <w:rFonts w:ascii="Times New Roman" w:hAnsi="Times New Roman" w:cs="Times New Roman"/>
        </w:rPr>
      </w:pPr>
    </w:p>
    <w:p w14:paraId="6AD78EC3" w14:textId="77777777" w:rsidR="00741882" w:rsidRDefault="00741882" w:rsidP="00F6035B">
      <w:pPr>
        <w:rPr>
          <w:rFonts w:ascii="Times New Roman" w:hAnsi="Times New Roman" w:cs="Times New Roman"/>
        </w:rPr>
      </w:pPr>
    </w:p>
    <w:p w14:paraId="343AE9FD" w14:textId="77777777" w:rsidR="00741882" w:rsidRDefault="00741882" w:rsidP="00F6035B">
      <w:pPr>
        <w:rPr>
          <w:rFonts w:ascii="Times New Roman" w:hAnsi="Times New Roman" w:cs="Times New Roman"/>
        </w:rPr>
      </w:pPr>
    </w:p>
    <w:p w14:paraId="587431BA" w14:textId="77777777" w:rsidR="00741882" w:rsidRDefault="00741882" w:rsidP="00F6035B">
      <w:pPr>
        <w:rPr>
          <w:rFonts w:ascii="Times New Roman" w:hAnsi="Times New Roman" w:cs="Times New Roman"/>
        </w:rPr>
      </w:pPr>
    </w:p>
    <w:p w14:paraId="533A6879" w14:textId="77777777" w:rsidR="00741882" w:rsidRDefault="00741882" w:rsidP="00F6035B">
      <w:pPr>
        <w:rPr>
          <w:rFonts w:ascii="Times New Roman" w:hAnsi="Times New Roman" w:cs="Times New Roman"/>
        </w:rPr>
      </w:pPr>
    </w:p>
    <w:p w14:paraId="204C2406" w14:textId="77777777" w:rsidR="00741882" w:rsidRDefault="00741882" w:rsidP="00F6035B">
      <w:pPr>
        <w:rPr>
          <w:rFonts w:ascii="Times New Roman" w:hAnsi="Times New Roman" w:cs="Times New Roman"/>
        </w:rPr>
      </w:pPr>
    </w:p>
    <w:p w14:paraId="62A1A946" w14:textId="77777777" w:rsidR="00741882" w:rsidRDefault="00741882" w:rsidP="00F6035B">
      <w:pPr>
        <w:rPr>
          <w:rFonts w:ascii="Times New Roman" w:hAnsi="Times New Roman" w:cs="Times New Roman"/>
        </w:rPr>
      </w:pPr>
    </w:p>
    <w:p w14:paraId="4C9004D5" w14:textId="77777777" w:rsidR="00741882" w:rsidRDefault="00741882" w:rsidP="00F6035B">
      <w:pPr>
        <w:rPr>
          <w:rFonts w:ascii="Times New Roman" w:hAnsi="Times New Roman" w:cs="Times New Roman"/>
        </w:rPr>
      </w:pPr>
    </w:p>
    <w:p w14:paraId="0A5639C3" w14:textId="77777777" w:rsidR="00741882" w:rsidRDefault="00741882" w:rsidP="00F6035B">
      <w:pPr>
        <w:rPr>
          <w:rFonts w:ascii="Times New Roman" w:hAnsi="Times New Roman" w:cs="Times New Roman"/>
        </w:rPr>
      </w:pPr>
    </w:p>
    <w:p w14:paraId="007C6295" w14:textId="77777777" w:rsidR="00741882" w:rsidRDefault="00741882" w:rsidP="00F6035B">
      <w:pPr>
        <w:rPr>
          <w:rFonts w:ascii="Times New Roman" w:hAnsi="Times New Roman" w:cs="Times New Roman"/>
        </w:rPr>
      </w:pPr>
    </w:p>
    <w:p w14:paraId="425F79C2" w14:textId="77777777" w:rsidR="0062120B" w:rsidRDefault="0062120B" w:rsidP="00F6035B">
      <w:pPr>
        <w:rPr>
          <w:rFonts w:ascii="Times New Roman" w:hAnsi="Times New Roman" w:cs="Times New Roman"/>
        </w:rPr>
      </w:pPr>
    </w:p>
    <w:p w14:paraId="12B23195" w14:textId="77777777" w:rsidR="0062120B" w:rsidRDefault="0062120B" w:rsidP="00F6035B">
      <w:pPr>
        <w:rPr>
          <w:rFonts w:ascii="Times New Roman" w:hAnsi="Times New Roman" w:cs="Times New Roman"/>
        </w:rPr>
      </w:pPr>
    </w:p>
    <w:p w14:paraId="78332AFD" w14:textId="77777777" w:rsidR="0062120B" w:rsidRDefault="0062120B" w:rsidP="00F6035B">
      <w:pPr>
        <w:rPr>
          <w:rFonts w:ascii="Times New Roman" w:hAnsi="Times New Roman" w:cs="Times New Roman"/>
        </w:rPr>
      </w:pPr>
    </w:p>
    <w:p w14:paraId="090114B3" w14:textId="77777777" w:rsidR="0062120B" w:rsidRDefault="0062120B" w:rsidP="00F6035B">
      <w:pPr>
        <w:rPr>
          <w:rFonts w:ascii="Times New Roman" w:hAnsi="Times New Roman" w:cs="Times New Roman"/>
        </w:rPr>
      </w:pPr>
    </w:p>
    <w:p w14:paraId="1D75C5A3" w14:textId="77777777" w:rsidR="0062120B" w:rsidRDefault="0062120B" w:rsidP="00F6035B">
      <w:pPr>
        <w:rPr>
          <w:rFonts w:ascii="Times New Roman" w:hAnsi="Times New Roman" w:cs="Times New Roman"/>
        </w:rPr>
      </w:pPr>
    </w:p>
    <w:p w14:paraId="0A357A80" w14:textId="77777777" w:rsidR="0062120B" w:rsidRDefault="0062120B" w:rsidP="00F6035B">
      <w:pPr>
        <w:rPr>
          <w:rFonts w:ascii="Times New Roman" w:hAnsi="Times New Roman" w:cs="Times New Roman"/>
        </w:rPr>
      </w:pPr>
    </w:p>
    <w:p w14:paraId="37E25C7B" w14:textId="77777777" w:rsidR="0062120B" w:rsidRDefault="0062120B" w:rsidP="00F6035B">
      <w:pPr>
        <w:rPr>
          <w:rFonts w:ascii="Times New Roman" w:hAnsi="Times New Roman" w:cs="Times New Roman"/>
        </w:rPr>
      </w:pPr>
    </w:p>
    <w:p w14:paraId="3DF69D4A" w14:textId="77777777" w:rsidR="0062120B" w:rsidRDefault="0062120B" w:rsidP="00F6035B">
      <w:pPr>
        <w:rPr>
          <w:rFonts w:ascii="Times New Roman" w:hAnsi="Times New Roman" w:cs="Times New Roman"/>
        </w:rPr>
      </w:pPr>
    </w:p>
    <w:p w14:paraId="5CD12DB3" w14:textId="77777777" w:rsidR="0062120B" w:rsidRDefault="0062120B" w:rsidP="00F6035B">
      <w:pPr>
        <w:rPr>
          <w:rFonts w:ascii="Times New Roman" w:hAnsi="Times New Roman" w:cs="Times New Roman"/>
        </w:rPr>
      </w:pPr>
    </w:p>
    <w:p w14:paraId="3E4CDF0B" w14:textId="77777777" w:rsidR="0062120B" w:rsidRDefault="0062120B" w:rsidP="00F6035B">
      <w:pPr>
        <w:rPr>
          <w:rFonts w:ascii="Times New Roman" w:hAnsi="Times New Roman" w:cs="Times New Roman"/>
        </w:rPr>
      </w:pPr>
    </w:p>
    <w:p w14:paraId="22EFD5EA" w14:textId="77777777" w:rsidR="0062120B" w:rsidRDefault="0062120B" w:rsidP="00F6035B">
      <w:pPr>
        <w:rPr>
          <w:rFonts w:ascii="Times New Roman" w:hAnsi="Times New Roman" w:cs="Times New Roman"/>
        </w:rPr>
      </w:pPr>
    </w:p>
    <w:p w14:paraId="007C258B" w14:textId="77777777" w:rsidR="0062120B" w:rsidRDefault="0062120B" w:rsidP="00F6035B">
      <w:pPr>
        <w:rPr>
          <w:rFonts w:ascii="Times New Roman" w:hAnsi="Times New Roman" w:cs="Times New Roman"/>
        </w:rPr>
      </w:pPr>
    </w:p>
    <w:p w14:paraId="491B2E11" w14:textId="7905E143" w:rsidR="009764EE" w:rsidRDefault="009764EE"/>
    <w:p w14:paraId="1124DC40" w14:textId="77777777" w:rsidR="00741882" w:rsidRDefault="00741882" w:rsidP="008671B6">
      <w:pPr>
        <w:rPr>
          <w:rFonts w:ascii="Times New Roman" w:hAnsi="Times New Roman" w:cs="Times New Roman"/>
        </w:rPr>
      </w:pPr>
    </w:p>
    <w:p w14:paraId="1582A23D" w14:textId="77777777" w:rsidR="00741882" w:rsidRDefault="00741882" w:rsidP="008671B6">
      <w:pPr>
        <w:rPr>
          <w:rFonts w:ascii="Times New Roman" w:hAnsi="Times New Roman" w:cs="Times New Roman"/>
        </w:rPr>
      </w:pPr>
    </w:p>
    <w:p w14:paraId="66A4A3CB" w14:textId="77777777" w:rsidR="00741882" w:rsidRPr="00445FC0" w:rsidRDefault="00741882" w:rsidP="008671B6">
      <w:pPr>
        <w:rPr>
          <w:rFonts w:ascii="Times New Roman" w:hAnsi="Times New Roman" w:cs="Times New Roman"/>
        </w:rPr>
      </w:pPr>
    </w:p>
    <w:p w14:paraId="397329FE" w14:textId="77777777" w:rsidR="00D33F3E" w:rsidRPr="00D33F3E" w:rsidRDefault="00D33F3E" w:rsidP="00D33F3E">
      <w:pPr>
        <w:jc w:val="center"/>
        <w:rPr>
          <w:rFonts w:ascii="Times New Roman" w:hAnsi="Times New Roman" w:cs="Times New Roman"/>
        </w:rPr>
      </w:pPr>
    </w:p>
    <w:sectPr w:rsidR="00D33F3E" w:rsidRPr="00D33F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F2268" w14:textId="77777777" w:rsidR="00826C4D" w:rsidRDefault="00826C4D" w:rsidP="0024334B">
      <w:pPr>
        <w:spacing w:line="240" w:lineRule="auto"/>
      </w:pPr>
      <w:r>
        <w:separator/>
      </w:r>
    </w:p>
  </w:endnote>
  <w:endnote w:type="continuationSeparator" w:id="0">
    <w:p w14:paraId="26811854" w14:textId="77777777" w:rsidR="00826C4D" w:rsidRDefault="00826C4D" w:rsidP="002433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265AF" w14:textId="77777777" w:rsidR="00826C4D" w:rsidRDefault="00826C4D" w:rsidP="0024334B">
      <w:pPr>
        <w:spacing w:line="240" w:lineRule="auto"/>
      </w:pPr>
      <w:r>
        <w:separator/>
      </w:r>
    </w:p>
  </w:footnote>
  <w:footnote w:type="continuationSeparator" w:id="0">
    <w:p w14:paraId="3C121088" w14:textId="77777777" w:rsidR="00826C4D" w:rsidRDefault="00826C4D" w:rsidP="0024334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35B"/>
    <w:rsid w:val="00022901"/>
    <w:rsid w:val="00037E43"/>
    <w:rsid w:val="000B0C83"/>
    <w:rsid w:val="001526E4"/>
    <w:rsid w:val="00156C26"/>
    <w:rsid w:val="00183BDB"/>
    <w:rsid w:val="001A4EF3"/>
    <w:rsid w:val="0024334B"/>
    <w:rsid w:val="00254520"/>
    <w:rsid w:val="002C5E51"/>
    <w:rsid w:val="0035140E"/>
    <w:rsid w:val="00354507"/>
    <w:rsid w:val="00381CF9"/>
    <w:rsid w:val="003D43C3"/>
    <w:rsid w:val="003F73B7"/>
    <w:rsid w:val="00445FC0"/>
    <w:rsid w:val="00595780"/>
    <w:rsid w:val="0062120B"/>
    <w:rsid w:val="00630FE4"/>
    <w:rsid w:val="00725D91"/>
    <w:rsid w:val="00741882"/>
    <w:rsid w:val="007B2861"/>
    <w:rsid w:val="00826C4D"/>
    <w:rsid w:val="008340C0"/>
    <w:rsid w:val="00863D1F"/>
    <w:rsid w:val="008671B6"/>
    <w:rsid w:val="009764EE"/>
    <w:rsid w:val="009C618E"/>
    <w:rsid w:val="00A40362"/>
    <w:rsid w:val="00A5389F"/>
    <w:rsid w:val="00D33F3E"/>
    <w:rsid w:val="00E020F3"/>
    <w:rsid w:val="00F6035B"/>
    <w:rsid w:val="00F90A99"/>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0FCBF"/>
  <w15:chartTrackingRefBased/>
  <w15:docId w15:val="{3BEAA321-D8CF-443F-B419-65278B209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3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035B"/>
    <w:pPr>
      <w:spacing w:line="240" w:lineRule="auto"/>
    </w:pPr>
    <w:rPr>
      <w:rFonts w:ascii="Segoe UI" w:hAnsi="Segoe UI" w:cs="Segoe UI"/>
      <w:sz w:val="18"/>
      <w:szCs w:val="18"/>
    </w:rPr>
  </w:style>
  <w:style w:type="character" w:customStyle="1" w:styleId="a4">
    <w:name w:val="批注框文本 字符"/>
    <w:basedOn w:val="a0"/>
    <w:link w:val="a3"/>
    <w:uiPriority w:val="99"/>
    <w:semiHidden/>
    <w:rsid w:val="00F6035B"/>
    <w:rPr>
      <w:rFonts w:ascii="Segoe UI" w:hAnsi="Segoe UI" w:cs="Segoe UI"/>
      <w:sz w:val="18"/>
      <w:szCs w:val="18"/>
    </w:rPr>
  </w:style>
  <w:style w:type="character" w:styleId="a5">
    <w:name w:val="annotation reference"/>
    <w:basedOn w:val="a0"/>
    <w:unhideWhenUsed/>
    <w:rsid w:val="00F6035B"/>
    <w:rPr>
      <w:sz w:val="16"/>
      <w:szCs w:val="16"/>
    </w:rPr>
  </w:style>
  <w:style w:type="paragraph" w:styleId="a6">
    <w:name w:val="annotation text"/>
    <w:basedOn w:val="a"/>
    <w:link w:val="a7"/>
    <w:unhideWhenUsed/>
    <w:rsid w:val="00F6035B"/>
    <w:pPr>
      <w:spacing w:line="240" w:lineRule="auto"/>
    </w:pPr>
    <w:rPr>
      <w:sz w:val="20"/>
      <w:szCs w:val="20"/>
    </w:rPr>
  </w:style>
  <w:style w:type="character" w:customStyle="1" w:styleId="a7">
    <w:name w:val="批注文字 字符"/>
    <w:basedOn w:val="a0"/>
    <w:link w:val="a6"/>
    <w:rsid w:val="00F6035B"/>
    <w:rPr>
      <w:sz w:val="20"/>
      <w:szCs w:val="20"/>
    </w:rPr>
  </w:style>
  <w:style w:type="paragraph" w:styleId="a8">
    <w:name w:val="header"/>
    <w:basedOn w:val="a"/>
    <w:link w:val="a9"/>
    <w:uiPriority w:val="99"/>
    <w:unhideWhenUsed/>
    <w:rsid w:val="0024334B"/>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24334B"/>
    <w:rPr>
      <w:sz w:val="18"/>
      <w:szCs w:val="18"/>
    </w:rPr>
  </w:style>
  <w:style w:type="paragraph" w:styleId="aa">
    <w:name w:val="footer"/>
    <w:basedOn w:val="a"/>
    <w:link w:val="ab"/>
    <w:uiPriority w:val="99"/>
    <w:unhideWhenUsed/>
    <w:rsid w:val="0024334B"/>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2433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6</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清廷 黄</cp:lastModifiedBy>
  <cp:revision>51</cp:revision>
  <dcterms:created xsi:type="dcterms:W3CDTF">2023-03-23T05:37:00Z</dcterms:created>
  <dcterms:modified xsi:type="dcterms:W3CDTF">2023-08-01T08:02:00Z</dcterms:modified>
</cp:coreProperties>
</file>