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4B83AC" w14:textId="77777777" w:rsidR="00A668F4" w:rsidRDefault="00A668F4" w:rsidP="00A668F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Supporting Information</w:t>
      </w:r>
    </w:p>
    <w:p w14:paraId="48070EA3" w14:textId="02A6F435" w:rsidR="00A668F4" w:rsidRDefault="00A668F4" w:rsidP="00A668F4">
      <w:pPr>
        <w:spacing w:line="360" w:lineRule="auto"/>
        <w:rPr>
          <w:rFonts w:ascii="Times New Roman" w:hAnsi="Times New Roman" w:cs="Times New Roman"/>
          <w:color w:val="24202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251D69D3" wp14:editId="7F4484C8">
            <wp:extent cx="5273675" cy="4599305"/>
            <wp:effectExtent l="0" t="0" r="317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459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Supplementary Fig. 1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Gating strategy.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A,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Gating and phenotype of ILC2s. 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B,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Gating and phenotype of CD4</w:t>
      </w:r>
      <w:r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color w:val="242021"/>
          <w:sz w:val="24"/>
          <w:szCs w:val="24"/>
        </w:rPr>
        <w:t>T cell and CD8</w:t>
      </w:r>
      <w:r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T cell. </w:t>
      </w:r>
    </w:p>
    <w:p w14:paraId="51C9630C" w14:textId="77777777" w:rsidR="00A668F4" w:rsidRDefault="00A668F4" w:rsidP="00A668F4">
      <w:pPr>
        <w:spacing w:line="360" w:lineRule="auto"/>
        <w:rPr>
          <w:rFonts w:ascii="Times New Roman" w:hAnsi="Times New Roman" w:cs="Times New Roman"/>
          <w:b/>
          <w:bCs/>
          <w:color w:val="242021"/>
          <w:sz w:val="24"/>
          <w:szCs w:val="24"/>
        </w:rPr>
      </w:pPr>
    </w:p>
    <w:p w14:paraId="35E9A96A" w14:textId="5768A596" w:rsidR="00A668F4" w:rsidRDefault="00A668F4" w:rsidP="00A668F4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747179D3" wp14:editId="716F56FA">
            <wp:extent cx="5273675" cy="3200400"/>
            <wp:effectExtent l="0" t="0" r="317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50A1E" w14:textId="77777777" w:rsidR="00A668F4" w:rsidRDefault="00A668F4" w:rsidP="00A668F4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22320D19" w14:textId="77777777" w:rsidR="00A668F4" w:rsidRDefault="00A668F4" w:rsidP="00A668F4">
      <w:pPr>
        <w:spacing w:line="360" w:lineRule="auto"/>
        <w:rPr>
          <w:rFonts w:ascii="Times New Roman" w:eastAsia="宋体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b/>
          <w:iCs/>
          <w:color w:val="000000" w:themeColor="text1"/>
          <w:sz w:val="24"/>
          <w:szCs w:val="24"/>
        </w:rPr>
        <w:t>Supplementary Fig. 2</w:t>
      </w:r>
      <w:r>
        <w:rPr>
          <w:rFonts w:ascii="Times New Roman" w:eastAsia="宋体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iCs/>
          <w:color w:val="000000" w:themeColor="text1"/>
          <w:sz w:val="24"/>
          <w:szCs w:val="24"/>
        </w:rPr>
        <w:t>A</w:t>
      </w:r>
      <w:r>
        <w:rPr>
          <w:rFonts w:ascii="Times New Roman" w:eastAsia="宋体" w:hAnsi="Times New Roman" w:cs="Times New Roman"/>
          <w:bCs/>
          <w:iCs/>
          <w:color w:val="000000" w:themeColor="text1"/>
          <w:sz w:val="24"/>
          <w:szCs w:val="24"/>
        </w:rPr>
        <w:t>, Positive and negative control of IL-33 expression in tissues. Correlations between the levels of IL-33 mRNA expression (</w:t>
      </w:r>
      <w:r>
        <w:rPr>
          <w:rFonts w:ascii="Times New Roman" w:eastAsia="宋体" w:hAnsi="Times New Roman" w:cs="Times New Roman"/>
          <w:b/>
          <w:iCs/>
          <w:color w:val="000000" w:themeColor="text1"/>
          <w:sz w:val="24"/>
          <w:szCs w:val="24"/>
        </w:rPr>
        <w:t>B</w:t>
      </w:r>
      <w:r>
        <w:rPr>
          <w:rFonts w:ascii="Times New Roman" w:eastAsia="宋体" w:hAnsi="Times New Roman" w:cs="Times New Roman"/>
          <w:bCs/>
          <w:iCs/>
          <w:color w:val="000000" w:themeColor="text1"/>
          <w:sz w:val="24"/>
          <w:szCs w:val="24"/>
        </w:rPr>
        <w:t>) and IL-33 MOD (</w:t>
      </w:r>
      <w:r>
        <w:rPr>
          <w:rFonts w:ascii="Times New Roman" w:eastAsia="宋体" w:hAnsi="Times New Roman" w:cs="Times New Roman"/>
          <w:b/>
          <w:iCs/>
          <w:color w:val="000000" w:themeColor="text1"/>
          <w:sz w:val="24"/>
          <w:szCs w:val="24"/>
        </w:rPr>
        <w:t>C</w:t>
      </w:r>
      <w:r>
        <w:rPr>
          <w:rFonts w:ascii="Times New Roman" w:eastAsia="宋体" w:hAnsi="Times New Roman" w:cs="Times New Roman"/>
          <w:bCs/>
          <w:iCs/>
          <w:color w:val="000000" w:themeColor="text1"/>
          <w:sz w:val="24"/>
          <w:szCs w:val="24"/>
        </w:rPr>
        <w:t xml:space="preserve">) with the percentage of </w:t>
      </w:r>
      <w:r>
        <w:rPr>
          <w:rFonts w:ascii="Times New Roman" w:hAnsi="Times New Roman" w:cs="Times New Roman"/>
          <w:color w:val="242021"/>
          <w:sz w:val="24"/>
          <w:szCs w:val="24"/>
        </w:rPr>
        <w:t>ILC2s</w:t>
      </w:r>
      <w:r>
        <w:rPr>
          <w:rFonts w:ascii="Times New Roman" w:eastAsia="宋体" w:hAnsi="Times New Roman" w:cs="Times New Roman"/>
          <w:bCs/>
          <w:iCs/>
          <w:color w:val="000000" w:themeColor="text1"/>
          <w:sz w:val="24"/>
          <w:szCs w:val="24"/>
        </w:rPr>
        <w:t xml:space="preserve"> in tumor tissues from lung adenocarcinoma tumor-bearing mice. </w:t>
      </w:r>
    </w:p>
    <w:p w14:paraId="752D36A5" w14:textId="77777777" w:rsidR="00A668F4" w:rsidRDefault="00A668F4" w:rsidP="00A668F4">
      <w:pPr>
        <w:spacing w:line="360" w:lineRule="auto"/>
        <w:rPr>
          <w:rFonts w:ascii="Times New Roman" w:eastAsia="宋体" w:hAnsi="Times New Roman" w:cs="Times New Roman"/>
          <w:b/>
          <w:i/>
          <w:color w:val="0070C0"/>
          <w:sz w:val="24"/>
          <w:szCs w:val="24"/>
        </w:rPr>
      </w:pPr>
    </w:p>
    <w:p w14:paraId="62964B7B" w14:textId="77777777" w:rsidR="00A668F4" w:rsidRDefault="00A668F4" w:rsidP="00A668F4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ADA8B1F" w14:textId="77777777" w:rsidR="00A668F4" w:rsidRDefault="00A668F4" w:rsidP="00A668F4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6D17EB24" w14:textId="77777777" w:rsidR="00A668F4" w:rsidRDefault="00A668F4" w:rsidP="00A668F4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49A4BDD6" w14:textId="77777777" w:rsidR="00A668F4" w:rsidRDefault="00A668F4" w:rsidP="00A668F4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50139B06" w14:textId="77777777" w:rsidR="00A668F4" w:rsidRDefault="00A668F4" w:rsidP="00A668F4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1B2F1EAE" w14:textId="77777777" w:rsidR="00A668F4" w:rsidRDefault="00A668F4" w:rsidP="00A668F4">
      <w:pPr>
        <w:spacing w:line="360" w:lineRule="auto"/>
        <w:rPr>
          <w:rFonts w:ascii="Times New Roman" w:hAnsi="Times New Roman" w:cs="Times New Roman"/>
          <w:color w:val="242021"/>
          <w:sz w:val="24"/>
          <w:szCs w:val="24"/>
        </w:rPr>
      </w:pPr>
    </w:p>
    <w:p w14:paraId="79B8C975" w14:textId="77777777" w:rsidR="00A668F4" w:rsidRDefault="00A668F4" w:rsidP="00A668F4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41157BF3" w14:textId="0E18BAF4" w:rsidR="00A668F4" w:rsidRDefault="00A668F4" w:rsidP="00A668F4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405B7A01" wp14:editId="436ED61C">
            <wp:extent cx="5273675" cy="6464300"/>
            <wp:effectExtent l="0" t="0" r="317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646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0E939" w14:textId="77777777" w:rsidR="00A668F4" w:rsidRDefault="00A668F4" w:rsidP="00A668F4">
      <w:pPr>
        <w:spacing w:line="360" w:lineRule="auto"/>
        <w:rPr>
          <w:rFonts w:ascii="Times New Roman" w:hAnsi="Times New Roman" w:cs="Times New Roman"/>
          <w:color w:val="242021"/>
          <w:sz w:val="24"/>
          <w:szCs w:val="24"/>
        </w:rPr>
      </w:pPr>
      <w:bookmarkStart w:id="0" w:name="_Hlk137481006"/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 xml:space="preserve">Supplementary Fig. 3 ILC2s infiltrating in tumor tissues in subcutaneous LUAD tumor. A, </w:t>
      </w:r>
      <w:r>
        <w:rPr>
          <w:rFonts w:ascii="Times New Roman" w:hAnsi="Times New Roman" w:cs="Times New Roman"/>
          <w:color w:val="242021"/>
          <w:sz w:val="24"/>
          <w:szCs w:val="24"/>
        </w:rPr>
        <w:t>Subcutaneous LUAD tumor model. Gating (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B</w:t>
      </w:r>
      <w:r>
        <w:rPr>
          <w:rFonts w:ascii="Times New Roman" w:hAnsi="Times New Roman" w:cs="Times New Roman"/>
          <w:color w:val="242021"/>
          <w:sz w:val="24"/>
          <w:szCs w:val="24"/>
        </w:rPr>
        <w:t>) and frequency (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C</w:t>
      </w:r>
      <w:r>
        <w:rPr>
          <w:rFonts w:ascii="Times New Roman" w:hAnsi="Times New Roman" w:cs="Times New Roman"/>
          <w:color w:val="242021"/>
          <w:sz w:val="24"/>
          <w:szCs w:val="24"/>
        </w:rPr>
        <w:t>) of ILC2s in subcutaneous LUAD tumor-bearing mouse. Gating and phenotype of CD4</w:t>
      </w:r>
      <w:r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color w:val="242021"/>
          <w:sz w:val="24"/>
          <w:szCs w:val="24"/>
        </w:rPr>
        <w:t>T cell (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D</w:t>
      </w:r>
      <w:r>
        <w:rPr>
          <w:rFonts w:ascii="Times New Roman" w:hAnsi="Times New Roman" w:cs="Times New Roman"/>
          <w:color w:val="242021"/>
          <w:sz w:val="24"/>
          <w:szCs w:val="24"/>
        </w:rPr>
        <w:t>), and CD8</w:t>
      </w:r>
      <w:r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color w:val="242021"/>
          <w:sz w:val="24"/>
          <w:szCs w:val="24"/>
        </w:rPr>
        <w:t>T cell (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E</w:t>
      </w:r>
      <w:r>
        <w:rPr>
          <w:rFonts w:ascii="Times New Roman" w:hAnsi="Times New Roman" w:cs="Times New Roman"/>
          <w:color w:val="242021"/>
          <w:sz w:val="24"/>
          <w:szCs w:val="24"/>
        </w:rPr>
        <w:t>) in spleen and tumor tissue. Frequency of CD4</w:t>
      </w:r>
      <w:r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color w:val="242021"/>
          <w:sz w:val="24"/>
          <w:szCs w:val="24"/>
        </w:rPr>
        <w:t>T cell (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F</w:t>
      </w:r>
      <w:r>
        <w:rPr>
          <w:rFonts w:ascii="Times New Roman" w:hAnsi="Times New Roman" w:cs="Times New Roman"/>
          <w:color w:val="242021"/>
          <w:sz w:val="24"/>
          <w:szCs w:val="24"/>
        </w:rPr>
        <w:t>), and CD8</w:t>
      </w:r>
      <w:r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color w:val="242021"/>
          <w:sz w:val="24"/>
          <w:szCs w:val="24"/>
        </w:rPr>
        <w:t>T cell (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G</w:t>
      </w:r>
      <w:r>
        <w:rPr>
          <w:rFonts w:ascii="Times New Roman" w:hAnsi="Times New Roman" w:cs="Times New Roman"/>
          <w:color w:val="242021"/>
          <w:sz w:val="24"/>
          <w:szCs w:val="24"/>
        </w:rPr>
        <w:t>) in spleen and tumor tissue. Gating (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H</w:t>
      </w:r>
      <w:r>
        <w:rPr>
          <w:rFonts w:ascii="Times New Roman" w:hAnsi="Times New Roman" w:cs="Times New Roman"/>
          <w:color w:val="242021"/>
          <w:sz w:val="24"/>
          <w:szCs w:val="24"/>
        </w:rPr>
        <w:t>) and frequency (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I</w:t>
      </w:r>
      <w:r>
        <w:rPr>
          <w:rFonts w:ascii="Times New Roman" w:hAnsi="Times New Roman" w:cs="Times New Roman"/>
          <w:color w:val="242021"/>
          <w:sz w:val="24"/>
          <w:szCs w:val="24"/>
        </w:rPr>
        <w:t>) of PD1 in CD4</w:t>
      </w:r>
      <w:r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color w:val="242021"/>
          <w:sz w:val="24"/>
          <w:szCs w:val="24"/>
        </w:rPr>
        <w:t>T cell and CD8</w:t>
      </w:r>
      <w:r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color w:val="242021"/>
          <w:sz w:val="24"/>
          <w:szCs w:val="24"/>
        </w:rPr>
        <w:t>T cell in spleen and tumor tissue. Staining (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J</w:t>
      </w:r>
      <w:r>
        <w:rPr>
          <w:rFonts w:ascii="Times New Roman" w:hAnsi="Times New Roman" w:cs="Times New Roman"/>
          <w:color w:val="242021"/>
          <w:sz w:val="24"/>
          <w:szCs w:val="24"/>
        </w:rPr>
        <w:t>) and MFI (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K</w:t>
      </w:r>
      <w:r>
        <w:rPr>
          <w:rFonts w:ascii="Times New Roman" w:hAnsi="Times New Roman" w:cs="Times New Roman"/>
          <w:color w:val="242021"/>
          <w:sz w:val="24"/>
          <w:szCs w:val="24"/>
        </w:rPr>
        <w:t>) of PD-1 in CD4</w:t>
      </w:r>
      <w:r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color w:val="242021"/>
          <w:sz w:val="24"/>
          <w:szCs w:val="24"/>
        </w:rPr>
        <w:t>T cell and CD8</w:t>
      </w:r>
      <w:r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T in spleen and tumor tissue. </w:t>
      </w:r>
      <w:r>
        <w:rPr>
          <w:rFonts w:ascii="Times New Roman" w:hAnsi="Times New Roman" w:cs="Times New Roman"/>
          <w:sz w:val="24"/>
          <w:szCs w:val="28"/>
        </w:rPr>
        <w:t xml:space="preserve">Data were pooled from ≥2 independent experiments with </w:t>
      </w:r>
      <w:r>
        <w:rPr>
          <w:rFonts w:ascii="Times New Roman" w:hAnsi="Times New Roman" w:cs="Times New Roman"/>
          <w:i/>
          <w:iCs/>
          <w:sz w:val="24"/>
          <w:szCs w:val="28"/>
        </w:rPr>
        <w:t>n</w:t>
      </w:r>
      <w:r>
        <w:rPr>
          <w:rFonts w:ascii="Times New Roman" w:hAnsi="Times New Roman" w:cs="Times New Roman"/>
          <w:sz w:val="24"/>
          <w:szCs w:val="28"/>
        </w:rPr>
        <w:t xml:space="preserve"> = 8/group; n and data points denote individual mice </w:t>
      </w:r>
      <w:r>
        <w:rPr>
          <w:rFonts w:ascii="Times New Roman" w:hAnsi="Times New Roman" w:cs="Times New Roman"/>
          <w:sz w:val="24"/>
          <w:szCs w:val="28"/>
        </w:rPr>
        <w:lastRenderedPageBreak/>
        <w:t xml:space="preserve">analyzed separately. 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values were determined by </w:t>
      </w:r>
      <w:r>
        <w:rPr>
          <w:rFonts w:ascii="Times New Roman" w:hAnsi="Times New Roman" w:cs="Times New Roman"/>
          <w:color w:val="242021"/>
          <w:sz w:val="24"/>
          <w:szCs w:val="24"/>
        </w:rPr>
        <w:t>unpaired t test (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C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F, G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8"/>
        </w:rPr>
        <w:t>two-way analysis with multiple comparisons (</w:t>
      </w:r>
      <w:r>
        <w:rPr>
          <w:rFonts w:ascii="Times New Roman" w:hAnsi="Times New Roman" w:cs="Times New Roman"/>
          <w:b/>
          <w:bCs/>
          <w:sz w:val="24"/>
          <w:szCs w:val="28"/>
        </w:rPr>
        <w:t>I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8"/>
        </w:rPr>
        <w:t>K</w:t>
      </w:r>
      <w:r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/>
          <w:color w:val="24202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***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&lt; 0.001, 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&lt; 0.01.</w:t>
      </w:r>
    </w:p>
    <w:bookmarkEnd w:id="0"/>
    <w:p w14:paraId="054028A5" w14:textId="77777777" w:rsidR="00A668F4" w:rsidRDefault="00A668F4" w:rsidP="00A668F4">
      <w:pPr>
        <w:spacing w:line="360" w:lineRule="auto"/>
        <w:rPr>
          <w:rFonts w:ascii="Times New Roman" w:hAnsi="Times New Roman" w:cs="Times New Roman"/>
          <w:b/>
          <w:bCs/>
          <w:color w:val="242021"/>
          <w:sz w:val="24"/>
          <w:szCs w:val="24"/>
        </w:rPr>
      </w:pPr>
    </w:p>
    <w:p w14:paraId="0963FC04" w14:textId="541F098F" w:rsidR="00A668F4" w:rsidRDefault="00A668F4" w:rsidP="00A668F4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10645700" wp14:editId="61A36322">
            <wp:extent cx="5273675" cy="6459855"/>
            <wp:effectExtent l="0" t="0" r="317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645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7D029" w14:textId="77777777" w:rsidR="00A668F4" w:rsidRDefault="00A668F4" w:rsidP="00A668F4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1B89A344" w14:textId="77777777" w:rsidR="00A668F4" w:rsidRDefault="00A668F4" w:rsidP="00A668F4">
      <w:pPr>
        <w:spacing w:line="360" w:lineRule="auto"/>
        <w:rPr>
          <w:rFonts w:ascii="Times New Roman" w:hAnsi="Times New Roman" w:cs="Times New Roman"/>
          <w:color w:val="2420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Supplementary Fig. 4 Murine tumor-derived ILC2s were detected by immunofluorescence. A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, Murine tumor-derived ILC2s in tumor tissue of WT mice. 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B</w:t>
      </w:r>
      <w:r>
        <w:rPr>
          <w:rFonts w:ascii="Times New Roman" w:hAnsi="Times New Roman" w:cs="Times New Roman"/>
          <w:color w:val="242021"/>
          <w:sz w:val="24"/>
          <w:szCs w:val="24"/>
        </w:rPr>
        <w:t>, Murine tumor-derived ILC2s in tumor tissue of IL-33</w:t>
      </w:r>
      <w:r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mice. 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C</w:t>
      </w:r>
      <w:r>
        <w:rPr>
          <w:rFonts w:ascii="Times New Roman" w:hAnsi="Times New Roman" w:cs="Times New Roman"/>
          <w:color w:val="242021"/>
          <w:sz w:val="24"/>
          <w:szCs w:val="24"/>
        </w:rPr>
        <w:t>, ILC2s frequency in tumor tissue of WT and IL-33</w:t>
      </w:r>
      <w:r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mice. 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D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, ILC2s cell number in tumor tissue of WT and </w:t>
      </w:r>
      <w:r>
        <w:rPr>
          <w:rFonts w:ascii="Times New Roman" w:hAnsi="Times New Roman" w:cs="Times New Roman"/>
          <w:color w:val="242021"/>
          <w:sz w:val="24"/>
          <w:szCs w:val="24"/>
        </w:rPr>
        <w:lastRenderedPageBreak/>
        <w:t>IL-33</w:t>
      </w:r>
      <w:r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mice. </w:t>
      </w:r>
      <w:r>
        <w:rPr>
          <w:rFonts w:ascii="Times New Roman" w:hAnsi="Times New Roman" w:cs="Times New Roman"/>
          <w:sz w:val="24"/>
          <w:szCs w:val="28"/>
        </w:rPr>
        <w:t xml:space="preserve">Data were pooled from ≥2 independent experiments; </w:t>
      </w:r>
      <w:r>
        <w:rPr>
          <w:rFonts w:ascii="Times New Roman" w:hAnsi="Times New Roman" w:cs="Times New Roman"/>
          <w:i/>
          <w:iCs/>
          <w:sz w:val="24"/>
          <w:szCs w:val="28"/>
        </w:rPr>
        <w:t>n</w:t>
      </w:r>
      <w:r>
        <w:rPr>
          <w:rFonts w:ascii="Times New Roman" w:hAnsi="Times New Roman" w:cs="Times New Roman"/>
          <w:sz w:val="24"/>
          <w:szCs w:val="28"/>
        </w:rPr>
        <w:t xml:space="preserve"> = 5/group. 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values were determined by </w:t>
      </w:r>
      <w:r>
        <w:rPr>
          <w:rFonts w:ascii="Times New Roman" w:hAnsi="Times New Roman" w:cs="Times New Roman"/>
          <w:color w:val="242021"/>
          <w:sz w:val="24"/>
          <w:szCs w:val="24"/>
        </w:rPr>
        <w:t>unpaired t test.</w:t>
      </w:r>
      <w:r>
        <w:rPr>
          <w:rFonts w:ascii="Times New Roman" w:hAnsi="Times New Roman" w:cs="Times New Roman"/>
          <w:sz w:val="24"/>
          <w:szCs w:val="28"/>
        </w:rPr>
        <w:t xml:space="preserve"> ***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&lt; 0.001.</w:t>
      </w:r>
    </w:p>
    <w:p w14:paraId="0A493089" w14:textId="77777777" w:rsidR="00A668F4" w:rsidRDefault="00A668F4" w:rsidP="00A668F4">
      <w:pPr>
        <w:spacing w:line="360" w:lineRule="auto"/>
        <w:rPr>
          <w:rFonts w:ascii="Times New Roman" w:hAnsi="Times New Roman" w:cs="Times New Roman"/>
          <w:color w:val="242021"/>
          <w:sz w:val="24"/>
          <w:szCs w:val="24"/>
        </w:rPr>
      </w:pPr>
    </w:p>
    <w:p w14:paraId="34D7C087" w14:textId="77777777" w:rsidR="00A668F4" w:rsidRDefault="00A668F4" w:rsidP="00A668F4">
      <w:pPr>
        <w:spacing w:line="360" w:lineRule="auto"/>
        <w:rPr>
          <w:rFonts w:ascii="Times New Roman" w:hAnsi="Times New Roman" w:cs="Times New Roman"/>
          <w:b/>
          <w:bCs/>
          <w:color w:val="242021"/>
          <w:sz w:val="24"/>
          <w:szCs w:val="24"/>
        </w:rPr>
      </w:pPr>
    </w:p>
    <w:p w14:paraId="5401BCD4" w14:textId="339F8797" w:rsidR="00A668F4" w:rsidRDefault="00A668F4" w:rsidP="00A668F4">
      <w:pPr>
        <w:spacing w:line="360" w:lineRule="auto"/>
        <w:rPr>
          <w:rFonts w:ascii="Times New Roman" w:hAnsi="Times New Roman" w:cs="Times New Roman"/>
          <w:color w:val="24202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746A5E48" wp14:editId="5F46A11C">
            <wp:extent cx="5273675" cy="6056630"/>
            <wp:effectExtent l="0" t="0" r="317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605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b/>
          <w:bCs/>
          <w:sz w:val="24"/>
          <w:szCs w:val="28"/>
        </w:rPr>
        <w:t>5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 xml:space="preserve"> Human Lin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KLRG1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  <w:vertAlign w:val="superscript"/>
        </w:rPr>
        <w:t xml:space="preserve">+ 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cell was detected by IF. A</w:t>
      </w:r>
      <w:r>
        <w:rPr>
          <w:rFonts w:ascii="Times New Roman" w:hAnsi="Times New Roman" w:cs="Times New Roman"/>
          <w:color w:val="242021"/>
          <w:sz w:val="24"/>
          <w:szCs w:val="24"/>
        </w:rPr>
        <w:t>, Human Lin</w:t>
      </w:r>
      <w:r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color w:val="242021"/>
          <w:sz w:val="24"/>
          <w:szCs w:val="24"/>
        </w:rPr>
        <w:t>KLRG1</w:t>
      </w:r>
      <w:r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cell in tumor tissue and Para-carcinoma tissue. 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B</w:t>
      </w:r>
      <w:r>
        <w:rPr>
          <w:rFonts w:ascii="Times New Roman" w:hAnsi="Times New Roman" w:cs="Times New Roman"/>
          <w:color w:val="242021"/>
          <w:sz w:val="24"/>
          <w:szCs w:val="24"/>
        </w:rPr>
        <w:t>, Lineage</w:t>
      </w:r>
      <w:r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color w:val="242021"/>
          <w:sz w:val="24"/>
          <w:szCs w:val="24"/>
        </w:rPr>
        <w:t>KLRG1</w:t>
      </w:r>
      <w:r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 xml:space="preserve">+ 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cell count in tumor tissue and Para-carcinoma tissue. 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C</w:t>
      </w:r>
      <w:r>
        <w:rPr>
          <w:rFonts w:ascii="Times New Roman" w:hAnsi="Times New Roman" w:cs="Times New Roman"/>
          <w:color w:val="242021"/>
          <w:sz w:val="24"/>
          <w:szCs w:val="24"/>
        </w:rPr>
        <w:t>, Lineage</w:t>
      </w:r>
      <w:r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color w:val="242021"/>
          <w:sz w:val="24"/>
          <w:szCs w:val="24"/>
        </w:rPr>
        <w:t>KLRG1</w:t>
      </w:r>
      <w:r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 xml:space="preserve">+ 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cell frequency in tumor tissue and Para-carcinoma tissue. </w:t>
      </w:r>
      <w:r>
        <w:rPr>
          <w:rFonts w:ascii="Times New Roman" w:hAnsi="Times New Roman" w:cs="Times New Roman"/>
          <w:sz w:val="24"/>
          <w:szCs w:val="28"/>
        </w:rPr>
        <w:t xml:space="preserve">Data were pooled from 3 independent experiments; 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values were determined by </w:t>
      </w:r>
      <w:r>
        <w:rPr>
          <w:rFonts w:ascii="Times New Roman" w:hAnsi="Times New Roman" w:cs="Times New Roman"/>
          <w:color w:val="242021"/>
          <w:sz w:val="24"/>
          <w:szCs w:val="24"/>
        </w:rPr>
        <w:t>unpaired t test.</w:t>
      </w:r>
      <w:r>
        <w:rPr>
          <w:rFonts w:ascii="Times New Roman" w:hAnsi="Times New Roman" w:cs="Times New Roman"/>
          <w:sz w:val="24"/>
          <w:szCs w:val="28"/>
        </w:rPr>
        <w:t xml:space="preserve"> 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&lt; 0.01.</w:t>
      </w:r>
    </w:p>
    <w:p w14:paraId="61B5FD49" w14:textId="1A8DC38F" w:rsidR="00A668F4" w:rsidRDefault="00A668F4" w:rsidP="00A668F4">
      <w:bookmarkStart w:id="1" w:name="_Hlk149312724"/>
    </w:p>
    <w:p w14:paraId="4B93F581" w14:textId="4431D34F" w:rsidR="0062224E" w:rsidRDefault="002C703E" w:rsidP="002C703E">
      <w:pPr>
        <w:jc w:val="center"/>
      </w:pPr>
      <w:r>
        <w:rPr>
          <w:noProof/>
        </w:rPr>
        <w:drawing>
          <wp:inline distT="0" distB="0" distL="0" distR="0" wp14:anchorId="46846912" wp14:editId="3DA610BE">
            <wp:extent cx="2938272" cy="1481328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8272" cy="1481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3F1B9" w14:textId="475D05D2" w:rsidR="0062224E" w:rsidRDefault="0062224E" w:rsidP="00A668F4"/>
    <w:p w14:paraId="098958DE" w14:textId="77E31326" w:rsidR="002C703E" w:rsidRDefault="002C703E" w:rsidP="002C703E">
      <w:pPr>
        <w:spacing w:line="360" w:lineRule="auto"/>
        <w:rPr>
          <w:rFonts w:ascii="Times New Roman" w:hAnsi="Times New Roman" w:cs="Times New Roman"/>
          <w:color w:val="2420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6</w:t>
      </w:r>
      <w:r w:rsidRPr="002C703E">
        <w:rPr>
          <w:rFonts w:ascii="Segoe UI" w:hAnsi="Segoe UI" w:cs="Segoe UI"/>
          <w:color w:val="000000"/>
        </w:rPr>
        <w:t xml:space="preserve"> </w:t>
      </w:r>
      <w:r w:rsidRPr="002C703E">
        <w:rPr>
          <w:rFonts w:ascii="Times New Roman" w:hAnsi="Times New Roman" w:cs="Times New Roman"/>
          <w:color w:val="242021"/>
          <w:sz w:val="24"/>
          <w:szCs w:val="24"/>
        </w:rPr>
        <w:t>The tumor growth curves of tumor-bearing mice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post of different treatments.</w:t>
      </w:r>
    </w:p>
    <w:p w14:paraId="56B52B4B" w14:textId="7F4ACC8F" w:rsidR="0062224E" w:rsidRPr="002C703E" w:rsidRDefault="0062224E" w:rsidP="00A668F4"/>
    <w:bookmarkEnd w:id="1"/>
    <w:p w14:paraId="739694DD" w14:textId="77777777" w:rsidR="0062224E" w:rsidRDefault="0062224E" w:rsidP="00A668F4">
      <w:pPr>
        <w:rPr>
          <w:rFonts w:hint="eastAsia"/>
        </w:rPr>
      </w:pPr>
    </w:p>
    <w:p w14:paraId="1DC2C56B" w14:textId="77777777" w:rsidR="00A668F4" w:rsidRPr="002C703E" w:rsidRDefault="00A668F4" w:rsidP="00A668F4"/>
    <w:p w14:paraId="541C62ED" w14:textId="7404126B" w:rsidR="00A668F4" w:rsidRDefault="00A668F4" w:rsidP="00A668F4">
      <w:pPr>
        <w:jc w:val="center"/>
      </w:pPr>
      <w:r>
        <w:rPr>
          <w:noProof/>
        </w:rPr>
        <w:drawing>
          <wp:inline distT="0" distB="0" distL="0" distR="0" wp14:anchorId="2FAFF4B5" wp14:editId="22E63175">
            <wp:extent cx="1729105" cy="1905635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BFBC2" w14:textId="2C71887C" w:rsidR="00A668F4" w:rsidRDefault="00A668F4" w:rsidP="00A668F4">
      <w:pPr>
        <w:spacing w:line="360" w:lineRule="auto"/>
        <w:rPr>
          <w:rFonts w:ascii="Times New Roman" w:hAnsi="Times New Roman" w:cs="Times New Roman"/>
          <w:color w:val="2420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 xml:space="preserve">Supplementary Fig. </w:t>
      </w:r>
      <w:r w:rsidR="0062224E">
        <w:rPr>
          <w:rFonts w:ascii="Times New Roman" w:hAnsi="Times New Roman" w:cs="Times New Roman"/>
          <w:b/>
          <w:bCs/>
          <w:color w:val="242021"/>
          <w:sz w:val="24"/>
          <w:szCs w:val="24"/>
        </w:rPr>
        <w:t>7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Numbers of ILC2s in tumor tissues from tumor-bearing mice post of different treatments.</w:t>
      </w:r>
    </w:p>
    <w:p w14:paraId="3F07F5C8" w14:textId="69711BCF" w:rsidR="000A77F3" w:rsidRPr="000A77F3" w:rsidRDefault="000A77F3" w:rsidP="000A77F3">
      <w:pPr>
        <w:spacing w:line="360" w:lineRule="auto"/>
        <w:rPr>
          <w:rFonts w:ascii="Times New Roman" w:hAnsi="Times New Roman" w:cs="Times New Roman"/>
          <w:color w:val="242021"/>
          <w:sz w:val="24"/>
          <w:szCs w:val="24"/>
        </w:rPr>
      </w:pPr>
    </w:p>
    <w:sectPr w:rsidR="000A77F3" w:rsidRPr="000A77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EB9203" w14:textId="77777777" w:rsidR="005B4339" w:rsidRDefault="005B4339" w:rsidP="000A77F3">
      <w:r>
        <w:separator/>
      </w:r>
    </w:p>
  </w:endnote>
  <w:endnote w:type="continuationSeparator" w:id="0">
    <w:p w14:paraId="6BFB23F6" w14:textId="77777777" w:rsidR="005B4339" w:rsidRDefault="005B4339" w:rsidP="000A7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5026D" w14:textId="77777777" w:rsidR="005B4339" w:rsidRDefault="005B4339" w:rsidP="000A77F3">
      <w:r>
        <w:separator/>
      </w:r>
    </w:p>
  </w:footnote>
  <w:footnote w:type="continuationSeparator" w:id="0">
    <w:p w14:paraId="68556392" w14:textId="77777777" w:rsidR="005B4339" w:rsidRDefault="005B4339" w:rsidP="000A77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F35"/>
    <w:rsid w:val="000A77F3"/>
    <w:rsid w:val="002C3D5E"/>
    <w:rsid w:val="002C703E"/>
    <w:rsid w:val="00314349"/>
    <w:rsid w:val="00343F35"/>
    <w:rsid w:val="005B4339"/>
    <w:rsid w:val="0062224E"/>
    <w:rsid w:val="00661D71"/>
    <w:rsid w:val="00A668F4"/>
    <w:rsid w:val="00BB64D5"/>
    <w:rsid w:val="00C00A5B"/>
    <w:rsid w:val="00C40EE4"/>
    <w:rsid w:val="00D97582"/>
    <w:rsid w:val="00E9431E"/>
    <w:rsid w:val="00EB47C1"/>
    <w:rsid w:val="00F244EF"/>
    <w:rsid w:val="00FD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87982F"/>
  <w15:chartTrackingRefBased/>
  <w15:docId w15:val="{01C48409-DCBE-4BC0-96DF-701B40CB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8F4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7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77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77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77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90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324</Words>
  <Characters>1958</Characters>
  <Application>Microsoft Office Word</Application>
  <DocSecurity>0</DocSecurity>
  <Lines>30</Lines>
  <Paragraphs>2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wuyum</dc:creator>
  <cp:keywords/>
  <dc:description/>
  <cp:lastModifiedBy> </cp:lastModifiedBy>
  <cp:revision>8</cp:revision>
  <dcterms:created xsi:type="dcterms:W3CDTF">2023-03-23T07:18:00Z</dcterms:created>
  <dcterms:modified xsi:type="dcterms:W3CDTF">2023-10-27T07:41:00Z</dcterms:modified>
</cp:coreProperties>
</file>