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3A56D" w14:textId="77777777" w:rsidR="00FA713F" w:rsidRPr="00FA713F" w:rsidRDefault="00FA713F" w:rsidP="00FA713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713F">
        <w:rPr>
          <w:rFonts w:ascii="Times New Roman" w:hAnsi="Times New Roman" w:cs="Times New Roman"/>
          <w:b/>
          <w:sz w:val="24"/>
          <w:szCs w:val="24"/>
          <w:lang w:val="en-US"/>
        </w:rPr>
        <w:t>Riboflavin-LSD1 axis participates in the in vivo tumor-associated macrophage morphology in human colorectal liver metastases</w:t>
      </w:r>
    </w:p>
    <w:p w14:paraId="2BEE1E1E" w14:textId="77777777" w:rsidR="00FA713F" w:rsidRPr="00FA713F" w:rsidRDefault="00FA713F" w:rsidP="00FA713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501A4F" w14:textId="2AC7E234" w:rsidR="00686ABE" w:rsidRDefault="00FA713F" w:rsidP="00FA713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A713F">
        <w:rPr>
          <w:rFonts w:ascii="Times New Roman" w:hAnsi="Times New Roman" w:cs="Times New Roman"/>
          <w:sz w:val="24"/>
          <w:szCs w:val="24"/>
          <w:lang w:val="en-GB"/>
        </w:rPr>
        <w:t>Cristiana Soldani1*, Giulia De Simone2,3*, Michela Anna Polidoro1, Aurelia Morabito2,4, Barbara Franceschini1, Federico Simone Colombo5, Achille Anselmo5, Flavio Milana6,8, Ana Lleo6,7, Guido Torzilli6,8, Roberta Pastorelli2*, Matteo Donadon1,8,9,10§, Laura Brunelli2§</w:t>
      </w:r>
    </w:p>
    <w:p w14:paraId="513DA780" w14:textId="77777777" w:rsidR="00FA713F" w:rsidRPr="00FA713F" w:rsidRDefault="00FA713F" w:rsidP="00FA713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F0E2622" w14:textId="77777777" w:rsidR="00686ABE" w:rsidRPr="00686ABE" w:rsidRDefault="00686ABE" w:rsidP="00686ABE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86ABE">
        <w:rPr>
          <w:rFonts w:ascii="Times New Roman" w:hAnsi="Times New Roman" w:cs="Times New Roman"/>
          <w:b/>
          <w:sz w:val="24"/>
          <w:szCs w:val="24"/>
          <w:lang w:val="en-GB"/>
        </w:rPr>
        <w:t>Supplementary Table legend</w:t>
      </w:r>
    </w:p>
    <w:p w14:paraId="12A99A23" w14:textId="77777777" w:rsidR="00FA713F" w:rsidRDefault="00686ABE" w:rsidP="00686A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86ABE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1: </w:t>
      </w:r>
      <w:r w:rsidR="00FA713F" w:rsidRPr="00FA713F">
        <w:rPr>
          <w:rFonts w:ascii="Times New Roman" w:hAnsi="Times New Roman" w:cs="Times New Roman"/>
          <w:sz w:val="24"/>
          <w:szCs w:val="24"/>
          <w:lang w:val="en-GB"/>
        </w:rPr>
        <w:t>Sequence of primers used for RT-PCR studies.</w:t>
      </w:r>
    </w:p>
    <w:p w14:paraId="2B976821" w14:textId="33ED9233" w:rsidR="00686ABE" w:rsidRPr="00FA713F" w:rsidRDefault="00686ABE" w:rsidP="00686A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86ABE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2: </w:t>
      </w:r>
      <w:r w:rsidR="00FA713F" w:rsidRPr="00FA713F">
        <w:rPr>
          <w:rFonts w:ascii="Times New Roman" w:hAnsi="Times New Roman" w:cs="Times New Roman"/>
          <w:sz w:val="24"/>
          <w:szCs w:val="24"/>
          <w:lang w:val="en-GB"/>
        </w:rPr>
        <w:t xml:space="preserve">List of the Targeted </w:t>
      </w:r>
      <w:r w:rsidR="00FA713F" w:rsidRPr="00686ABE">
        <w:rPr>
          <w:rFonts w:ascii="Times New Roman" w:hAnsi="Times New Roman" w:cs="Times New Roman"/>
          <w:sz w:val="24"/>
          <w:szCs w:val="24"/>
          <w:lang w:val="en-GB"/>
        </w:rPr>
        <w:t>metabolomics analysis</w:t>
      </w:r>
    </w:p>
    <w:p w14:paraId="6A8281C4" w14:textId="3106A26E" w:rsidR="00686ABE" w:rsidRPr="00686ABE" w:rsidRDefault="00686ABE" w:rsidP="00686A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A713F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3</w:t>
      </w:r>
      <w:r w:rsidRPr="00FA713F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FA713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A713F" w:rsidRPr="00FA713F">
        <w:rPr>
          <w:rFonts w:ascii="Times New Roman" w:hAnsi="Times New Roman" w:cs="Times New Roman"/>
          <w:sz w:val="24"/>
          <w:szCs w:val="24"/>
          <w:lang w:val="en-GB"/>
        </w:rPr>
        <w:t>tatistically significant different metabolites</w:t>
      </w:r>
      <w:r w:rsidR="00FA713F">
        <w:rPr>
          <w:rFonts w:ascii="Times New Roman" w:hAnsi="Times New Roman" w:cs="Times New Roman"/>
          <w:sz w:val="24"/>
          <w:szCs w:val="24"/>
          <w:lang w:val="en-GB"/>
        </w:rPr>
        <w:t xml:space="preserve"> in untargeted analysis</w:t>
      </w:r>
    </w:p>
    <w:p w14:paraId="02A463B1" w14:textId="0F43D40A" w:rsidR="00686ABE" w:rsidRPr="00686ABE" w:rsidRDefault="00686ABE" w:rsidP="00686A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86ABE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4: </w:t>
      </w:r>
      <w:r w:rsidR="00FA713F" w:rsidRPr="00686ABE">
        <w:rPr>
          <w:rFonts w:ascii="Times New Roman" w:hAnsi="Times New Roman" w:cs="Times New Roman"/>
          <w:sz w:val="24"/>
          <w:szCs w:val="24"/>
          <w:lang w:val="en-GB"/>
        </w:rPr>
        <w:t>Targeted metabolomics analysis results</w:t>
      </w:r>
    </w:p>
    <w:p w14:paraId="77913C9D" w14:textId="77777777" w:rsidR="00686ABE" w:rsidRDefault="00686ABE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19CF3F89" w14:textId="77777777" w:rsidR="00686ABE" w:rsidRDefault="00686ABE">
      <w:pPr>
        <w:rPr>
          <w:rFonts w:ascii="Times New Roman" w:hAnsi="Times New Roman" w:cs="Times New Roman"/>
          <w:b/>
          <w:sz w:val="24"/>
          <w:szCs w:val="24"/>
          <w:lang w:val="en-GB"/>
        </w:rPr>
        <w:sectPr w:rsidR="00686ABE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EC535EC" w14:textId="77777777" w:rsidR="00B35FC1" w:rsidRDefault="00B35FC1" w:rsidP="00B35FC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Figure </w:t>
      </w:r>
    </w:p>
    <w:p w14:paraId="4CEBC03B" w14:textId="77777777" w:rsidR="00686ABE" w:rsidRDefault="00FA713F" w:rsidP="00B35FC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713F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1. </w:t>
      </w:r>
      <w:r w:rsidRPr="00FA713F">
        <w:rPr>
          <w:rFonts w:ascii="Times New Roman" w:hAnsi="Times New Roman" w:cs="Times New Roman"/>
          <w:sz w:val="24"/>
          <w:szCs w:val="24"/>
          <w:lang w:val="en-GB"/>
        </w:rPr>
        <w:t>An experimental approach to sort and differentiate S- and L-TAM populations in CLM patients. A) Small macrophages (S-TAMs) were sorted as alive CD45+/CD11b+/CD66b−/CD14dim/CD163dim/FSC-A low and large macrophages (L-TAMs) as CD45+/CD11b+/CD66b−/CD14dim/CD163hi/FSC-A high cells. B) Representative immunohistochemistry image of the CD163+ cells in the peritumoral area of CLM patients.</w:t>
      </w:r>
    </w:p>
    <w:p w14:paraId="5B4C4548" w14:textId="77777777" w:rsidR="00FA713F" w:rsidRDefault="00FA713F" w:rsidP="00B35FC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D984CB" w14:textId="722F30D3" w:rsidR="00FA713F" w:rsidRDefault="00FA713F" w:rsidP="00B35FC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FA713F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drawing>
          <wp:inline distT="0" distB="0" distL="0" distR="0" wp14:anchorId="5115C825" wp14:editId="6FFEBC5A">
            <wp:extent cx="5948680" cy="59863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1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544" cy="598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A8106" w14:textId="77777777" w:rsidR="005A3F6E" w:rsidRPr="00460788" w:rsidRDefault="005A3F6E" w:rsidP="00FA713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5A3F6E" w:rsidRPr="00460788" w:rsidSect="005A3F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FC1"/>
    <w:rsid w:val="003F0335"/>
    <w:rsid w:val="00535F2E"/>
    <w:rsid w:val="005A3F6E"/>
    <w:rsid w:val="005F50DE"/>
    <w:rsid w:val="00686ABE"/>
    <w:rsid w:val="00704111"/>
    <w:rsid w:val="00B35FC1"/>
    <w:rsid w:val="00CD6B23"/>
    <w:rsid w:val="00CE2C99"/>
    <w:rsid w:val="00E22599"/>
    <w:rsid w:val="00F27860"/>
    <w:rsid w:val="00FA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D7356"/>
  <w15:chartTrackingRefBased/>
  <w15:docId w15:val="{E34B653E-3080-451C-8074-C76A6D8B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F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35FC1"/>
    <w:rPr>
      <w:color w:val="0563C1" w:themeColor="hyperlink"/>
      <w:u w:val="single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86AB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86ABE"/>
    <w:rPr>
      <w:sz w:val="20"/>
      <w:szCs w:val="20"/>
    </w:rPr>
  </w:style>
  <w:style w:type="table" w:styleId="Grigliatabella">
    <w:name w:val="Table Grid"/>
    <w:basedOn w:val="Tabellanormale"/>
    <w:uiPriority w:val="59"/>
    <w:rsid w:val="005A3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D6B23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D6B2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D6B2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6B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Brunelli</dc:creator>
  <cp:keywords/>
  <dc:description/>
  <cp:lastModifiedBy>Laura Brunelli</cp:lastModifiedBy>
  <cp:revision>2</cp:revision>
  <dcterms:created xsi:type="dcterms:W3CDTF">2024-01-20T08:33:00Z</dcterms:created>
  <dcterms:modified xsi:type="dcterms:W3CDTF">2024-01-20T08:33:00Z</dcterms:modified>
</cp:coreProperties>
</file>