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default" w:ascii="Times New Roman" w:hAnsi="Times New Roman" w:cs="Times New Roman" w:eastAsiaTheme="minorEastAsia"/>
          <w:bCs/>
          <w:sz w:val="24"/>
          <w:szCs w:val="24"/>
          <w:lang w:val="en-US" w:eastAsia="zh-CN"/>
        </w:rPr>
      </w:pPr>
      <w:r>
        <w:rPr>
          <w:rFonts w:hint="default" w:ascii="Times New Roman" w:hAnsi="Times New Roman" w:cs="Times New Roman"/>
          <w:b/>
          <w:bCs/>
          <w:color w:val="000000"/>
          <w:sz w:val="24"/>
          <w:szCs w:val="24"/>
        </w:rPr>
        <w:t>Supplement 1</w:t>
      </w:r>
      <w:r>
        <w:rPr>
          <w:rFonts w:hint="default" w:ascii="Times New Roman" w:hAnsi="Times New Roman" w:cs="Times New Roman"/>
          <w:b/>
          <w:bCs/>
          <w:color w:val="000000"/>
          <w:sz w:val="24"/>
          <w:szCs w:val="24"/>
          <w:lang w:val="en-US" w:eastAsia="zh-CN"/>
        </w:rPr>
        <w:t xml:space="preserve"> (</w:t>
      </w:r>
      <w:r>
        <w:rPr>
          <w:rFonts w:hint="default" w:ascii="Times New Roman" w:hAnsi="Times New Roman" w:cs="Times New Roman"/>
          <w:b/>
          <w:bCs/>
          <w:sz w:val="24"/>
          <w:szCs w:val="24"/>
        </w:rPr>
        <w:t xml:space="preserve">Detailed </w:t>
      </w:r>
      <w:r>
        <w:rPr>
          <w:rFonts w:hint="default" w:ascii="Times New Roman" w:hAnsi="Times New Roman" w:cs="Times New Roman"/>
          <w:b/>
          <w:bCs/>
          <w:sz w:val="24"/>
          <w:szCs w:val="24"/>
          <w:lang w:val="en-US" w:eastAsia="zh-CN"/>
        </w:rPr>
        <w:t>IMRT</w:t>
      </w:r>
      <w:r>
        <w:rPr>
          <w:rFonts w:hint="default" w:ascii="Times New Roman" w:hAnsi="Times New Roman" w:cs="Times New Roman"/>
          <w:b/>
          <w:bCs/>
          <w:sz w:val="24"/>
          <w:szCs w:val="24"/>
        </w:rPr>
        <w:t xml:space="preserve"> protocol</w:t>
      </w:r>
      <w:r>
        <w:rPr>
          <w:rFonts w:hint="default" w:ascii="Times New Roman" w:hAnsi="Times New Roman" w:cs="Times New Roman"/>
          <w:b/>
          <w:bCs/>
          <w:color w:val="000000"/>
          <w:sz w:val="24"/>
          <w:szCs w:val="24"/>
          <w:lang w:val="en-US" w:eastAsia="zh-CN"/>
        </w:rPr>
        <w:t>)</w:t>
      </w:r>
    </w:p>
    <w:p>
      <w:pPr>
        <w:spacing w:line="240" w:lineRule="auto"/>
        <w:ind w:firstLine="480" w:firstLineChars="200"/>
        <w:rPr>
          <w:rFonts w:hint="default" w:ascii="Times New Roman" w:hAnsi="Times New Roman" w:cs="Times New Roman"/>
          <w:b/>
          <w:sz w:val="24"/>
          <w:szCs w:val="24"/>
        </w:rPr>
      </w:pPr>
      <w:r>
        <w:rPr>
          <w:rFonts w:hint="default" w:ascii="Times New Roman" w:hAnsi="Times New Roman" w:cs="Times New Roman"/>
          <w:bCs/>
          <w:sz w:val="24"/>
          <w:szCs w:val="24"/>
        </w:rPr>
        <w:t xml:space="preserve">All patients were treated with radical </w:t>
      </w:r>
      <w:r>
        <w:rPr>
          <w:rFonts w:hint="default" w:ascii="Times New Roman" w:hAnsi="Times New Roman" w:cs="Times New Roman"/>
          <w:color w:val="000000"/>
          <w:sz w:val="24"/>
          <w:szCs w:val="24"/>
        </w:rPr>
        <w:t>intensity-modulated radiotherapy (IMRT)</w:t>
      </w:r>
      <w:r>
        <w:rPr>
          <w:rFonts w:hint="default" w:ascii="Times New Roman" w:hAnsi="Times New Roman" w:cs="Times New Roman"/>
          <w:bCs/>
          <w:sz w:val="24"/>
          <w:szCs w:val="24"/>
        </w:rPr>
        <w:t>, while immobilized in the supine position using a thermoplastic head and shoulder mask. Contrast-enhanced planning computed tomography (CT; 3 mm-slice thickness) images from the superior border of the frontal sinus to 2 cm below the sterno-clavicular joint were obtained and transferred to the Monaco treatment planning system (version 3.02; Elekta AB, Stockholm, Sweden). Target volumes and organs at risk (OARs) were delineated on each slice of the CT images, as previously described [1], in agreement with International Commission on Radiation Units and Measurements Reports 62 [2] and 83 [3]. The gross tumor volume (GTV) including primary nasopharyngeal tumor (GTVp) and GTVnd was delineated on the basis of clinical, endoscopic and MRI findings. Gross disease at primary site together with enlarged retropharyngeal lymph nodes was designated GTVp; clinically-involved cervical lymph nodes was designated GTVnd. Two clinical target volumes (CTVs) were delineated according to the GTV: CTV1, high-risk regions encompassing GTVp plus 5-10 mm, including entire nasopharyngeal mucosa and 5 mm submucosal region; and CTV2, low-risk regions containing CTV1 plus 5-10 mm, encompassing sites of microscopic extension and lymphatic regions. The planning target volumes (PTVs), termed PTVp, PTV1, PTV2 and PTVnd, were constructed by expanding the GTVp, CTV1, CTV2 and CTVnd, respectively, by 3 mm; a 3 mm margin was added to the brainstem and spinal cord to generate planning organ at risk volume (PRV). The prescribed doses were 66–72 Gy/28–33 fractions to the planning target volume (PTV) of the primary gross tumour volume (GTVnx), 64–70 Gy/28–33 fractions to the PTV of the GTV of the involved lymph nodes (GTVnd), 60–63 Gy/28–33 fractions to the PTV of the high-risk clinical target volume (CTV1), and 54–56 Gy/28–33 fractions to the PTV of the low-risk clinical target volume (CTV2).</w:t>
      </w:r>
    </w:p>
    <w:p>
      <w:pPr>
        <w:spacing w:line="240" w:lineRule="auto"/>
        <w:rPr>
          <w:rFonts w:hint="default" w:ascii="Times New Roman" w:hAnsi="Times New Roman" w:cs="Times New Roman"/>
          <w:b/>
          <w:sz w:val="24"/>
          <w:szCs w:val="24"/>
        </w:rPr>
      </w:pPr>
    </w:p>
    <w:p>
      <w:pPr>
        <w:spacing w:line="240" w:lineRule="auto"/>
        <w:rPr>
          <w:rFonts w:hint="default" w:ascii="Times New Roman" w:hAnsi="Times New Roman" w:cs="Times New Roman"/>
          <w:b/>
          <w:sz w:val="24"/>
          <w:szCs w:val="24"/>
        </w:rPr>
      </w:pPr>
      <w:r>
        <w:rPr>
          <w:rFonts w:hint="default" w:ascii="Times New Roman" w:hAnsi="Times New Roman" w:cs="Times New Roman"/>
          <w:b/>
          <w:sz w:val="24"/>
          <w:szCs w:val="24"/>
        </w:rPr>
        <w:t>References</w:t>
      </w:r>
    </w:p>
    <w:p>
      <w:pPr>
        <w:numPr>
          <w:ilvl w:val="0"/>
          <w:numId w:val="1"/>
        </w:num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Lai SZ, Li WF, Chen L, Luo W, et al. How does intensity-modulated radiotherapy versus conventional two-dimensional radiotherapy influence the treatment results in nasopharyngeal carcinoma patients? Int J Radiat Oncol Biol Phys. 2011;80(3):661-8.</w:t>
      </w:r>
    </w:p>
    <w:p>
      <w:pPr>
        <w:numPr>
          <w:ilvl w:val="0"/>
          <w:numId w:val="1"/>
        </w:num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ICRU report. Vol. 62: Prescribing, recording, and reporting photon beam therapy. Maryland: International Commission on Radiation Units and Measurements; 1999.</w:t>
      </w:r>
    </w:p>
    <w:p>
      <w:pPr>
        <w:numPr>
          <w:ilvl w:val="0"/>
          <w:numId w:val="1"/>
        </w:numPr>
        <w:spacing w:line="240" w:lineRule="auto"/>
        <w:rPr>
          <w:rFonts w:hint="default" w:ascii="Times New Roman" w:hAnsi="Times New Roman" w:cs="Times New Roman"/>
          <w:color w:val="000000"/>
          <w:sz w:val="24"/>
          <w:szCs w:val="24"/>
        </w:rPr>
      </w:pPr>
      <w:r>
        <w:rPr>
          <w:rFonts w:hint="default" w:ascii="Times New Roman" w:hAnsi="Times New Roman" w:cs="Times New Roman"/>
          <w:sz w:val="24"/>
          <w:szCs w:val="24"/>
        </w:rPr>
        <w:t>ICRU Report. Vol. 83: Prescribing, Recording, and Reporting Photon-Beam Intensity-Modulated Radiation Therapy (IMRT). Maryland: International Commission on Radiation Units and Measurements; 2010.</w:t>
      </w: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b/>
          <w:bCs/>
          <w:color w:val="000000"/>
          <w:sz w:val="24"/>
          <w:szCs w:val="24"/>
          <w:lang w:val="en-US" w:eastAsia="zh-CN"/>
        </w:rPr>
      </w:pPr>
      <w:r>
        <w:rPr>
          <w:rFonts w:hint="default" w:ascii="Times New Roman" w:hAnsi="Times New Roman" w:cs="Times New Roman"/>
          <w:b/>
          <w:bCs/>
          <w:color w:val="000000"/>
          <w:sz w:val="24"/>
          <w:szCs w:val="24"/>
        </w:rPr>
        <w:t xml:space="preserve">Supplement </w:t>
      </w:r>
      <w:r>
        <w:rPr>
          <w:rFonts w:hint="eastAsia" w:ascii="Times New Roman" w:hAnsi="Times New Roman" w:cs="Times New Roman"/>
          <w:b/>
          <w:bCs/>
          <w:color w:val="000000"/>
          <w:sz w:val="24"/>
          <w:szCs w:val="24"/>
          <w:lang w:val="en-US" w:eastAsia="zh-CN"/>
        </w:rPr>
        <w:t>2</w:t>
      </w:r>
      <w:r>
        <w:rPr>
          <w:rFonts w:hint="default" w:ascii="Times New Roman" w:hAnsi="Times New Roman" w:cs="Times New Roman"/>
          <w:b/>
          <w:bCs/>
          <w:color w:val="000000"/>
          <w:sz w:val="24"/>
          <w:szCs w:val="24"/>
          <w:lang w:val="en-US" w:eastAsia="zh-CN"/>
        </w:rPr>
        <w:t xml:space="preserve"> (</w:t>
      </w:r>
      <w:r>
        <w:rPr>
          <w:rFonts w:hint="default" w:ascii="Times New Roman" w:hAnsi="Times New Roman" w:cs="Times New Roman"/>
          <w:b/>
          <w:bCs/>
          <w:sz w:val="24"/>
          <w:szCs w:val="24"/>
        </w:rPr>
        <w:t xml:space="preserve">Quantification of </w:t>
      </w:r>
      <w:r>
        <w:rPr>
          <w:rFonts w:hint="eastAsia" w:ascii="Times New Roman" w:hAnsi="Times New Roman" w:cs="Times New Roman"/>
          <w:b/>
          <w:bCs/>
          <w:sz w:val="24"/>
          <w:szCs w:val="24"/>
          <w:lang w:val="en-US" w:eastAsia="zh-CN"/>
        </w:rPr>
        <w:t>cf</w:t>
      </w:r>
      <w:r>
        <w:rPr>
          <w:rFonts w:hint="default" w:ascii="Times New Roman" w:hAnsi="Times New Roman" w:cs="Times New Roman"/>
          <w:b/>
          <w:bCs/>
          <w:sz w:val="24"/>
          <w:szCs w:val="24"/>
        </w:rPr>
        <w:t>EBV DNA</w:t>
      </w:r>
      <w:r>
        <w:rPr>
          <w:rFonts w:hint="default" w:ascii="Times New Roman" w:hAnsi="Times New Roman" w:cs="Times New Roman"/>
          <w:b/>
          <w:bCs/>
          <w:color w:val="000000"/>
          <w:sz w:val="24"/>
          <w:szCs w:val="24"/>
          <w:lang w:val="en-US" w:eastAsia="zh-CN"/>
        </w:rPr>
        <w:t>)</w:t>
      </w:r>
    </w:p>
    <w:p>
      <w:pPr>
        <w:spacing w:line="240" w:lineRule="auto"/>
        <w:ind w:firstLine="480" w:firstLineChars="200"/>
        <w:rPr>
          <w:rFonts w:hint="eastAsia" w:ascii="Times New Roman" w:hAnsi="Times New Roman" w:cs="Times New Roman"/>
          <w:color w:val="000000" w:themeColor="text1"/>
          <w:sz w:val="24"/>
          <w:lang w:val="en-US" w:eastAsia="zh-CN"/>
          <w14:textFill>
            <w14:solidFill>
              <w14:schemeClr w14:val="tx1"/>
            </w14:solidFill>
          </w14:textFill>
        </w:rPr>
        <w:sectPr>
          <w:pgSz w:w="11906" w:h="16838"/>
          <w:pgMar w:top="1440" w:right="1080" w:bottom="1440" w:left="1080" w:header="851" w:footer="992" w:gutter="0"/>
          <w:cols w:space="425" w:num="1"/>
          <w:docGrid w:type="lines" w:linePitch="312" w:charSpace="0"/>
        </w:sectPr>
      </w:pPr>
      <w:r>
        <w:rPr>
          <w:rFonts w:hint="default" w:ascii="Times New Roman" w:hAnsi="Times New Roman" w:cs="Times New Roman"/>
          <w:sz w:val="24"/>
          <w:szCs w:val="24"/>
        </w:rPr>
        <w:t xml:space="preserve">Before treatment, peripheral venous blood (3 mL) was collected from each patient into EDTA-containing tubes and centrifuged at 3000 g for 5 min. Total plasma DNA was extracted using a QIAamp DNA Blood Mini Kit (Qiagen, Hilden, Germany). Fluorescence PCR was carried out using an EBV PCR quantitative diagnostic kit (Da-An Genetic Diagnostic Center, Guangzhou, China) targeting the BamHI-W region of the EBV genome. Data were analyzed using Applied Biosystems 7300 SDS software (Beijing, China). Undetectable </w:t>
      </w:r>
      <w:r>
        <w:rPr>
          <w:rFonts w:hint="eastAsia" w:ascii="Times New Roman" w:hAnsi="Times New Roman" w:cs="Times New Roman"/>
          <w:sz w:val="24"/>
          <w:szCs w:val="24"/>
          <w:lang w:val="en-US" w:eastAsia="zh-CN"/>
        </w:rPr>
        <w:t>cf</w:t>
      </w:r>
      <w:r>
        <w:rPr>
          <w:rFonts w:hint="default" w:ascii="Times New Roman" w:hAnsi="Times New Roman" w:cs="Times New Roman"/>
          <w:sz w:val="24"/>
          <w:szCs w:val="24"/>
        </w:rPr>
        <w:t>EBV DNA was defined as 0 copies/mL</w:t>
      </w:r>
      <w:r>
        <w:rPr>
          <w:rFonts w:hint="eastAsia" w:ascii="Times New Roman" w:hAnsi="Times New Roman" w:cs="Times New Roman"/>
          <w:sz w:val="24"/>
          <w:szCs w:val="24"/>
          <w:lang w:val="en-US" w:eastAsia="zh-CN"/>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and </w:t>
      </w:r>
      <w:r>
        <w:rPr>
          <w:rFonts w:hint="eastAsia" w:ascii="Times New Roman" w:hAnsi="Times New Roman" w:cs="Times New Roman"/>
          <w:color w:val="000000" w:themeColor="text1"/>
          <w:sz w:val="24"/>
          <w14:textFill>
            <w14:solidFill>
              <w14:schemeClr w14:val="tx1"/>
            </w14:solidFill>
          </w14:textFill>
        </w:rPr>
        <w:t>cfEBV DNA</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&gt;</w:t>
      </w:r>
      <w:r>
        <w:rPr>
          <w:rFonts w:hint="eastAsia" w:ascii="Times New Roman" w:hAnsi="Times New Roman" w:cs="Times New Roman"/>
          <w:color w:val="000000" w:themeColor="text1"/>
          <w:sz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14:textFill>
            <w14:solidFill>
              <w14:schemeClr w14:val="tx1"/>
            </w14:solidFill>
          </w14:textFill>
        </w:rPr>
        <w:t>0 copies/ml</w:t>
      </w:r>
      <w:r>
        <w:rPr>
          <w:rFonts w:hint="eastAsia" w:ascii="Times New Roman" w:hAnsi="Times New Roman" w:cs="Times New Roman"/>
          <w:color w:val="000000" w:themeColor="text1"/>
          <w:sz w:val="24"/>
          <w:lang w:val="en-US" w:eastAsia="zh-CN"/>
          <w14:textFill>
            <w14:solidFill>
              <w14:schemeClr w14:val="tx1"/>
            </w14:solidFill>
          </w14:textFill>
        </w:rPr>
        <w:t xml:space="preserve"> was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defined as </w:t>
      </w:r>
      <w:r>
        <w:rPr>
          <w:rFonts w:hint="eastAsia" w:ascii="Times New Roman" w:hAnsi="Times New Roman" w:cs="Times New Roman"/>
          <w:color w:val="000000" w:themeColor="text1"/>
          <w:sz w:val="24"/>
          <w14:textFill>
            <w14:solidFill>
              <w14:schemeClr w14:val="tx1"/>
            </w14:solidFill>
          </w14:textFill>
        </w:rPr>
        <w:t>detectable cfEBV DNA</w:t>
      </w:r>
      <w:r>
        <w:rPr>
          <w:rFonts w:hint="eastAsia" w:ascii="Times New Roman" w:hAnsi="Times New Roman" w:cs="Times New Roman"/>
          <w:color w:val="000000" w:themeColor="text1"/>
          <w:sz w:val="24"/>
          <w:lang w:val="en-US" w:eastAsia="zh-CN"/>
          <w14:textFill>
            <w14:solidFill>
              <w14:schemeClr w14:val="tx1"/>
            </w14:solidFill>
          </w14:textFill>
        </w:rPr>
        <w:t>.</w:t>
      </w:r>
    </w:p>
    <w:p>
      <w:pPr>
        <w:spacing w:after="160" w:line="360" w:lineRule="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bCs/>
          <w:color w:val="000000"/>
          <w:sz w:val="24"/>
          <w:szCs w:val="24"/>
        </w:rPr>
        <w:t xml:space="preserve">Table </w:t>
      </w:r>
      <w:r>
        <w:rPr>
          <w:rFonts w:hint="default" w:ascii="Times New Roman" w:hAnsi="Times New Roman" w:eastAsia="宋体" w:cs="Times New Roman"/>
          <w:b/>
          <w:bCs/>
          <w:color w:val="000000"/>
          <w:sz w:val="24"/>
          <w:szCs w:val="24"/>
          <w:lang w:val="en-US" w:eastAsia="zh-CN"/>
        </w:rPr>
        <w:t>S</w:t>
      </w:r>
      <w:r>
        <w:rPr>
          <w:rFonts w:hint="default" w:ascii="Times New Roman" w:hAnsi="Times New Roman" w:eastAsia="宋体" w:cs="Times New Roman"/>
          <w:b/>
          <w:bCs/>
          <w:color w:val="000000"/>
          <w:sz w:val="24"/>
          <w:szCs w:val="24"/>
        </w:rPr>
        <w:t>1.</w:t>
      </w:r>
      <w:r>
        <w:rPr>
          <w:rFonts w:hint="default" w:ascii="Times New Roman" w:hAnsi="Times New Roman" w:eastAsia="宋体" w:cs="Times New Roman"/>
          <w:color w:val="000000"/>
          <w:sz w:val="24"/>
          <w:szCs w:val="24"/>
        </w:rPr>
        <w:t xml:space="preserve"> Baseline characteristics </w:t>
      </w:r>
      <w:r>
        <w:rPr>
          <w:rFonts w:hint="default" w:ascii="Times New Roman" w:hAnsi="Times New Roman" w:cs="Times New Roman"/>
          <w:sz w:val="24"/>
          <w:szCs w:val="24"/>
        </w:rPr>
        <w:t>for the entire group</w:t>
      </w:r>
      <w:r>
        <w:rPr>
          <w:rFonts w:hint="default" w:ascii="Times New Roman" w:hAnsi="Times New Roman" w:eastAsia="宋体" w:cs="Times New Roman"/>
          <w:color w:val="000000"/>
          <w:sz w:val="24"/>
          <w:szCs w:val="24"/>
        </w:rPr>
        <w:t>.</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4"/>
        <w:gridCol w:w="1632"/>
        <w:gridCol w:w="1805"/>
        <w:gridCol w:w="2775"/>
        <w:gridCol w:w="10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57" w:type="pct"/>
            <w:tcBorders>
              <w:top w:val="single" w:color="auto" w:sz="4" w:space="0"/>
            </w:tcBorders>
          </w:tcPr>
          <w:p>
            <w:pPr>
              <w:rPr>
                <w:rFonts w:hint="default" w:ascii="Times New Roman" w:hAnsi="Times New Roman" w:cs="Times New Roman"/>
                <w:sz w:val="24"/>
                <w:szCs w:val="24"/>
              </w:rPr>
            </w:pPr>
          </w:p>
        </w:tc>
        <w:tc>
          <w:tcPr>
            <w:tcW w:w="819" w:type="pct"/>
            <w:tcBorders>
              <w:top w:val="single" w:color="auto" w:sz="4" w:space="0"/>
            </w:tcBorders>
          </w:tcPr>
          <w:p>
            <w:pPr>
              <w:rPr>
                <w:rFonts w:hint="default" w:ascii="Times New Roman" w:hAnsi="Times New Roman" w:cs="Times New Roman"/>
                <w:sz w:val="24"/>
                <w:szCs w:val="24"/>
              </w:rPr>
            </w:pPr>
          </w:p>
        </w:tc>
        <w:tc>
          <w:tcPr>
            <w:tcW w:w="2299" w:type="pct"/>
            <w:gridSpan w:val="2"/>
            <w:tcBorders>
              <w:top w:val="single" w:color="auto" w:sz="4" w:space="0"/>
              <w:bottom w:val="single" w:color="auto" w:sz="4" w:space="0"/>
            </w:tcBorders>
          </w:tcPr>
          <w:p>
            <w:pPr>
              <w:rPr>
                <w:rFonts w:hint="default" w:ascii="Times New Roman" w:hAnsi="Times New Roman" w:cs="Times New Roman"/>
                <w:sz w:val="24"/>
                <w:szCs w:val="24"/>
              </w:rPr>
            </w:pPr>
            <w:r>
              <w:rPr>
                <w:rFonts w:hint="default" w:ascii="Times New Roman" w:hAnsi="Times New Roman" w:cs="Times New Roman"/>
                <w:sz w:val="24"/>
                <w:szCs w:val="24"/>
              </w:rPr>
              <w:t xml:space="preserve">No. (%) of patients by </w:t>
            </w:r>
            <w:r>
              <w:rPr>
                <w:rFonts w:hint="default" w:ascii="Times New Roman" w:hAnsi="Times New Roman" w:cs="Times New Roman"/>
                <w:sz w:val="24"/>
                <w:szCs w:val="24"/>
                <w:lang w:val="en-US" w:eastAsia="zh-CN"/>
              </w:rPr>
              <w:t>treatment strategy</w:t>
            </w:r>
          </w:p>
        </w:tc>
        <w:tc>
          <w:tcPr>
            <w:tcW w:w="523" w:type="pct"/>
            <w:tcBorders>
              <w:top w:val="single" w:color="auto" w:sz="4" w:space="0"/>
            </w:tcBorders>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57" w:type="pct"/>
            <w:tcBorders>
              <w:bottom w:val="single" w:color="auto" w:sz="4" w:space="0"/>
            </w:tcBorders>
          </w:tcPr>
          <w:p>
            <w:pPr>
              <w:rPr>
                <w:rFonts w:hint="default" w:ascii="Times New Roman" w:hAnsi="Times New Roman" w:cs="Times New Roman"/>
                <w:b/>
                <w:bCs/>
                <w:sz w:val="24"/>
                <w:szCs w:val="24"/>
              </w:rPr>
            </w:pPr>
            <w:bookmarkStart w:id="0" w:name="OLE_LINK4" w:colFirst="2" w:colLast="4"/>
            <w:r>
              <w:rPr>
                <w:rFonts w:hint="default" w:ascii="Times New Roman" w:hAnsi="Times New Roman" w:cs="Times New Roman"/>
                <w:color w:val="000000"/>
                <w:sz w:val="24"/>
                <w:szCs w:val="24"/>
                <w:lang w:bidi="ar"/>
              </w:rPr>
              <w:t>Characteristic</w:t>
            </w:r>
          </w:p>
        </w:tc>
        <w:tc>
          <w:tcPr>
            <w:tcW w:w="819" w:type="pct"/>
            <w:tcBorders>
              <w:bottom w:val="single" w:color="auto" w:sz="4" w:space="0"/>
            </w:tcBorders>
          </w:tcPr>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rPr>
              <w:t>Entire cohort</w:t>
            </w:r>
          </w:p>
          <w:p>
            <w:pPr>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(n = 347, %)</w:t>
            </w:r>
          </w:p>
        </w:tc>
        <w:tc>
          <w:tcPr>
            <w:tcW w:w="906" w:type="pct"/>
            <w:tcBorders>
              <w:top w:val="single" w:color="auto" w:sz="4" w:space="0"/>
              <w:bottom w:val="single" w:color="auto" w:sz="4" w:space="0"/>
            </w:tcBorders>
          </w:tcPr>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GP alone</w:t>
            </w:r>
          </w:p>
          <w:p>
            <w:pPr>
              <w:jc w:val="center"/>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val="en-US" w:eastAsia="zh-CN"/>
              </w:rPr>
              <w:t>(n = 268, %)</w:t>
            </w:r>
          </w:p>
        </w:tc>
        <w:tc>
          <w:tcPr>
            <w:tcW w:w="1393" w:type="pct"/>
            <w:tcBorders>
              <w:top w:val="single" w:color="auto" w:sz="4" w:space="0"/>
              <w:bottom w:val="single" w:color="auto" w:sz="4" w:space="0"/>
            </w:tcBorders>
          </w:tcPr>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GP + PD-1 </w:t>
            </w:r>
            <w:r>
              <w:rPr>
                <w:rFonts w:hint="default" w:ascii="Times New Roman" w:hAnsi="Times New Roman" w:cs="Times New Roman"/>
                <w:sz w:val="24"/>
                <w:szCs w:val="24"/>
              </w:rPr>
              <w:t>blockade</w:t>
            </w:r>
          </w:p>
          <w:p>
            <w:pPr>
              <w:jc w:val="center"/>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val="en-US" w:eastAsia="zh-CN"/>
              </w:rPr>
              <w:t>(n = 79, %)</w:t>
            </w:r>
          </w:p>
        </w:tc>
        <w:tc>
          <w:tcPr>
            <w:tcW w:w="523" w:type="pct"/>
            <w:tcBorders>
              <w:bottom w:val="single" w:color="auto" w:sz="4" w:space="0"/>
            </w:tcBorders>
          </w:tcPr>
          <w:p>
            <w:pPr>
              <w:rPr>
                <w:rFonts w:hint="eastAsia" w:ascii="Times New Roman" w:hAnsi="Times New Roman" w:cs="Times New Roman" w:eastAsiaTheme="minorEastAsia"/>
                <w:sz w:val="24"/>
                <w:szCs w:val="24"/>
                <w:lang w:val="en-US" w:eastAsia="zh-CN"/>
              </w:rPr>
            </w:pP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 value</w:t>
            </w:r>
            <w:r>
              <w:rPr>
                <w:rFonts w:hint="eastAsia" w:ascii="Times New Roman" w:hAnsi="Times New Roman" w:cs="Times New Roman"/>
                <w:sz w:val="24"/>
                <w:szCs w:val="24"/>
                <w:vertAlign w:val="superscript"/>
                <w:lang w:val="en-US" w:eastAsia="zh-CN"/>
              </w:rPr>
              <w:t>a</w:t>
            </w: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2704" w:type="dxa"/>
            <w:tcBorders>
              <w:top w:val="single" w:color="auto" w:sz="4" w:space="0"/>
            </w:tcBorders>
            <w:vAlign w:val="top"/>
          </w:tcPr>
          <w:p>
            <w:pPr>
              <w:rPr>
                <w:rFonts w:hint="default" w:ascii="Times New Roman" w:hAnsi="Times New Roman" w:cs="Times New Roman"/>
                <w:sz w:val="24"/>
                <w:szCs w:val="24"/>
              </w:rPr>
            </w:pPr>
            <w:r>
              <w:rPr>
                <w:rFonts w:hint="default" w:ascii="Times New Roman" w:hAnsi="Times New Roman" w:cs="Times New Roman"/>
                <w:sz w:val="24"/>
                <w:szCs w:val="24"/>
              </w:rPr>
              <w:t>Age, year</w:t>
            </w:r>
            <w:r>
              <w:rPr>
                <w:rFonts w:hint="default" w:ascii="Times New Roman" w:hAnsi="Times New Roman" w:cs="Times New Roman"/>
                <w:sz w:val="24"/>
                <w:szCs w:val="24"/>
                <w:lang w:val="en-US" w:eastAsia="zh-CN"/>
              </w:rPr>
              <w:t>s</w:t>
            </w:r>
          </w:p>
        </w:tc>
        <w:tc>
          <w:tcPr>
            <w:tcW w:w="819" w:type="pct"/>
            <w:tcBorders>
              <w:top w:val="single" w:color="auto" w:sz="4" w:space="0"/>
            </w:tcBorders>
            <w:vAlign w:val="center"/>
          </w:tcPr>
          <w:p>
            <w:pPr>
              <w:rPr>
                <w:rFonts w:hint="default" w:ascii="Times New Roman" w:hAnsi="Times New Roman" w:cs="Times New Roman" w:eastAsiaTheme="minorEastAsia"/>
                <w:kern w:val="2"/>
                <w:sz w:val="24"/>
                <w:szCs w:val="24"/>
                <w:lang w:val="en-US" w:eastAsia="zh-CN" w:bidi="ar-SA"/>
              </w:rPr>
            </w:pPr>
          </w:p>
        </w:tc>
        <w:tc>
          <w:tcPr>
            <w:tcW w:w="906" w:type="pct"/>
            <w:tcBorders>
              <w:top w:val="single" w:color="auto" w:sz="4" w:space="0"/>
            </w:tcBorders>
            <w:vAlign w:val="center"/>
          </w:tcPr>
          <w:p>
            <w:pPr>
              <w:rPr>
                <w:rFonts w:hint="default" w:ascii="Times New Roman" w:hAnsi="Times New Roman" w:cs="Times New Roman" w:eastAsiaTheme="minorEastAsia"/>
                <w:kern w:val="2"/>
                <w:sz w:val="24"/>
                <w:szCs w:val="24"/>
                <w:lang w:val="en-US" w:eastAsia="zh-CN" w:bidi="ar-SA"/>
              </w:rPr>
            </w:pPr>
          </w:p>
        </w:tc>
        <w:tc>
          <w:tcPr>
            <w:tcW w:w="1393" w:type="pct"/>
            <w:tcBorders>
              <w:top w:val="single" w:color="auto" w:sz="4" w:space="0"/>
            </w:tcBorders>
            <w:vAlign w:val="center"/>
          </w:tcPr>
          <w:p>
            <w:pPr>
              <w:rPr>
                <w:rFonts w:hint="default" w:ascii="Times New Roman" w:hAnsi="Times New Roman" w:cs="Times New Roman" w:eastAsiaTheme="minorEastAsia"/>
                <w:kern w:val="2"/>
                <w:sz w:val="24"/>
                <w:szCs w:val="24"/>
                <w:lang w:val="en-US" w:eastAsia="zh-CN" w:bidi="ar-SA"/>
              </w:rPr>
            </w:pPr>
          </w:p>
        </w:tc>
        <w:tc>
          <w:tcPr>
            <w:tcW w:w="523" w:type="pct"/>
            <w:tcBorders>
              <w:top w:val="single" w:color="auto" w:sz="4" w:space="0"/>
            </w:tcBorders>
            <w:shd w:val="clear" w:color="auto" w:fill="auto"/>
            <w:vAlign w:val="bottom"/>
          </w:tcPr>
          <w:p>
            <w:pPr>
              <w:keepNext w:val="0"/>
              <w:keepLines w:val="0"/>
              <w:widowControl/>
              <w:suppressLineNumbers w:val="0"/>
              <w:jc w:val="left"/>
              <w:textAlignment w:val="bottom"/>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sz w:val="24"/>
                <w:szCs w:val="24"/>
                <w:lang w:val="en-US" w:eastAsia="zh-CN"/>
              </w:rPr>
              <w:t>0.3</w:t>
            </w:r>
            <w:r>
              <w:rPr>
                <w:rFonts w:hint="eastAsia" w:ascii="Times New Roman" w:hAnsi="Times New Roman" w:cs="Times New Roman"/>
                <w:sz w:val="24"/>
                <w:szCs w:val="24"/>
                <w:lang w:val="en-US" w:eastAsia="zh-CN"/>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 ≤ </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5</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141 (40.6)</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105 (39.</w:t>
            </w:r>
            <w:r>
              <w:rPr>
                <w:rFonts w:hint="eastAsia"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36 (45.</w:t>
            </w:r>
            <w:r>
              <w:rPr>
                <w:rFonts w:hint="eastAsia" w:ascii="Times New Roman" w:hAnsi="Times New Roman" w:eastAsia="宋体" w:cs="Times New Roman"/>
                <w:i w:val="0"/>
                <w:iCs w:val="0"/>
                <w:color w:val="000000"/>
                <w:kern w:val="0"/>
                <w:sz w:val="24"/>
                <w:szCs w:val="24"/>
                <w:u w:val="none"/>
                <w:lang w:val="en-US" w:eastAsia="zh-CN" w:bidi="ar"/>
              </w:rPr>
              <w:t>6</w:t>
            </w:r>
            <w:r>
              <w:rPr>
                <w:rFonts w:hint="default" w:ascii="Times New Roman" w:hAnsi="Times New Roman" w:eastAsia="宋体" w:cs="Times New Roman"/>
                <w:i w:val="0"/>
                <w:iCs w:val="0"/>
                <w:color w:val="000000"/>
                <w:kern w:val="0"/>
                <w:sz w:val="24"/>
                <w:szCs w:val="24"/>
                <w:u w:val="none"/>
                <w:lang w:val="en-US" w:eastAsia="zh-CN" w:bidi="ar"/>
              </w:rPr>
              <w:t>)</w:t>
            </w:r>
          </w:p>
        </w:tc>
        <w:tc>
          <w:tcPr>
            <w:tcW w:w="523" w:type="pct"/>
            <w:shd w:val="clear" w:color="auto" w:fill="auto"/>
            <w:vAlign w:val="bottom"/>
          </w:tcPr>
          <w:p>
            <w:pPr>
              <w:rPr>
                <w:rFonts w:hint="default" w:ascii="Times New Roman" w:hAnsi="Times New Roman" w:cs="Times New Roman" w:eastAsiaTheme="minorEastAsia"/>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ind w:firstLine="105"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&gt; </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5</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206 (59.</w:t>
            </w:r>
            <w:r>
              <w:rPr>
                <w:rFonts w:hint="eastAsia" w:ascii="Times New Roman" w:hAnsi="Times New Roman" w:eastAsia="宋体" w:cs="Times New Roman"/>
                <w:i w:val="0"/>
                <w:iCs w:val="0"/>
                <w:color w:val="000000"/>
                <w:kern w:val="0"/>
                <w:sz w:val="24"/>
                <w:szCs w:val="24"/>
                <w:u w:val="none"/>
                <w:lang w:val="en-US" w:eastAsia="zh-CN" w:bidi="ar"/>
              </w:rPr>
              <w:t>4</w:t>
            </w:r>
            <w:r>
              <w:rPr>
                <w:rFonts w:hint="default" w:ascii="Times New Roman" w:hAnsi="Times New Roman" w:eastAsia="宋体" w:cs="Times New Roman"/>
                <w:i w:val="0"/>
                <w:iCs w:val="0"/>
                <w:color w:val="000000"/>
                <w:kern w:val="0"/>
                <w:sz w:val="24"/>
                <w:szCs w:val="24"/>
                <w:u w:val="none"/>
                <w:lang w:val="en-US" w:eastAsia="zh-CN" w:bidi="ar"/>
              </w:rPr>
              <w:t>)</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163 (60.8)</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43 (54.4)</w:t>
            </w:r>
          </w:p>
        </w:tc>
        <w:tc>
          <w:tcPr>
            <w:tcW w:w="523" w:type="pct"/>
            <w:shd w:val="clear" w:color="auto" w:fill="auto"/>
            <w:vAlign w:val="center"/>
          </w:tcPr>
          <w:p>
            <w:pPr>
              <w:rPr>
                <w:rFonts w:hint="default" w:ascii="Times New Roman" w:hAnsi="Times New Roman" w:cs="Times New Roman" w:eastAsiaTheme="minorEastAsia"/>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Gender</w:t>
            </w:r>
          </w:p>
        </w:tc>
        <w:tc>
          <w:tcPr>
            <w:tcW w:w="819" w:type="pct"/>
            <w:vAlign w:val="center"/>
          </w:tcPr>
          <w:p>
            <w:pPr>
              <w:jc w:val="center"/>
              <w:rPr>
                <w:rFonts w:hint="default" w:ascii="Times New Roman" w:hAnsi="Times New Roman" w:cs="Times New Roman"/>
                <w:sz w:val="24"/>
                <w:szCs w:val="24"/>
              </w:rPr>
            </w:pPr>
          </w:p>
        </w:tc>
        <w:tc>
          <w:tcPr>
            <w:tcW w:w="906" w:type="pct"/>
            <w:vAlign w:val="center"/>
          </w:tcPr>
          <w:p>
            <w:pPr>
              <w:jc w:val="center"/>
              <w:rPr>
                <w:rFonts w:hint="default" w:ascii="Times New Roman" w:hAnsi="Times New Roman" w:cs="Times New Roman"/>
                <w:sz w:val="24"/>
                <w:szCs w:val="24"/>
              </w:rPr>
            </w:pPr>
          </w:p>
        </w:tc>
        <w:tc>
          <w:tcPr>
            <w:tcW w:w="1393" w:type="pct"/>
            <w:vAlign w:val="center"/>
          </w:tcPr>
          <w:p>
            <w:pPr>
              <w:jc w:val="center"/>
              <w:rPr>
                <w:rFonts w:hint="default" w:ascii="Times New Roman" w:hAnsi="Times New Roman" w:cs="Times New Roman"/>
                <w:sz w:val="24"/>
                <w:szCs w:val="24"/>
              </w:rPr>
            </w:pPr>
          </w:p>
        </w:tc>
        <w:tc>
          <w:tcPr>
            <w:tcW w:w="523" w:type="pct"/>
            <w:shd w:val="clear" w:color="auto" w:fill="auto"/>
            <w:vAlign w:val="bottom"/>
          </w:tcPr>
          <w:p>
            <w:pPr>
              <w:keepNext w:val="0"/>
              <w:keepLines w:val="0"/>
              <w:widowControl/>
              <w:suppressLineNumbers w:val="0"/>
              <w:jc w:val="left"/>
              <w:textAlignment w:val="bottom"/>
              <w:rPr>
                <w:rFonts w:hint="default" w:ascii="Times New Roman" w:hAnsi="Times New Roman" w:cs="Times New Roman" w:eastAsiaTheme="minorEastAsia"/>
                <w:sz w:val="24"/>
                <w:szCs w:val="24"/>
                <w:lang w:val="en-US" w:eastAsia="zh-CN"/>
              </w:rPr>
            </w:pPr>
            <w:r>
              <w:rPr>
                <w:rFonts w:hint="eastAsia" w:ascii="Times New Roman" w:hAnsi="Times New Roman" w:eastAsia="宋体" w:cs="Times New Roman"/>
                <w:i w:val="0"/>
                <w:iCs w:val="0"/>
                <w:color w:val="000000"/>
                <w:kern w:val="0"/>
                <w:sz w:val="24"/>
                <w:szCs w:val="24"/>
                <w:u w:val="none"/>
                <w:lang w:val="en-US" w:eastAsia="zh-CN" w:bidi="ar"/>
              </w:rPr>
              <w:t>0.999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 Male</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255 (73.</w:t>
            </w:r>
            <w:r>
              <w:rPr>
                <w:rFonts w:hint="eastAsia"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197 (73.5)</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58 (73.4)</w:t>
            </w:r>
          </w:p>
        </w:tc>
        <w:tc>
          <w:tcPr>
            <w:tcW w:w="523" w:type="pct"/>
            <w:shd w:val="clear" w:color="auto" w:fill="auto"/>
            <w:vAlign w:val="bottom"/>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 Female</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92 (26.5)</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71 (26.</w:t>
            </w:r>
            <w:r>
              <w:rPr>
                <w:rFonts w:hint="eastAsia"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 (26.</w:t>
            </w:r>
            <w:r>
              <w:rPr>
                <w:rFonts w:hint="eastAsia" w:ascii="Times New Roman" w:hAnsi="Times New Roman" w:eastAsia="宋体" w:cs="Times New Roman"/>
                <w:i w:val="0"/>
                <w:iCs w:val="0"/>
                <w:color w:val="000000"/>
                <w:kern w:val="0"/>
                <w:sz w:val="24"/>
                <w:szCs w:val="24"/>
                <w:u w:val="none"/>
                <w:lang w:val="en-US" w:eastAsia="zh-CN" w:bidi="ar"/>
              </w:rPr>
              <w:t>6</w:t>
            </w:r>
            <w:r>
              <w:rPr>
                <w:rFonts w:hint="default" w:ascii="Times New Roman" w:hAnsi="Times New Roman" w:eastAsia="宋体" w:cs="Times New Roman"/>
                <w:i w:val="0"/>
                <w:iCs w:val="0"/>
                <w:color w:val="000000"/>
                <w:kern w:val="0"/>
                <w:sz w:val="24"/>
                <w:szCs w:val="24"/>
                <w:u w:val="none"/>
                <w:lang w:val="en-US" w:eastAsia="zh-CN" w:bidi="ar"/>
              </w:rPr>
              <w:t>)</w:t>
            </w:r>
          </w:p>
        </w:tc>
        <w:tc>
          <w:tcPr>
            <w:tcW w:w="523" w:type="pct"/>
            <w:shd w:val="clear" w:color="auto" w:fill="auto"/>
            <w:vAlign w:val="center"/>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highlight w:val="none"/>
              </w:rPr>
              <w:t>BMI, m</w:t>
            </w:r>
            <w:r>
              <w:rPr>
                <w:rFonts w:hint="default" w:ascii="Times New Roman" w:hAnsi="Times New Roman" w:cs="Times New Roman"/>
                <w:sz w:val="24"/>
                <w:szCs w:val="24"/>
                <w:highlight w:val="none"/>
                <w:vertAlign w:val="superscript"/>
              </w:rPr>
              <w:t>2</w:t>
            </w:r>
          </w:p>
        </w:tc>
        <w:tc>
          <w:tcPr>
            <w:tcW w:w="819" w:type="pct"/>
            <w:vAlign w:val="center"/>
          </w:tcPr>
          <w:p>
            <w:pPr>
              <w:jc w:val="center"/>
              <w:rPr>
                <w:rFonts w:hint="default" w:ascii="Times New Roman" w:hAnsi="Times New Roman" w:cs="Times New Roman" w:eastAsiaTheme="minorEastAsia"/>
                <w:sz w:val="24"/>
                <w:szCs w:val="24"/>
                <w:highlight w:val="none"/>
                <w:lang w:val="en-US" w:eastAsia="zh-CN"/>
              </w:rPr>
            </w:pPr>
          </w:p>
        </w:tc>
        <w:tc>
          <w:tcPr>
            <w:tcW w:w="906" w:type="pct"/>
            <w:vAlign w:val="center"/>
          </w:tcPr>
          <w:p>
            <w:pPr>
              <w:jc w:val="center"/>
              <w:rPr>
                <w:rFonts w:hint="default" w:ascii="Times New Roman" w:hAnsi="Times New Roman" w:cs="Times New Roman"/>
                <w:sz w:val="24"/>
                <w:szCs w:val="24"/>
                <w:highlight w:val="none"/>
              </w:rPr>
            </w:pPr>
          </w:p>
        </w:tc>
        <w:tc>
          <w:tcPr>
            <w:tcW w:w="1393" w:type="pct"/>
            <w:vAlign w:val="center"/>
          </w:tcPr>
          <w:p>
            <w:pPr>
              <w:jc w:val="center"/>
              <w:rPr>
                <w:rFonts w:hint="default" w:ascii="Times New Roman" w:hAnsi="Times New Roman" w:cs="Times New Roman"/>
                <w:sz w:val="24"/>
                <w:szCs w:val="24"/>
                <w:highlight w:val="none"/>
              </w:rPr>
            </w:pPr>
          </w:p>
        </w:tc>
        <w:tc>
          <w:tcPr>
            <w:tcW w:w="523" w:type="pct"/>
            <w:shd w:val="clear" w:color="auto" w:fill="auto"/>
            <w:vAlign w:val="bottom"/>
          </w:tcPr>
          <w:p>
            <w:pPr>
              <w:keepNext w:val="0"/>
              <w:keepLines w:val="0"/>
              <w:widowControl/>
              <w:suppressLineNumbers w:val="0"/>
              <w:jc w:val="left"/>
              <w:textAlignment w:val="bottom"/>
              <w:rPr>
                <w:rFonts w:hint="default" w:ascii="Times New Roman" w:hAnsi="Times New Roman" w:cs="Times New Roman"/>
                <w:sz w:val="24"/>
                <w:szCs w:val="24"/>
                <w:highlight w:val="none"/>
                <w:lang w:val="en-US"/>
              </w:rPr>
            </w:pPr>
            <w:r>
              <w:rPr>
                <w:rFonts w:hint="default" w:ascii="Times New Roman" w:hAnsi="Times New Roman" w:eastAsia="宋体" w:cs="Times New Roman"/>
                <w:b/>
                <w:bCs/>
                <w:i w:val="0"/>
                <w:iCs w:val="0"/>
                <w:color w:val="000000"/>
                <w:kern w:val="0"/>
                <w:sz w:val="24"/>
                <w:szCs w:val="24"/>
                <w:highlight w:val="none"/>
                <w:u w:val="none"/>
                <w:lang w:val="en-US" w:eastAsia="zh-CN" w:bidi="ar"/>
              </w:rPr>
              <w:t>0.030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highlight w:val="none"/>
              </w:rPr>
              <w:t xml:space="preserve"> ≤ 1.</w:t>
            </w:r>
            <w:r>
              <w:rPr>
                <w:rFonts w:hint="default" w:ascii="Times New Roman" w:hAnsi="Times New Roman" w:cs="Times New Roman"/>
                <w:sz w:val="24"/>
                <w:szCs w:val="24"/>
                <w:highlight w:val="none"/>
                <w:lang w:val="en-US" w:eastAsia="zh-CN"/>
              </w:rPr>
              <w:t>80</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174 (50.1)</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143 (53.4)</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31 (39.2)</w:t>
            </w:r>
          </w:p>
        </w:tc>
        <w:tc>
          <w:tcPr>
            <w:tcW w:w="523" w:type="pct"/>
            <w:shd w:val="clear" w:color="auto" w:fill="auto"/>
            <w:vAlign w:val="bottom"/>
          </w:tcPr>
          <w:p>
            <w:pPr>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04" w:type="dxa"/>
            <w:vAlign w:val="top"/>
          </w:tcPr>
          <w:p>
            <w:pPr>
              <w:ind w:firstLine="120" w:firstLineChars="5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highlight w:val="none"/>
              </w:rPr>
              <w:t>&gt; 1.</w:t>
            </w:r>
            <w:r>
              <w:rPr>
                <w:rFonts w:hint="default" w:ascii="Times New Roman" w:hAnsi="Times New Roman" w:cs="Times New Roman"/>
                <w:sz w:val="24"/>
                <w:szCs w:val="24"/>
                <w:highlight w:val="none"/>
                <w:lang w:val="en-US" w:eastAsia="zh-CN"/>
              </w:rPr>
              <w:t>80</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173 (49.9)</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125 (46.6)</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48 (60.8)</w:t>
            </w:r>
          </w:p>
        </w:tc>
        <w:tc>
          <w:tcPr>
            <w:tcW w:w="523" w:type="pct"/>
            <w:shd w:val="clear" w:color="auto" w:fill="auto"/>
            <w:vAlign w:val="center"/>
          </w:tcPr>
          <w:p>
            <w:pPr>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T stage</w:t>
            </w:r>
            <w:r>
              <w:rPr>
                <w:rFonts w:hint="eastAsia" w:ascii="Times New Roman" w:hAnsi="Times New Roman" w:cs="Times New Roman"/>
                <w:sz w:val="24"/>
                <w:szCs w:val="24"/>
                <w:vertAlign w:val="superscript"/>
                <w:lang w:val="en-US" w:eastAsia="zh-CN"/>
              </w:rPr>
              <w:t>b</w:t>
            </w:r>
          </w:p>
        </w:tc>
        <w:tc>
          <w:tcPr>
            <w:tcW w:w="819" w:type="pct"/>
            <w:shd w:val="clear" w:color="auto" w:fill="auto"/>
            <w:vAlign w:val="top"/>
          </w:tcPr>
          <w:p>
            <w:pPr>
              <w:jc w:val="center"/>
              <w:rPr>
                <w:rFonts w:hint="default" w:ascii="Times New Roman" w:hAnsi="Times New Roman" w:cs="Times New Roman"/>
                <w:sz w:val="24"/>
                <w:szCs w:val="24"/>
              </w:rPr>
            </w:pPr>
          </w:p>
        </w:tc>
        <w:tc>
          <w:tcPr>
            <w:tcW w:w="906" w:type="pct"/>
            <w:shd w:val="clear" w:color="auto" w:fill="auto"/>
            <w:vAlign w:val="top"/>
          </w:tcPr>
          <w:p>
            <w:pPr>
              <w:jc w:val="center"/>
              <w:rPr>
                <w:rFonts w:hint="default" w:ascii="Times New Roman" w:hAnsi="Times New Roman" w:cs="Times New Roman"/>
                <w:sz w:val="24"/>
                <w:szCs w:val="24"/>
              </w:rPr>
            </w:pPr>
          </w:p>
        </w:tc>
        <w:tc>
          <w:tcPr>
            <w:tcW w:w="1393" w:type="pct"/>
            <w:shd w:val="clear" w:color="auto" w:fill="auto"/>
            <w:vAlign w:val="top"/>
          </w:tcPr>
          <w:p>
            <w:pPr>
              <w:jc w:val="center"/>
              <w:rPr>
                <w:rFonts w:hint="default" w:ascii="Times New Roman" w:hAnsi="Times New Roman" w:cs="Times New Roman"/>
                <w:sz w:val="24"/>
                <w:szCs w:val="24"/>
              </w:rPr>
            </w:pPr>
          </w:p>
        </w:tc>
        <w:tc>
          <w:tcPr>
            <w:tcW w:w="523" w:type="pct"/>
            <w:shd w:val="clear" w:color="auto" w:fill="auto"/>
            <w:vAlign w:val="bottom"/>
          </w:tcPr>
          <w:p>
            <w:pPr>
              <w:keepNext w:val="0"/>
              <w:keepLines w:val="0"/>
              <w:widowControl/>
              <w:suppressLineNumbers w:val="0"/>
              <w:jc w:val="left"/>
              <w:textAlignment w:val="bottom"/>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0.876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 T</w:t>
            </w:r>
            <w:r>
              <w:rPr>
                <w:rFonts w:hint="default" w:ascii="Times New Roman" w:hAnsi="Times New Roman" w:cs="Times New Roman"/>
                <w:sz w:val="24"/>
                <w:szCs w:val="24"/>
                <w:lang w:val="en-US" w:eastAsia="zh-CN"/>
              </w:rPr>
              <w:t>1-2</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71 (20.</w:t>
            </w:r>
            <w:r>
              <w:rPr>
                <w:rFonts w:hint="eastAsia"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54 (20.</w:t>
            </w:r>
            <w:r>
              <w:rPr>
                <w:rFonts w:hint="eastAsia"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 (21.5)</w:t>
            </w:r>
          </w:p>
        </w:tc>
        <w:tc>
          <w:tcPr>
            <w:tcW w:w="523" w:type="pct"/>
            <w:shd w:val="clear" w:color="auto" w:fill="auto"/>
            <w:vAlign w:val="bottom"/>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 T</w:t>
            </w:r>
            <w:r>
              <w:rPr>
                <w:rFonts w:hint="default" w:ascii="Times New Roman" w:hAnsi="Times New Roman" w:cs="Times New Roman"/>
                <w:sz w:val="24"/>
                <w:szCs w:val="24"/>
                <w:lang w:val="en-US" w:eastAsia="zh-CN"/>
              </w:rPr>
              <w:t>3-4</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276 (79.5)</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214 (79.8)</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62 (78.</w:t>
            </w:r>
            <w:r>
              <w:rPr>
                <w:rFonts w:hint="eastAsia"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w:t>
            </w:r>
          </w:p>
        </w:tc>
        <w:tc>
          <w:tcPr>
            <w:tcW w:w="523" w:type="pct"/>
            <w:shd w:val="clear" w:color="auto" w:fill="auto"/>
            <w:vAlign w:val="bottom"/>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N stage</w:t>
            </w:r>
            <w:r>
              <w:rPr>
                <w:rFonts w:hint="eastAsia" w:ascii="Times New Roman" w:hAnsi="Times New Roman" w:cs="Times New Roman"/>
                <w:sz w:val="24"/>
                <w:szCs w:val="24"/>
                <w:vertAlign w:val="superscript"/>
                <w:lang w:val="en-US" w:eastAsia="zh-CN"/>
              </w:rPr>
              <w:t>b</w:t>
            </w:r>
          </w:p>
        </w:tc>
        <w:tc>
          <w:tcPr>
            <w:tcW w:w="819" w:type="pct"/>
            <w:shd w:val="clear" w:color="auto" w:fill="auto"/>
            <w:vAlign w:val="top"/>
          </w:tcPr>
          <w:p>
            <w:pPr>
              <w:jc w:val="center"/>
              <w:rPr>
                <w:rFonts w:hint="default" w:ascii="Times New Roman" w:hAnsi="Times New Roman" w:cs="Times New Roman"/>
                <w:sz w:val="24"/>
                <w:szCs w:val="24"/>
              </w:rPr>
            </w:pPr>
          </w:p>
        </w:tc>
        <w:tc>
          <w:tcPr>
            <w:tcW w:w="906" w:type="pct"/>
            <w:shd w:val="clear" w:color="auto" w:fill="auto"/>
            <w:vAlign w:val="top"/>
          </w:tcPr>
          <w:p>
            <w:pPr>
              <w:jc w:val="center"/>
              <w:rPr>
                <w:rFonts w:hint="default" w:ascii="Times New Roman" w:hAnsi="Times New Roman" w:cs="Times New Roman"/>
                <w:sz w:val="24"/>
                <w:szCs w:val="24"/>
              </w:rPr>
            </w:pPr>
          </w:p>
        </w:tc>
        <w:tc>
          <w:tcPr>
            <w:tcW w:w="1393" w:type="pct"/>
            <w:shd w:val="clear" w:color="auto" w:fill="auto"/>
            <w:vAlign w:val="top"/>
          </w:tcPr>
          <w:p>
            <w:pPr>
              <w:jc w:val="center"/>
              <w:rPr>
                <w:rFonts w:hint="default" w:ascii="Times New Roman" w:hAnsi="Times New Roman" w:cs="Times New Roman"/>
                <w:sz w:val="24"/>
                <w:szCs w:val="24"/>
              </w:rPr>
            </w:pPr>
          </w:p>
        </w:tc>
        <w:tc>
          <w:tcPr>
            <w:tcW w:w="523" w:type="pct"/>
            <w:shd w:val="clear" w:color="auto" w:fill="auto"/>
            <w:vAlign w:val="bottom"/>
          </w:tcPr>
          <w:p>
            <w:pPr>
              <w:keepNext w:val="0"/>
              <w:keepLines w:val="0"/>
              <w:widowControl/>
              <w:suppressLineNumbers w:val="0"/>
              <w:jc w:val="left"/>
              <w:textAlignment w:val="bottom"/>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0.985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 N</w:t>
            </w:r>
            <w:r>
              <w:rPr>
                <w:rFonts w:hint="default" w:ascii="Times New Roman" w:hAnsi="Times New Roman" w:cs="Times New Roman"/>
                <w:sz w:val="24"/>
                <w:szCs w:val="24"/>
                <w:lang w:val="en-US" w:eastAsia="zh-CN"/>
              </w:rPr>
              <w:t>1</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72 (20.</w:t>
            </w:r>
            <w:r>
              <w:rPr>
                <w:rFonts w:hint="eastAsia" w:ascii="Times New Roman" w:hAnsi="Times New Roman" w:eastAsia="宋体" w:cs="Times New Roman"/>
                <w:i w:val="0"/>
                <w:iCs w:val="0"/>
                <w:color w:val="000000"/>
                <w:kern w:val="0"/>
                <w:sz w:val="24"/>
                <w:szCs w:val="24"/>
                <w:u w:val="none"/>
                <w:lang w:val="en-US" w:eastAsia="zh-CN" w:bidi="ar"/>
              </w:rPr>
              <w:t>8</w:t>
            </w:r>
            <w:r>
              <w:rPr>
                <w:rFonts w:hint="default" w:ascii="Times New Roman" w:hAnsi="Times New Roman" w:eastAsia="宋体" w:cs="Times New Roman"/>
                <w:i w:val="0"/>
                <w:iCs w:val="0"/>
                <w:color w:val="000000"/>
                <w:kern w:val="0"/>
                <w:sz w:val="24"/>
                <w:szCs w:val="24"/>
                <w:u w:val="none"/>
                <w:lang w:val="en-US" w:eastAsia="zh-CN" w:bidi="ar"/>
              </w:rPr>
              <w:t>)</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55 (20.5)</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 (21.5)</w:t>
            </w:r>
          </w:p>
        </w:tc>
        <w:tc>
          <w:tcPr>
            <w:tcW w:w="523" w:type="pct"/>
            <w:shd w:val="clear" w:color="auto" w:fill="auto"/>
            <w:vAlign w:val="bottom"/>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N2</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209 (60.2)</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162 (60.</w:t>
            </w:r>
            <w:r>
              <w:rPr>
                <w:rFonts w:hint="eastAsia"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47 (59.</w:t>
            </w:r>
            <w:r>
              <w:rPr>
                <w:rFonts w:hint="eastAsia"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w:t>
            </w:r>
          </w:p>
        </w:tc>
        <w:tc>
          <w:tcPr>
            <w:tcW w:w="523" w:type="pct"/>
            <w:shd w:val="clear" w:color="auto" w:fill="auto"/>
            <w:vAlign w:val="bottom"/>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N3</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66 (19.0)</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51 (19.0)</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15 (1</w:t>
            </w:r>
            <w:r>
              <w:rPr>
                <w:rFonts w:hint="eastAsia" w:ascii="Times New Roman" w:hAnsi="Times New Roman" w:eastAsia="宋体" w:cs="Times New Roman"/>
                <w:i w:val="0"/>
                <w:iCs w:val="0"/>
                <w:color w:val="000000"/>
                <w:kern w:val="0"/>
                <w:sz w:val="24"/>
                <w:szCs w:val="24"/>
                <w:u w:val="none"/>
                <w:lang w:val="en-US" w:eastAsia="zh-CN" w:bidi="ar"/>
              </w:rPr>
              <w:t>9.0</w:t>
            </w:r>
            <w:r>
              <w:rPr>
                <w:rFonts w:hint="default" w:ascii="Times New Roman" w:hAnsi="Times New Roman" w:eastAsia="宋体" w:cs="Times New Roman"/>
                <w:i w:val="0"/>
                <w:iCs w:val="0"/>
                <w:color w:val="000000"/>
                <w:kern w:val="0"/>
                <w:sz w:val="24"/>
                <w:szCs w:val="24"/>
                <w:u w:val="none"/>
                <w:lang w:val="en-US" w:eastAsia="zh-CN" w:bidi="ar"/>
              </w:rPr>
              <w:t>)</w:t>
            </w:r>
          </w:p>
        </w:tc>
        <w:tc>
          <w:tcPr>
            <w:tcW w:w="523" w:type="pct"/>
            <w:shd w:val="clear" w:color="auto" w:fill="auto"/>
            <w:vAlign w:val="top"/>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Overall stage</w:t>
            </w:r>
            <w:r>
              <w:rPr>
                <w:rFonts w:hint="eastAsia" w:ascii="Times New Roman" w:hAnsi="Times New Roman" w:cs="Times New Roman"/>
                <w:sz w:val="24"/>
                <w:szCs w:val="24"/>
                <w:vertAlign w:val="superscript"/>
                <w:lang w:val="en-US" w:eastAsia="zh-CN"/>
              </w:rPr>
              <w:t>b</w:t>
            </w:r>
          </w:p>
        </w:tc>
        <w:tc>
          <w:tcPr>
            <w:tcW w:w="819" w:type="pct"/>
            <w:shd w:val="clear" w:color="auto" w:fill="auto"/>
            <w:vAlign w:val="top"/>
          </w:tcPr>
          <w:p>
            <w:pPr>
              <w:jc w:val="center"/>
              <w:rPr>
                <w:rFonts w:hint="default" w:ascii="Times New Roman" w:hAnsi="Times New Roman" w:cs="Times New Roman"/>
                <w:sz w:val="24"/>
                <w:szCs w:val="24"/>
              </w:rPr>
            </w:pPr>
          </w:p>
        </w:tc>
        <w:tc>
          <w:tcPr>
            <w:tcW w:w="906" w:type="pct"/>
            <w:shd w:val="clear" w:color="auto" w:fill="auto"/>
            <w:vAlign w:val="top"/>
          </w:tcPr>
          <w:p>
            <w:pPr>
              <w:jc w:val="center"/>
              <w:rPr>
                <w:rFonts w:hint="default" w:ascii="Times New Roman" w:hAnsi="Times New Roman" w:cs="Times New Roman"/>
                <w:sz w:val="24"/>
                <w:szCs w:val="24"/>
              </w:rPr>
            </w:pPr>
          </w:p>
        </w:tc>
        <w:tc>
          <w:tcPr>
            <w:tcW w:w="1393" w:type="pct"/>
            <w:shd w:val="clear" w:color="auto" w:fill="auto"/>
            <w:vAlign w:val="top"/>
          </w:tcPr>
          <w:p>
            <w:pPr>
              <w:jc w:val="center"/>
              <w:rPr>
                <w:rFonts w:hint="default" w:ascii="Times New Roman" w:hAnsi="Times New Roman" w:cs="Times New Roman"/>
                <w:sz w:val="24"/>
                <w:szCs w:val="24"/>
              </w:rPr>
            </w:pPr>
          </w:p>
        </w:tc>
        <w:tc>
          <w:tcPr>
            <w:tcW w:w="523" w:type="pct"/>
            <w:shd w:val="clear" w:color="auto" w:fill="auto"/>
            <w:vAlign w:val="bottom"/>
          </w:tcPr>
          <w:p>
            <w:pPr>
              <w:keepNext w:val="0"/>
              <w:keepLines w:val="0"/>
              <w:widowControl/>
              <w:suppressLineNumbers w:val="0"/>
              <w:jc w:val="left"/>
              <w:textAlignment w:val="bottom"/>
              <w:rPr>
                <w:rFonts w:hint="default" w:ascii="Times New Roman" w:hAnsi="Times New Roman" w:cs="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0.526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 III</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218 (62.8)</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171 (63.8)</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47 (59.</w:t>
            </w:r>
            <w:r>
              <w:rPr>
                <w:rFonts w:hint="eastAsia"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w:t>
            </w:r>
          </w:p>
        </w:tc>
        <w:tc>
          <w:tcPr>
            <w:tcW w:w="523" w:type="pct"/>
            <w:shd w:val="clear" w:color="auto" w:fill="auto"/>
            <w:vAlign w:val="bottom"/>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sz w:val="24"/>
                <w:szCs w:val="24"/>
              </w:rPr>
            </w:pPr>
            <w:r>
              <w:rPr>
                <w:rFonts w:hint="default" w:ascii="Times New Roman" w:hAnsi="Times New Roman" w:cs="Times New Roman"/>
                <w:sz w:val="24"/>
                <w:szCs w:val="24"/>
              </w:rPr>
              <w:t xml:space="preserve"> IVA</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129 (37.</w:t>
            </w:r>
            <w:r>
              <w:rPr>
                <w:rFonts w:hint="eastAsia"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97 (36.</w:t>
            </w:r>
            <w:r>
              <w:rPr>
                <w:rFonts w:hint="eastAsia"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 (40.5)</w:t>
            </w:r>
          </w:p>
        </w:tc>
        <w:tc>
          <w:tcPr>
            <w:tcW w:w="523" w:type="pct"/>
            <w:shd w:val="clear" w:color="auto" w:fill="auto"/>
            <w:vAlign w:val="top"/>
          </w:tcPr>
          <w:p>
            <w:pPr>
              <w:rPr>
                <w:rFonts w:hint="default" w:ascii="Times New Roman" w:hAnsi="Times New Roman"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highlight w:val="none"/>
                <w:lang w:val="en-US" w:eastAsia="zh-CN"/>
              </w:rPr>
              <w:t>cf</w:t>
            </w:r>
            <w:r>
              <w:rPr>
                <w:rFonts w:hint="default" w:ascii="Times New Roman" w:hAnsi="Times New Roman" w:cs="Times New Roman"/>
                <w:sz w:val="24"/>
                <w:szCs w:val="24"/>
                <w:highlight w:val="none"/>
              </w:rPr>
              <w:t>EBV DNA, copy/mL</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color w:val="000000"/>
                <w:kern w:val="0"/>
                <w:sz w:val="24"/>
                <w:szCs w:val="24"/>
                <w:highlight w:val="none"/>
                <w:u w:val="none"/>
                <w:lang w:val="en-US" w:eastAsia="zh-CN" w:bidi="ar"/>
              </w:rPr>
            </w:pP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color w:val="000000"/>
                <w:kern w:val="0"/>
                <w:sz w:val="24"/>
                <w:szCs w:val="24"/>
                <w:highlight w:val="none"/>
                <w:u w:val="none"/>
                <w:lang w:val="en-US" w:eastAsia="zh-CN" w:bidi="ar"/>
              </w:rPr>
            </w:pP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color w:val="000000"/>
                <w:kern w:val="0"/>
                <w:sz w:val="24"/>
                <w:szCs w:val="24"/>
                <w:highlight w:val="none"/>
                <w:u w:val="none"/>
                <w:lang w:val="en-US" w:eastAsia="zh-CN" w:bidi="ar"/>
              </w:rPr>
            </w:pPr>
          </w:p>
        </w:tc>
        <w:tc>
          <w:tcPr>
            <w:tcW w:w="523" w:type="pct"/>
            <w:shd w:val="clear" w:color="auto" w:fill="auto"/>
            <w:vAlign w:val="top"/>
          </w:tcPr>
          <w:p>
            <w:pPr>
              <w:rPr>
                <w:rFonts w:hint="default" w:ascii="Times New Roman" w:hAnsi="Times New Roman" w:cs="Times New Roman" w:eastAsiaTheme="minorEastAsia"/>
                <w:sz w:val="24"/>
                <w:szCs w:val="24"/>
                <w:highlight w:val="none"/>
                <w:lang w:val="en-US" w:eastAsia="zh-CN"/>
              </w:rPr>
            </w:pPr>
            <w:r>
              <w:rPr>
                <w:rFonts w:hint="default" w:ascii="Times New Roman" w:hAnsi="Times New Roman" w:eastAsia="宋体" w:cs="Times New Roman"/>
                <w:b/>
                <w:bCs/>
                <w:i w:val="0"/>
                <w:iCs w:val="0"/>
                <w:color w:val="000000"/>
                <w:kern w:val="0"/>
                <w:sz w:val="24"/>
                <w:szCs w:val="24"/>
                <w:highlight w:val="none"/>
                <w:u w:val="none"/>
                <w:lang w:val="en-US" w:eastAsia="zh-CN" w:bidi="ar"/>
              </w:rPr>
              <w:t>0.047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vAlign w:val="top"/>
          </w:tcPr>
          <w:p>
            <w:pPr>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sz w:val="24"/>
                <w:szCs w:val="24"/>
                <w:highlight w:val="none"/>
              </w:rPr>
              <w:t xml:space="preserve"> Undetectable</w:t>
            </w:r>
          </w:p>
        </w:tc>
        <w:tc>
          <w:tcPr>
            <w:tcW w:w="819"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131 (37.8)</w:t>
            </w:r>
          </w:p>
        </w:tc>
        <w:tc>
          <w:tcPr>
            <w:tcW w:w="906"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109 (40.7)</w:t>
            </w:r>
          </w:p>
        </w:tc>
        <w:tc>
          <w:tcPr>
            <w:tcW w:w="1393" w:type="pct"/>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22 (27.8)</w:t>
            </w:r>
          </w:p>
        </w:tc>
        <w:tc>
          <w:tcPr>
            <w:tcW w:w="523" w:type="pct"/>
            <w:shd w:val="clear" w:color="auto" w:fill="auto"/>
            <w:vAlign w:val="top"/>
          </w:tcPr>
          <w:p>
            <w:pPr>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4" w:type="dxa"/>
            <w:tcBorders>
              <w:bottom w:val="single" w:color="auto" w:sz="4" w:space="0"/>
            </w:tcBorders>
            <w:vAlign w:val="top"/>
          </w:tcPr>
          <w:p>
            <w:pPr>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sz w:val="24"/>
                <w:szCs w:val="24"/>
                <w:highlight w:val="none"/>
              </w:rPr>
              <w:t xml:space="preserve"> Detectable</w:t>
            </w:r>
          </w:p>
        </w:tc>
        <w:tc>
          <w:tcPr>
            <w:tcW w:w="819" w:type="pct"/>
            <w:tcBorders>
              <w:bottom w:val="single" w:color="auto" w:sz="4" w:space="0"/>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216 (62.2)</w:t>
            </w:r>
          </w:p>
        </w:tc>
        <w:tc>
          <w:tcPr>
            <w:tcW w:w="906" w:type="pct"/>
            <w:tcBorders>
              <w:bottom w:val="single" w:color="auto" w:sz="4" w:space="0"/>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159 (59.3)</w:t>
            </w:r>
          </w:p>
        </w:tc>
        <w:tc>
          <w:tcPr>
            <w:tcW w:w="1393" w:type="pct"/>
            <w:tcBorders>
              <w:bottom w:val="single" w:color="auto" w:sz="4" w:space="0"/>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57 (72.2)</w:t>
            </w:r>
          </w:p>
        </w:tc>
        <w:tc>
          <w:tcPr>
            <w:tcW w:w="523" w:type="pct"/>
            <w:tcBorders>
              <w:bottom w:val="single" w:color="auto" w:sz="4" w:space="0"/>
            </w:tcBorders>
            <w:shd w:val="clear" w:color="auto" w:fill="auto"/>
            <w:vAlign w:val="top"/>
          </w:tcPr>
          <w:p>
            <w:pPr>
              <w:rPr>
                <w:rFonts w:hint="default" w:ascii="Times New Roman" w:hAnsi="Times New Roman" w:cs="Times New Roman"/>
                <w:sz w:val="24"/>
                <w:szCs w:val="24"/>
                <w:highlight w:val="none"/>
              </w:rPr>
            </w:pPr>
          </w:p>
        </w:tc>
      </w:tr>
    </w:tbl>
    <w:p>
      <w:pPr>
        <w:spacing w:line="240" w:lineRule="auto"/>
        <w:rPr>
          <w:rFonts w:hint="default" w:ascii="Times New Roman" w:hAnsi="Times New Roman" w:cs="Times New Roman"/>
          <w:sz w:val="24"/>
          <w:lang w:val="en-US" w:eastAsia="zh-CN"/>
        </w:rPr>
      </w:pPr>
      <w:r>
        <w:rPr>
          <w:rFonts w:hint="default" w:ascii="Times New Roman" w:hAnsi="Times New Roman" w:cs="Times New Roman"/>
          <w:b/>
          <w:bCs/>
          <w:sz w:val="24"/>
          <w:szCs w:val="24"/>
        </w:rPr>
        <w:t>Abbreviation:</w:t>
      </w:r>
      <w:r>
        <w:rPr>
          <w:rFonts w:hint="default"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BMI, body mass index; </w:t>
      </w:r>
      <w:r>
        <w:rPr>
          <w:rFonts w:hint="default" w:ascii="Times New Roman" w:hAnsi="Times New Roman" w:cs="Times New Roman"/>
          <w:sz w:val="24"/>
          <w:szCs w:val="24"/>
          <w:lang w:val="en-US" w:eastAsia="zh-CN"/>
        </w:rPr>
        <w:t>cf</w:t>
      </w:r>
      <w:r>
        <w:rPr>
          <w:rFonts w:hint="default" w:ascii="Times New Roman" w:hAnsi="Times New Roman" w:cs="Times New Roman"/>
          <w:sz w:val="24"/>
          <w:szCs w:val="24"/>
        </w:rPr>
        <w:t xml:space="preserve">EBV, </w:t>
      </w:r>
      <w:r>
        <w:rPr>
          <w:rFonts w:hint="default" w:ascii="Times New Roman" w:hAnsi="Times New Roman" w:cs="Times New Roman"/>
          <w:sz w:val="24"/>
          <w:szCs w:val="24"/>
          <w:lang w:val="en-US" w:eastAsia="zh-CN"/>
        </w:rPr>
        <w:t xml:space="preserve">cell-free </w:t>
      </w:r>
      <w:r>
        <w:rPr>
          <w:rFonts w:hint="default" w:ascii="Times New Roman" w:hAnsi="Times New Roman" w:cs="Times New Roman"/>
          <w:sz w:val="24"/>
          <w:szCs w:val="24"/>
        </w:rPr>
        <w:t>Epstein-Barr virus;</w:t>
      </w:r>
      <w:r>
        <w:rPr>
          <w:rFonts w:hint="default" w:ascii="Times New Roman" w:hAnsi="Times New Roman" w:cs="Times New Roman"/>
          <w:sz w:val="24"/>
          <w:szCs w:val="24"/>
          <w:lang w:val="en-US" w:eastAsia="zh-CN"/>
        </w:rPr>
        <w:t xml:space="preserve"> </w:t>
      </w:r>
      <w:r>
        <w:rPr>
          <w:rFonts w:hint="default" w:ascii="Times New Roman" w:hAnsi="Times New Roman" w:eastAsia="楷体" w:cs="Times New Roman"/>
          <w:color w:val="auto"/>
          <w:sz w:val="24"/>
          <w:szCs w:val="24"/>
          <w:highlight w:val="none"/>
          <w:lang w:val="en-US" w:eastAsia="zh-CN"/>
        </w:rPr>
        <w:t>GP, cisplatin with gemcitabine</w:t>
      </w:r>
      <w:r>
        <w:rPr>
          <w:rFonts w:hint="default" w:ascii="Times New Roman" w:hAnsi="Times New Roman" w:cs="Times New Roman"/>
          <w:sz w:val="24"/>
          <w:lang w:val="en-US" w:eastAsia="zh-CN"/>
        </w:rPr>
        <w:t>.</w:t>
      </w:r>
    </w:p>
    <w:p>
      <w:pPr>
        <w:rPr>
          <w:rFonts w:hint="default" w:ascii="Times New Roman" w:hAnsi="Times New Roman" w:cs="Times New Roman"/>
          <w:sz w:val="24"/>
          <w:szCs w:val="24"/>
          <w:lang w:val="en-US" w:eastAsia="zh-CN"/>
        </w:rPr>
      </w:pPr>
      <w:r>
        <w:rPr>
          <w:rFonts w:hint="default" w:ascii="Times New Roman" w:hAnsi="Times New Roman" w:cs="Times New Roman"/>
          <w:sz w:val="24"/>
          <w:szCs w:val="24"/>
          <w:vertAlign w:val="superscript"/>
          <w:lang w:val="en-US" w:eastAsia="zh-CN"/>
        </w:rPr>
        <w:t>a</w:t>
      </w:r>
      <w:r>
        <w:rPr>
          <w:rFonts w:hint="default" w:ascii="Times New Roman" w:hAnsi="Times New Roman" w:cs="Times New Roman"/>
          <w:sz w:val="24"/>
          <w:szCs w:val="24"/>
          <w:lang w:val="en-US" w:eastAsia="zh-CN"/>
        </w:rPr>
        <w:t xml:space="preserve"> </w:t>
      </w:r>
      <w:r>
        <w:rPr>
          <w:rFonts w:hint="default" w:ascii="Times New Roman" w:hAnsi="Times New Roman" w:cs="Times New Roman"/>
          <w:i/>
          <w:iCs/>
          <w:sz w:val="24"/>
          <w:szCs w:val="24"/>
          <w:lang w:val="en-US" w:eastAsia="zh-CN"/>
        </w:rPr>
        <w:t>P</w:t>
      </w:r>
      <w:r>
        <w:rPr>
          <w:rFonts w:hint="default" w:ascii="Times New Roman" w:hAnsi="Times New Roman" w:cs="Times New Roman"/>
          <w:sz w:val="24"/>
          <w:szCs w:val="24"/>
          <w:lang w:val="en-US" w:eastAsia="zh-CN"/>
        </w:rPr>
        <w:t xml:space="preserve"> values were calculated using the chi-square test or Fisher exact test if indicated.</w:t>
      </w:r>
    </w:p>
    <w:p>
      <w:pPr>
        <w:rPr>
          <w:rFonts w:hint="default" w:ascii="Times New Roman" w:hAnsi="Times New Roman" w:cs="Times New Roman"/>
          <w:sz w:val="24"/>
          <w:lang w:val="en-US" w:eastAsia="zh-CN"/>
        </w:rPr>
      </w:pPr>
      <w:r>
        <w:rPr>
          <w:rFonts w:hint="eastAsia" w:ascii="Times New Roman" w:hAnsi="Times New Roman" w:cs="Times New Roman"/>
          <w:sz w:val="24"/>
          <w:szCs w:val="24"/>
          <w:vertAlign w:val="superscript"/>
          <w:lang w:val="en-US" w:eastAsia="zh-CN"/>
        </w:rPr>
        <w:t>b</w:t>
      </w:r>
      <w:r>
        <w:rPr>
          <w:rFonts w:hint="default" w:ascii="Times New Roman" w:hAnsi="Times New Roman" w:cs="Times New Roman"/>
          <w:sz w:val="24"/>
          <w:szCs w:val="24"/>
          <w:lang w:val="en-US" w:eastAsia="zh-CN"/>
        </w:rPr>
        <w:t xml:space="preserve">According to the </w:t>
      </w:r>
      <w:r>
        <w:rPr>
          <w:rFonts w:hint="eastAsia" w:ascii="Times New Roman" w:hAnsi="Times New Roman" w:cs="Times New Roman"/>
          <w:sz w:val="24"/>
          <w:szCs w:val="24"/>
          <w:lang w:val="en-US" w:eastAsia="zh-CN"/>
        </w:rPr>
        <w:t>8</w:t>
      </w:r>
      <w:r>
        <w:rPr>
          <w:rFonts w:hint="default" w:ascii="Times New Roman" w:hAnsi="Times New Roman" w:cs="Times New Roman"/>
          <w:sz w:val="24"/>
          <w:szCs w:val="24"/>
          <w:lang w:val="en-US" w:eastAsia="zh-CN"/>
        </w:rPr>
        <w:t>th edition of the American Joint Committee on Cancer staging system</w:t>
      </w:r>
      <w:r>
        <w:rPr>
          <w:rFonts w:hint="eastAsia" w:ascii="Times New Roman" w:hAnsi="Times New Roman" w:cs="Times New Roman"/>
          <w:sz w:val="24"/>
          <w:szCs w:val="24"/>
          <w:lang w:val="en-US" w:eastAsia="zh-CN"/>
        </w:rPr>
        <w:t>.</w:t>
      </w:r>
      <w:bookmarkStart w:id="1" w:name="_GoBack"/>
      <w:bookmarkEnd w:id="1"/>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D631BF"/>
    <w:multiLevelType w:val="singleLevel"/>
    <w:tmpl w:val="58D631BF"/>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1ZWQ4N2Y0YzVhZjJmNDEyZGJhYTA5N2U2MDZmZTkifQ=="/>
  </w:docVars>
  <w:rsids>
    <w:rsidRoot w:val="7F5A7764"/>
    <w:rsid w:val="02581700"/>
    <w:rsid w:val="04CE0342"/>
    <w:rsid w:val="3C4A2119"/>
    <w:rsid w:val="4A7771B7"/>
    <w:rsid w:val="565B7482"/>
    <w:rsid w:val="7F5A7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2023-10-07T09:29:00Z</dcterms:created>
  <dc:creator>季金</dc:creator>
  <cp:lastModifiedBy>季金</cp:lastModifiedBy>
  <dcterms:modified xsi:type="dcterms:W3CDTF">2023-10-08T02:45:57Z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1F957F70859545BFA160E8164D14C7D1_11</vt:lpwstr>
  </property>
</Properties>
</file>