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C64E9">
        <w:rPr>
          <w:rFonts w:ascii="Times New Roman" w:hAnsi="Times New Roman" w:cs="Times New Roman"/>
          <w:b/>
          <w:sz w:val="24"/>
          <w:szCs w:val="24"/>
        </w:rPr>
        <w:t>Supplementary figure captions</w:t>
      </w:r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64E9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C64E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C64E9">
        <w:rPr>
          <w:rFonts w:ascii="Times New Roman" w:hAnsi="Times New Roman" w:cs="Times New Roman"/>
          <w:sz w:val="24"/>
          <w:szCs w:val="24"/>
        </w:rPr>
        <w:t xml:space="preserve"> Generation of bispecific T-cell engager (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BsTE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>)-bound T-cells confirmed using an antibody against c-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>, which is one of the structure</w:t>
      </w:r>
      <w:r w:rsidRPr="002C64E9">
        <w:rPr>
          <w:rFonts w:ascii="Times New Roman" w:eastAsia="Malgun Gothic" w:hAnsi="Times New Roman" w:cs="Times New Roman"/>
          <w:sz w:val="24"/>
          <w:szCs w:val="24"/>
        </w:rPr>
        <w:t xml:space="preserve">s of </w:t>
      </w:r>
      <w:proofErr w:type="spellStart"/>
      <w:r w:rsidRPr="002C64E9">
        <w:rPr>
          <w:rFonts w:ascii="Times New Roman" w:eastAsia="Malgun Gothic" w:hAnsi="Times New Roman" w:cs="Times New Roman"/>
          <w:sz w:val="24"/>
          <w:szCs w:val="24"/>
        </w:rPr>
        <w:t>BsTE</w:t>
      </w:r>
      <w:proofErr w:type="spellEnd"/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64E9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C64E9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2C64E9">
        <w:rPr>
          <w:rFonts w:ascii="Times New Roman" w:hAnsi="Times New Roman" w:cs="Times New Roman"/>
          <w:sz w:val="24"/>
          <w:szCs w:val="24"/>
        </w:rPr>
        <w:t xml:space="preserve"> (A, B) Cluster of differentiation (CD</w:t>
      </w:r>
      <w:proofErr w:type="gramStart"/>
      <w:r w:rsidRPr="002C64E9">
        <w:rPr>
          <w:rFonts w:ascii="Times New Roman" w:hAnsi="Times New Roman" w:cs="Times New Roman"/>
          <w:sz w:val="24"/>
          <w:szCs w:val="24"/>
        </w:rPr>
        <w:t>)8</w:t>
      </w:r>
      <w:proofErr w:type="gramEnd"/>
      <w:r w:rsidRPr="002C64E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C64E9">
        <w:rPr>
          <w:rFonts w:ascii="Times New Roman" w:hAnsi="Times New Roman" w:cs="Times New Roman"/>
          <w:sz w:val="24"/>
          <w:szCs w:val="24"/>
        </w:rPr>
        <w:t xml:space="preserve"> T-cells were obtained from the spleen and lymph nodes of C57BL/6 mice. The activated group received anti-CD3/CD28 antibodies for 48 h, and the bispecific T-cell engager (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BsTE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) group was incubated with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BsTE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 (0.1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/mL) for 1 h after activation. </w:t>
      </w:r>
      <w:proofErr w:type="gramStart"/>
      <w:r w:rsidRPr="002C64E9">
        <w:rPr>
          <w:rFonts w:ascii="Times New Roman" w:hAnsi="Times New Roman" w:cs="Times New Roman"/>
          <w:sz w:val="24"/>
          <w:szCs w:val="24"/>
        </w:rPr>
        <w:t>ns</w:t>
      </w:r>
      <w:proofErr w:type="gramEnd"/>
      <w:r w:rsidRPr="002C64E9">
        <w:rPr>
          <w:rFonts w:ascii="Times New Roman" w:hAnsi="Times New Roman" w:cs="Times New Roman"/>
          <w:sz w:val="24"/>
          <w:szCs w:val="24"/>
        </w:rPr>
        <w:t>; not significant and ****</w:t>
      </w:r>
      <w:r w:rsidRPr="002C64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C64E9">
        <w:rPr>
          <w:rFonts w:ascii="Times New Roman" w:hAnsi="Times New Roman" w:cs="Times New Roman"/>
          <w:sz w:val="24"/>
          <w:szCs w:val="24"/>
        </w:rPr>
        <w:t xml:space="preserve"> &lt; 0.0001 (one-way ANOVA; </w:t>
      </w:r>
      <w:r w:rsidRPr="002C64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C64E9">
        <w:rPr>
          <w:rFonts w:ascii="Times New Roman" w:hAnsi="Times New Roman" w:cs="Times New Roman"/>
          <w:sz w:val="24"/>
          <w:szCs w:val="24"/>
        </w:rPr>
        <w:t xml:space="preserve"> = 3/group). (C) Naive CD8</w:t>
      </w:r>
      <w:r w:rsidRPr="002C64E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C64E9">
        <w:rPr>
          <w:rFonts w:ascii="Times New Roman" w:hAnsi="Times New Roman" w:cs="Times New Roman"/>
          <w:sz w:val="24"/>
          <w:szCs w:val="24"/>
        </w:rPr>
        <w:t xml:space="preserve"> T-cells obtained from C57BL/6 mice were cultured with or without anti-CD3/CD28 antibodies and stained with an anti-CD3 antibody to measure the level of CD3 expression in CD8</w:t>
      </w:r>
      <w:r w:rsidRPr="002C64E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C64E9">
        <w:rPr>
          <w:rFonts w:ascii="Times New Roman" w:hAnsi="Times New Roman" w:cs="Times New Roman"/>
          <w:sz w:val="24"/>
          <w:szCs w:val="24"/>
        </w:rPr>
        <w:t xml:space="preserve"> T-cells</w:t>
      </w:r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64E9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C64E9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2C64E9">
        <w:rPr>
          <w:rFonts w:ascii="Times New Roman" w:hAnsi="Times New Roman" w:cs="Times New Roman"/>
          <w:sz w:val="24"/>
          <w:szCs w:val="24"/>
        </w:rPr>
        <w:t xml:space="preserve"> T-cells or bispecific T-cell engager</w:t>
      </w:r>
      <w:r w:rsidRPr="002C64E9">
        <w:t>-</w:t>
      </w:r>
      <w:r w:rsidRPr="002C64E9">
        <w:rPr>
          <w:rFonts w:ascii="Times New Roman" w:hAnsi="Times New Roman" w:cs="Times New Roman"/>
          <w:sz w:val="24"/>
          <w:szCs w:val="24"/>
        </w:rPr>
        <w:t>bound T-cells (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BsTE:T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) were activated with anti-cluster of differentiation (CD)3/CD28 antibodies for 48 h and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BsTE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 (0.1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/mL) cells were incubated for 1 h. T-cells or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BsTE:T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cells </w:t>
      </w:r>
      <w:r w:rsidRPr="002C64E9">
        <w:rPr>
          <w:rFonts w:ascii="Times New Roman" w:hAnsi="Times New Roman" w:cs="Times New Roman"/>
          <w:sz w:val="24"/>
          <w:szCs w:val="24"/>
        </w:rPr>
        <w:t xml:space="preserve">were seeded on top of the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 and MO5 cells were seeded at the bottom of the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>. Thereafter, the experimental group was treated with GW4869 and incubated for 24 h. 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64E9">
        <w:rPr>
          <w:rFonts w:ascii="Times New Roman" w:hAnsi="Times New Roman" w:cs="Times New Roman"/>
          <w:sz w:val="24"/>
          <w:szCs w:val="24"/>
        </w:rPr>
        <w:t xml:space="preserve"> not significant, *</w:t>
      </w:r>
      <w:r w:rsidRPr="002C64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C64E9">
        <w:rPr>
          <w:rFonts w:ascii="Times New Roman" w:hAnsi="Times New Roman" w:cs="Times New Roman"/>
          <w:sz w:val="24"/>
          <w:szCs w:val="24"/>
        </w:rPr>
        <w:t xml:space="preserve"> &lt; 0.05, and **</w:t>
      </w:r>
      <w:r w:rsidRPr="002C64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C64E9">
        <w:rPr>
          <w:rFonts w:ascii="Times New Roman" w:hAnsi="Times New Roman" w:cs="Times New Roman"/>
          <w:sz w:val="24"/>
          <w:szCs w:val="24"/>
        </w:rPr>
        <w:t xml:space="preserve"> &lt; 0.01 (one-way analysis of variance; </w:t>
      </w:r>
      <w:r w:rsidRPr="002C64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C64E9">
        <w:rPr>
          <w:rFonts w:ascii="Times New Roman" w:hAnsi="Times New Roman" w:cs="Times New Roman"/>
          <w:sz w:val="24"/>
          <w:szCs w:val="24"/>
        </w:rPr>
        <w:t xml:space="preserve"> = 6/group)</w:t>
      </w:r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64E9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C64E9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2C64E9">
        <w:rPr>
          <w:rFonts w:ascii="Times New Roman" w:hAnsi="Times New Roman" w:cs="Times New Roman"/>
          <w:sz w:val="24"/>
          <w:szCs w:val="24"/>
        </w:rPr>
        <w:t xml:space="preserve"> (A, B) The number and population of cluster of differentiation (CD)3</w:t>
      </w:r>
      <w:r w:rsidRPr="002C64E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C64E9">
        <w:rPr>
          <w:rFonts w:ascii="Times New Roman" w:hAnsi="Times New Roman" w:cs="Times New Roman"/>
          <w:sz w:val="24"/>
          <w:szCs w:val="24"/>
        </w:rPr>
        <w:t>CD8</w:t>
      </w:r>
      <w:r w:rsidRPr="002C64E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C64E9">
        <w:rPr>
          <w:rFonts w:ascii="Times New Roman" w:hAnsi="Times New Roman" w:cs="Times New Roman"/>
          <w:sz w:val="24"/>
          <w:szCs w:val="24"/>
        </w:rPr>
        <w:t>CD44</w:t>
      </w:r>
      <w:r w:rsidRPr="002C64E9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2C64E9">
        <w:rPr>
          <w:rFonts w:ascii="Times New Roman" w:hAnsi="Times New Roman" w:cs="Times New Roman"/>
          <w:sz w:val="24"/>
          <w:szCs w:val="24"/>
        </w:rPr>
        <w:t>CD62L</w:t>
      </w:r>
      <w:r w:rsidRPr="002C64E9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2C64E9">
        <w:rPr>
          <w:rFonts w:ascii="Times New Roman" w:hAnsi="Times New Roman" w:cs="Times New Roman"/>
          <w:sz w:val="24"/>
          <w:szCs w:val="24"/>
        </w:rPr>
        <w:t xml:space="preserve"> central memory T-cells in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-infiltrated lymphocytes of </w:t>
      </w:r>
      <w:r>
        <w:rPr>
          <w:rFonts w:ascii="Times New Roman" w:hAnsi="Times New Roman" w:cs="Times New Roman"/>
          <w:sz w:val="24"/>
          <w:szCs w:val="24"/>
        </w:rPr>
        <w:t>each</w:t>
      </w:r>
      <w:r w:rsidRPr="002C64E9">
        <w:rPr>
          <w:rFonts w:ascii="Times New Roman" w:hAnsi="Times New Roman" w:cs="Times New Roman"/>
          <w:sz w:val="24"/>
          <w:szCs w:val="24"/>
        </w:rPr>
        <w:t xml:space="preserve"> group of mice were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 using fluorescence-activated cell sorting (FACS). 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 w:rsidRPr="002C64E9"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2C64E9">
        <w:rPr>
          <w:rFonts w:ascii="Times New Roman" w:hAnsi="Times New Roman" w:cs="Times New Roman"/>
          <w:sz w:val="24"/>
          <w:szCs w:val="24"/>
        </w:rPr>
        <w:t xml:space="preserve"> not significant (one-way analysis of variance; </w:t>
      </w:r>
      <w:r w:rsidRPr="002C64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C64E9">
        <w:rPr>
          <w:rFonts w:ascii="Times New Roman" w:hAnsi="Times New Roman" w:cs="Times New Roman"/>
          <w:sz w:val="24"/>
          <w:szCs w:val="24"/>
        </w:rPr>
        <w:t xml:space="preserve"> = 8/MC38, </w:t>
      </w:r>
      <w:r w:rsidRPr="002C64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C64E9">
        <w:rPr>
          <w:rFonts w:ascii="Times New Roman" w:hAnsi="Times New Roman" w:cs="Times New Roman"/>
          <w:sz w:val="24"/>
          <w:szCs w:val="24"/>
        </w:rPr>
        <w:t xml:space="preserve"> = 5/PD-L1-knockout MC38).</w:t>
      </w:r>
    </w:p>
    <w:p w:rsidR="009C0A1C" w:rsidRPr="002C64E9" w:rsidRDefault="009C0A1C" w:rsidP="009C0A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C0A1C" w:rsidRPr="00AF472F" w:rsidRDefault="009C0A1C" w:rsidP="009C0A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64E9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C64E9">
        <w:rPr>
          <w:rFonts w:ascii="Times New Roman" w:hAnsi="Times New Roman" w:cs="Times New Roman"/>
          <w:b/>
          <w:sz w:val="24"/>
          <w:szCs w:val="24"/>
        </w:rPr>
        <w:t xml:space="preserve"> 5 </w:t>
      </w:r>
      <w:r w:rsidRPr="002C64E9">
        <w:rPr>
          <w:rFonts w:ascii="Times New Roman" w:hAnsi="Times New Roman" w:cs="Times New Roman"/>
          <w:sz w:val="24"/>
          <w:szCs w:val="24"/>
        </w:rPr>
        <w:t>(A,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4E9">
        <w:rPr>
          <w:rFonts w:ascii="Times New Roman" w:hAnsi="Times New Roman" w:cs="Times New Roman"/>
          <w:sz w:val="24"/>
          <w:szCs w:val="24"/>
        </w:rPr>
        <w:t xml:space="preserve">B) Bispecific T-cell engager molecules were generated using single chain fragment variables from </w:t>
      </w:r>
      <w:r w:rsidRPr="002C64E9">
        <w:rPr>
          <w:rFonts w:ascii="Times New Roman" w:eastAsia="Malgun Gothic" w:hAnsi="Times New Roman" w:cs="Times New Roman"/>
          <w:sz w:val="24"/>
          <w:szCs w:val="24"/>
        </w:rPr>
        <w:t>α</w:t>
      </w:r>
      <w:r w:rsidRPr="002C64E9">
        <w:rPr>
          <w:rFonts w:ascii="Times New Roman" w:hAnsi="Times New Roman" w:cs="Times New Roman"/>
          <w:sz w:val="24"/>
          <w:szCs w:val="24"/>
        </w:rPr>
        <w:t xml:space="preserve"> cluster of differentiation (CD)3ε (OKT3) and </w:t>
      </w:r>
      <w:r w:rsidRPr="002C64E9">
        <w:rPr>
          <w:rFonts w:ascii="Times New Roman" w:eastAsia="Malgun Gothic" w:hAnsi="Times New Roman" w:cs="Times New Roman"/>
          <w:sz w:val="24"/>
          <w:szCs w:val="24"/>
        </w:rPr>
        <w:t>α</w:t>
      </w:r>
      <w:r w:rsidRPr="002C64E9">
        <w:t xml:space="preserve"> </w:t>
      </w:r>
      <w:r w:rsidRPr="002C64E9">
        <w:rPr>
          <w:rFonts w:ascii="Times New Roman" w:eastAsia="Malgun Gothic" w:hAnsi="Times New Roman" w:cs="Times New Roman"/>
          <w:sz w:val="24"/>
          <w:szCs w:val="24"/>
        </w:rPr>
        <w:t>programmed death-ligand 1 (</w:t>
      </w:r>
      <w:r w:rsidRPr="002C64E9">
        <w:rPr>
          <w:rFonts w:ascii="Times New Roman" w:hAnsi="Times New Roman" w:cs="Times New Roman"/>
          <w:sz w:val="24"/>
          <w:szCs w:val="24"/>
        </w:rPr>
        <w:t>PD-L1) antibodies (KL001-13) and were linked with the ‘GGGGS’ linker. V</w:t>
      </w:r>
      <w:r w:rsidRPr="002C64E9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2C64E9">
        <w:rPr>
          <w:rFonts w:ascii="Times New Roman" w:hAnsi="Times New Roman" w:cs="Times New Roman"/>
          <w:sz w:val="24"/>
          <w:szCs w:val="24"/>
        </w:rPr>
        <w:t>/VL, variable light chain; V</w:t>
      </w:r>
      <w:r w:rsidRPr="002C64E9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2C64E9">
        <w:rPr>
          <w:rFonts w:ascii="Times New Roman" w:hAnsi="Times New Roman" w:cs="Times New Roman"/>
          <w:sz w:val="24"/>
          <w:szCs w:val="24"/>
        </w:rPr>
        <w:t xml:space="preserve">/VH, variable heavy chain;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hBsTE</w:t>
      </w:r>
      <w:proofErr w:type="spellEnd"/>
      <w:r w:rsidRPr="002C64E9">
        <w:rPr>
          <w:rFonts w:ascii="Times New Roman" w:hAnsi="Times New Roman" w:cs="Times New Roman"/>
          <w:sz w:val="24"/>
          <w:szCs w:val="24"/>
        </w:rPr>
        <w:t xml:space="preserve">, human </w:t>
      </w:r>
      <w:proofErr w:type="spellStart"/>
      <w:r w:rsidRPr="002C64E9">
        <w:rPr>
          <w:rFonts w:ascii="Times New Roman" w:hAnsi="Times New Roman" w:cs="Times New Roman"/>
          <w:sz w:val="24"/>
          <w:szCs w:val="24"/>
        </w:rPr>
        <w:t>BsTE</w:t>
      </w:r>
      <w:proofErr w:type="spellEnd"/>
    </w:p>
    <w:p w:rsidR="009C0A1C" w:rsidRPr="00B253FA" w:rsidRDefault="009C0A1C" w:rsidP="009C0A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C0A1C" w:rsidRDefault="009C0A1C" w:rsidP="009C0A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D2559" w:rsidRDefault="00D33294">
      <w:r w:rsidRPr="00D33294">
        <w:lastRenderedPageBreak/>
        <w:drawing>
          <wp:inline distT="0" distB="0" distL="0" distR="0" wp14:anchorId="27295D68" wp14:editId="60EB4165">
            <wp:extent cx="5731510" cy="44329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3294">
        <w:drawing>
          <wp:inline distT="0" distB="0" distL="0" distR="0" wp14:anchorId="223ABA7C" wp14:editId="7BFC641F">
            <wp:extent cx="5731510" cy="37903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3294">
        <w:lastRenderedPageBreak/>
        <w:drawing>
          <wp:inline distT="0" distB="0" distL="0" distR="0" wp14:anchorId="2FB4CA9B" wp14:editId="6C4C0C3E">
            <wp:extent cx="5731510" cy="363918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3294">
        <w:drawing>
          <wp:inline distT="0" distB="0" distL="0" distR="0" wp14:anchorId="1F48A1F7" wp14:editId="65709D51">
            <wp:extent cx="5731510" cy="35286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3294">
        <w:lastRenderedPageBreak/>
        <w:drawing>
          <wp:inline distT="0" distB="0" distL="0" distR="0" wp14:anchorId="59D1B6E9" wp14:editId="2AE2E460">
            <wp:extent cx="5731510" cy="367284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1C"/>
    <w:rsid w:val="000A0336"/>
    <w:rsid w:val="000A21E4"/>
    <w:rsid w:val="0012544F"/>
    <w:rsid w:val="00587DB3"/>
    <w:rsid w:val="006D3998"/>
    <w:rsid w:val="007D2559"/>
    <w:rsid w:val="00843091"/>
    <w:rsid w:val="00963E44"/>
    <w:rsid w:val="009C0A1C"/>
    <w:rsid w:val="00B611D6"/>
    <w:rsid w:val="00D33294"/>
    <w:rsid w:val="00F9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2204D7-D05E-49E5-B8B8-99AA0BDE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Ragasutha  Ramalingam</dc:creator>
  <cp:keywords/>
  <dc:description/>
  <cp:lastModifiedBy>Niraanjan Raj Sathiyanarayanan</cp:lastModifiedBy>
  <cp:revision>2</cp:revision>
  <dcterms:created xsi:type="dcterms:W3CDTF">2024-07-19T07:27:00Z</dcterms:created>
  <dcterms:modified xsi:type="dcterms:W3CDTF">2024-07-20T03:47:00Z</dcterms:modified>
</cp:coreProperties>
</file>