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/>
          <w:bCs/>
          <w:kern w:val="2"/>
          <w:sz w:val="21"/>
          <w:szCs w:val="21"/>
          <w:lang w:val="en-US" w:eastAsia="zh-CN" w:bidi="ar-SA"/>
        </w:rPr>
        <w:t xml:space="preserve">Supplementary Table 1. 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1"/>
          <w:lang w:val="en-US" w:eastAsia="zh-CN" w:bidi="ar-SA"/>
        </w:rPr>
        <w:t>The detailed dose and usage of drugs in neoadjuvant regimens</w:t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1"/>
          <w:szCs w:val="21"/>
          <w:lang w:val="en-US" w:eastAsia="zh-CN" w:bidi="ar-SA"/>
        </w:rPr>
        <w:t>.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3"/>
        <w:gridCol w:w="1546"/>
        <w:gridCol w:w="2152"/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Type</w:t>
            </w:r>
          </w:p>
        </w:tc>
        <w:tc>
          <w:tcPr>
            <w:tcW w:w="90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Drugs</w:t>
            </w:r>
          </w:p>
        </w:tc>
        <w:tc>
          <w:tcPr>
            <w:tcW w:w="126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Dose</w:t>
            </w:r>
          </w:p>
        </w:tc>
        <w:tc>
          <w:tcPr>
            <w:tcW w:w="137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Usage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PD-1 inhibitors</w:t>
            </w:r>
          </w:p>
        </w:tc>
        <w:tc>
          <w:tcPr>
            <w:tcW w:w="90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Camrelizumab</w:t>
            </w:r>
          </w:p>
        </w:tc>
        <w:tc>
          <w:tcPr>
            <w:tcW w:w="126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200 mg</w:t>
            </w:r>
          </w:p>
        </w:tc>
        <w:tc>
          <w:tcPr>
            <w:tcW w:w="137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Pembrolizumab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200 mg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Sintilimab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200 mg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Tislelizumab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200 mg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Toripalimab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240 mg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Penpulimab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200 mg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Nivolumab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360 mg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paclitaxel-based drugs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Paclitaxel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175 mg/m2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Nab-paclitaxel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240 mg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Docetaxel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75 mg/m2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platinum-based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drugs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Carboplatin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an area under the curve of 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Cisplatin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50 mg/m2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fluoropyrimidine-based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drugs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Capecitabine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1125 mg/m2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 to 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S1</w:t>
            </w:r>
          </w:p>
        </w:tc>
        <w:tc>
          <w:tcPr>
            <w:tcW w:w="12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At a dose of 40 mg/m2</w:t>
            </w:r>
          </w:p>
        </w:tc>
        <w:tc>
          <w:tcPr>
            <w:tcW w:w="137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Every 3 weeks on day 1 to 14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-SA"/>
        </w:rPr>
        <w:t xml:space="preserve">Supplementary Table 2.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-SA"/>
        </w:rPr>
        <w:t>Summary of treatment failure patterns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-SA"/>
        </w:rPr>
        <w:t>.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8"/>
        <w:gridCol w:w="1806"/>
        <w:gridCol w:w="1938"/>
        <w:gridCol w:w="2650"/>
        <w:gridCol w:w="1181"/>
        <w:gridCol w:w="2647"/>
        <w:gridCol w:w="12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Failure patterns</w:t>
            </w:r>
          </w:p>
        </w:tc>
        <w:tc>
          <w:tcPr>
            <w:tcW w:w="647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Short-interval group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(n=91)</w:t>
            </w:r>
          </w:p>
        </w:tc>
        <w:tc>
          <w:tcPr>
            <w:tcW w:w="694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Long-interval group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(n=61)</w:t>
            </w:r>
          </w:p>
        </w:tc>
        <w:tc>
          <w:tcPr>
            <w:tcW w:w="1372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Before adjust</w:t>
            </w:r>
          </w:p>
        </w:tc>
        <w:tc>
          <w:tcPr>
            <w:tcW w:w="1393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After adjust*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47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4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OR (95%CI)</w:t>
            </w:r>
          </w:p>
        </w:tc>
        <w:tc>
          <w:tcPr>
            <w:tcW w:w="42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value</w:t>
            </w:r>
          </w:p>
        </w:tc>
        <w:tc>
          <w:tcPr>
            <w:tcW w:w="948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OR (95%CI)</w:t>
            </w:r>
          </w:p>
        </w:tc>
        <w:tc>
          <w:tcPr>
            <w:tcW w:w="445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Regional/local</w:t>
            </w:r>
          </w:p>
        </w:tc>
        <w:tc>
          <w:tcPr>
            <w:tcW w:w="6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 (2.20%)</w:t>
            </w: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4 (6.56%)</w:t>
            </w:r>
          </w:p>
        </w:tc>
        <w:tc>
          <w:tcPr>
            <w:tcW w:w="9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3.123 (0.703-16.710)</w:t>
            </w:r>
          </w:p>
        </w:tc>
        <w:tc>
          <w:tcPr>
            <w:tcW w:w="4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0.219</w:t>
            </w:r>
          </w:p>
        </w:tc>
        <w:tc>
          <w:tcPr>
            <w:tcW w:w="9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4.016 (0.469-34.414)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0.205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istant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5 (5.49%)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6 (9.84%)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1.876 (0.514-5.730)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0.350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1.686 (0.343-8.292)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0.520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oth</w:t>
            </w:r>
          </w:p>
        </w:tc>
        <w:tc>
          <w:tcPr>
            <w:tcW w:w="64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 (2.20%)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 (1.64%)</w:t>
            </w:r>
          </w:p>
        </w:tc>
        <w:tc>
          <w:tcPr>
            <w:tcW w:w="9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0.742 (0.050-6.500)</w:t>
            </w:r>
          </w:p>
        </w:tc>
        <w:tc>
          <w:tcPr>
            <w:tcW w:w="4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1.000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0.403 (0.010-16.548)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beforeAutospacing="0" w:after="100" w:afterAutospacing="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0.632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*The multivariate logistic regression model adjusted </w:t>
      </w:r>
      <w:r>
        <w:rPr>
          <w:rFonts w:hint="default" w:ascii="Times New Roman" w:hAnsi="Times New Roman" w:cs="Times New Roman"/>
          <w:sz w:val="24"/>
          <w:szCs w:val="24"/>
        </w:rPr>
        <w:t>age, sex,</w:t>
      </w:r>
      <w:r>
        <w:rPr>
          <w:rFonts w:hint="default" w:ascii="Times New Roman" w:hAnsi="Times New Roman" w:cs="Times New Roman"/>
          <w:lang w:val="en-US" w:eastAsia="zh-CN"/>
        </w:rPr>
        <w:t xml:space="preserve"> tumor location, differentiation, smoking history, alcohol consumption history, ECOG performance status, clinical T stage, clinical N stage, clinical TNM stage, cycles of neoadjuvant treatment and the regimen of chemotherapy.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66360" cy="1459865"/>
            <wp:effectExtent l="0" t="0" r="5715" b="6985"/>
            <wp:docPr id="1" name="图片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Figure 1.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The regimen of neoadjuvant treatment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a) The regimen of PD-1 inhibitors in the total cohort. b) The regimen of chemotherapy in the total cohort.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2MDUzNjg4ZTI0OTVlMjY5NzE3YmRhY2U4ZTFlMjUifQ=="/>
  </w:docVars>
  <w:rsids>
    <w:rsidRoot w:val="3A2E7685"/>
    <w:rsid w:val="06DE10F9"/>
    <w:rsid w:val="095949CE"/>
    <w:rsid w:val="0BBF6171"/>
    <w:rsid w:val="3A2E7685"/>
    <w:rsid w:val="56F226D9"/>
    <w:rsid w:val="59E452B4"/>
    <w:rsid w:val="77EF6453"/>
    <w:rsid w:val="79A8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2024-04-24T01:00:00Z</dcterms:created>
  <dc:creator>张晓敏</dc:creator>
  <cp:lastModifiedBy>张晓敏</cp:lastModifiedBy>
  <dcterms:modified xsi:type="dcterms:W3CDTF">2024-04-24T12:41:54Z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27236CAA43A94EDEB528BADD89EE47D3_11</vt:lpwstr>
  </property>
</Properties>
</file>