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D476F">
      <w:pPr>
        <w:rPr>
          <w:rFonts w:ascii="Times New Roman" w:hAnsi="Times New Roman"/>
          <w:b/>
          <w:sz w:val="28"/>
          <w:szCs w:val="28"/>
        </w:rPr>
      </w:pPr>
      <w:bookmarkStart w:id="0" w:name="_Toc80639845"/>
      <w:bookmarkEnd w:id="0"/>
      <w:r>
        <w:rPr>
          <w:rFonts w:ascii="Times New Roman" w:hAnsi="Times New Roman"/>
          <w:b/>
          <w:sz w:val="28"/>
          <w:szCs w:val="28"/>
        </w:rPr>
        <w:t>Supplementary Materials</w:t>
      </w:r>
    </w:p>
    <w:p w14:paraId="0644B7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2C7291CB">
      <w:pPr>
        <w:shd w:val="clear" w:color="auto" w:fill="FFFFFF"/>
        <w:spacing w:line="480" w:lineRule="auto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  <w:szCs w:val="24"/>
        </w:rPr>
        <w:t>Metastatic sites of baseline as predictors in Recurrent or Metastatic Nasopharyngeal Carcinoma Treated with Anti-PD-L1 therapy: A Secondary Analysis of Multicenter, Single-arm, Phase II Study (KL-A167)</w:t>
      </w:r>
    </w:p>
    <w:p w14:paraId="45793BEC">
      <w:pPr>
        <w:rPr>
          <w:rFonts w:hint="eastAsia"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14:paraId="7068F7E7">
      <w:pPr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Table</w:t>
      </w:r>
      <w:r>
        <w:rPr>
          <w:rFonts w:hint="eastAsia" w:ascii="Times New Roman" w:hAnsi="Times New Roman"/>
          <w:sz w:val="28"/>
          <w:szCs w:val="28"/>
        </w:rPr>
        <w:t xml:space="preserve"> 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legends</w:t>
      </w:r>
    </w:p>
    <w:p w14:paraId="14225D08">
      <w:pPr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24005134">
      <w:pPr>
        <w:pStyle w:val="2"/>
        <w:rPr>
          <w:rFonts w:hint="eastAsia" w:eastAsia="等线"/>
          <w:b w:val="0"/>
          <w:bCs w:val="0"/>
          <w:sz w:val="24"/>
          <w:szCs w:val="24"/>
          <w:lang w:val="en-US" w:eastAsia="zh-CN"/>
        </w:rPr>
      </w:pPr>
      <w:r>
        <w:rPr>
          <w:sz w:val="24"/>
          <w:szCs w:val="24"/>
        </w:rPr>
        <w:t xml:space="preserve">Table S1. </w:t>
      </w:r>
      <w:r>
        <w:rPr>
          <w:b w:val="0"/>
          <w:bCs w:val="0"/>
          <w:sz w:val="24"/>
          <w:szCs w:val="24"/>
        </w:rPr>
        <w:t>Patient enrollment and participating sites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.</w:t>
      </w:r>
    </w:p>
    <w:p w14:paraId="691CD8A1">
      <w:pPr>
        <w:rPr>
          <w:rFonts w:hint="eastAsia"/>
        </w:rPr>
      </w:pPr>
    </w:p>
    <w:p w14:paraId="6C487872">
      <w:pPr>
        <w:pStyle w:val="2"/>
        <w:rPr>
          <w:rFonts w:hint="eastAsia"/>
          <w:sz w:val="24"/>
          <w:szCs w:val="24"/>
        </w:rPr>
      </w:pPr>
      <w:r>
        <w:rPr>
          <w:sz w:val="24"/>
          <w:szCs w:val="24"/>
        </w:rPr>
        <w:t xml:space="preserve">Table S2 </w:t>
      </w:r>
      <w:r>
        <w:rPr>
          <w:b w:val="0"/>
          <w:bCs w:val="0"/>
          <w:sz w:val="24"/>
          <w:szCs w:val="24"/>
        </w:rPr>
        <w:t xml:space="preserve">Previous chemotherapy drugs used for advanced disease </w:t>
      </w:r>
      <w:r>
        <w:rPr>
          <w:rFonts w:hint="eastAsia"/>
          <w:b w:val="0"/>
          <w:bCs w:val="0"/>
          <w:sz w:val="24"/>
          <w:szCs w:val="24"/>
        </w:rPr>
        <w:t>in</w:t>
      </w:r>
      <w:r>
        <w:rPr>
          <w:b w:val="0"/>
          <w:bCs w:val="0"/>
          <w:sz w:val="24"/>
          <w:szCs w:val="24"/>
        </w:rPr>
        <w:t xml:space="preserve"> the ITT sample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.</w:t>
      </w:r>
      <w:r>
        <w:rPr>
          <w:b w:val="0"/>
          <w:bCs w:val="0"/>
          <w:sz w:val="24"/>
          <w:szCs w:val="24"/>
        </w:rPr>
        <w:t>(n=153)</w:t>
      </w:r>
    </w:p>
    <w:p w14:paraId="3873120C">
      <w:pPr>
        <w:spacing w:line="480" w:lineRule="auto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>Table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 xml:space="preserve">S3 </w:t>
      </w:r>
      <w:r>
        <w:rPr>
          <w:rFonts w:hint="eastAsia" w:ascii="Times New Roman" w:hAnsi="Times New Roman" w:eastAsia="Microsoft YaHei UI Light"/>
          <w:kern w:val="0"/>
          <w:sz w:val="24"/>
          <w:szCs w:val="24"/>
        </w:rPr>
        <w:t>Cox</w:t>
      </w:r>
      <w:r>
        <w:rPr>
          <w:rFonts w:ascii="Times New Roman" w:hAnsi="Times New Roman" w:eastAsia="Microsoft JhengHei UI"/>
          <w:sz w:val="24"/>
          <w:szCs w:val="24"/>
        </w:rPr>
        <w:t xml:space="preserve"> analysis on </w:t>
      </w:r>
      <w:r>
        <w:rPr>
          <w:rFonts w:hint="eastAsia" w:ascii="Times New Roman" w:hAnsi="Times New Roman"/>
          <w:sz w:val="24"/>
          <w:szCs w:val="24"/>
        </w:rPr>
        <w:t>PFS.</w:t>
      </w:r>
    </w:p>
    <w:p w14:paraId="245FBC08">
      <w:pPr>
        <w:spacing w:line="480" w:lineRule="auto"/>
        <w:rPr>
          <w:rFonts w:hint="eastAsia" w:ascii="Times New Roman" w:hAnsi="Times New Roman" w:eastAsia="宋体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>Table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 xml:space="preserve">S4 </w:t>
      </w:r>
      <w:r>
        <w:rPr>
          <w:rFonts w:hint="eastAsia" w:ascii="Times New Roman" w:hAnsi="Times New Roman" w:eastAsia="Microsoft YaHei UI Light"/>
          <w:kern w:val="0"/>
          <w:sz w:val="24"/>
          <w:szCs w:val="24"/>
        </w:rPr>
        <w:t>Cox</w:t>
      </w:r>
      <w:r>
        <w:rPr>
          <w:rFonts w:ascii="Times New Roman" w:hAnsi="Times New Roman" w:eastAsia="Microsoft JhengHei UI"/>
          <w:sz w:val="24"/>
          <w:szCs w:val="24"/>
        </w:rPr>
        <w:t xml:space="preserve"> analysis on OS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.</w:t>
      </w:r>
    </w:p>
    <w:p w14:paraId="70CDAA2A">
      <w:pPr>
        <w:spacing w:line="480" w:lineRule="auto"/>
        <w:rPr>
          <w:rFonts w:hint="eastAsia" w:ascii="Times New Roman" w:hAnsi="Times New Roman"/>
          <w:sz w:val="24"/>
          <w:szCs w:val="24"/>
        </w:rPr>
      </w:pPr>
    </w:p>
    <w:p w14:paraId="6DD400D4">
      <w:pPr>
        <w:spacing w:line="480" w:lineRule="auto"/>
        <w:rPr>
          <w:rFonts w:hint="eastAsia" w:ascii="Times New Roman" w:hAnsi="Times New Roman"/>
          <w:sz w:val="24"/>
          <w:szCs w:val="24"/>
        </w:rPr>
      </w:pPr>
    </w:p>
    <w:p w14:paraId="5707AAA4">
      <w:pPr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Fig 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FF0000"/>
          <w:sz w:val="28"/>
          <w:szCs w:val="28"/>
        </w:rPr>
        <w:t>legends</w:t>
      </w:r>
    </w:p>
    <w:p w14:paraId="0D449048">
      <w:pPr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342B1CB4">
      <w:pP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Subgroup analysis with Cox regression analysis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of 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>PFS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.</w:t>
      </w:r>
    </w:p>
    <w:p w14:paraId="4259F4A0">
      <w:pPr>
        <w:rPr>
          <w:rFonts w:hint="eastAsia" w:ascii="Times New Roman" w:hAnsi="Times New Roman" w:eastAsia="等线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_M means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</w:rPr>
        <w:t xml:space="preserve">. For example, Bone_M=Bone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53BDEA67">
      <w:pPr>
        <w:rPr>
          <w:rFonts w:ascii="Times New Roman" w:hAnsi="Times New Roman"/>
          <w:b/>
          <w:bCs/>
          <w:color w:val="FF0000"/>
          <w:sz w:val="28"/>
          <w:szCs w:val="28"/>
        </w:rPr>
      </w:pPr>
    </w:p>
    <w:p w14:paraId="79998E05">
      <w:pP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Subgroup analysis with Cox regression analysis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of OS.</w:t>
      </w:r>
    </w:p>
    <w:p w14:paraId="0C36FA23">
      <w:pPr>
        <w:rPr>
          <w:rFonts w:hint="eastAsia" w:ascii="Times New Roman" w:hAnsi="Times New Roman" w:eastAsia="等线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_M means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</w:rPr>
        <w:t xml:space="preserve">. For example, Bone_M=Bone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1F6D5653">
      <w:pPr>
        <w:rPr>
          <w:rFonts w:ascii="Times New Roman" w:hAnsi="Times New Roman"/>
          <w:sz w:val="24"/>
          <w:szCs w:val="24"/>
        </w:rPr>
      </w:pPr>
    </w:p>
    <w:p w14:paraId="4CFC3581">
      <w:pPr>
        <w:rPr>
          <w:rFonts w:ascii="Times New Roman" w:hAnsi="Times New Roman"/>
          <w:sz w:val="24"/>
          <w:szCs w:val="24"/>
        </w:rPr>
      </w:pPr>
    </w:p>
    <w:p w14:paraId="72BBAA9B">
      <w:pPr>
        <w:pStyle w:val="12"/>
        <w:spacing w:before="0"/>
        <w:rPr>
          <w:rFonts w:hint="eastAsia" w:ascii="Times New Roman Regular" w:hAnsi="Times New Roman Regular"/>
          <w:sz w:val="20"/>
          <w:szCs w:val="20"/>
        </w:rPr>
      </w:pPr>
    </w:p>
    <w:p w14:paraId="759C0DB0">
      <w:pPr>
        <w:rPr>
          <w:rFonts w:hint="eastAsia" w:ascii="Times New Roman Regular" w:hAnsi="Times New Roman Regular"/>
          <w:sz w:val="20"/>
          <w:szCs w:val="20"/>
        </w:rPr>
      </w:pPr>
    </w:p>
    <w:p w14:paraId="26CDC2F6">
      <w:pPr>
        <w:rPr>
          <w:rFonts w:hint="eastAsia" w:ascii="Times New Roman Regular" w:hAnsi="Times New Roman Regular"/>
          <w:sz w:val="20"/>
          <w:szCs w:val="20"/>
        </w:rPr>
      </w:pPr>
    </w:p>
    <w:p w14:paraId="39CE09A6">
      <w:pPr>
        <w:rPr>
          <w:rFonts w:hint="eastAsia" w:ascii="Times New Roman Regular" w:hAnsi="Times New Roman Regular"/>
          <w:sz w:val="20"/>
          <w:szCs w:val="20"/>
        </w:rPr>
      </w:pPr>
    </w:p>
    <w:p w14:paraId="2702C89B">
      <w:bookmarkStart w:id="1" w:name="_Toc874227452"/>
      <w:bookmarkEnd w:id="1"/>
      <w:r>
        <w:rPr>
          <w:rFonts w:hint="eastAsia"/>
        </w:rPr>
        <w:t xml:space="preserve"> </w:t>
      </w:r>
    </w:p>
    <w:p w14:paraId="48B9EB14">
      <w:pPr>
        <w:pStyle w:val="2"/>
        <w:rPr>
          <w:rFonts w:hint="eastAsia" w:eastAsia="等线"/>
          <w:b w:val="0"/>
          <w:bCs w:val="0"/>
          <w:sz w:val="24"/>
          <w:szCs w:val="24"/>
          <w:lang w:val="en-US" w:eastAsia="zh-CN"/>
        </w:rPr>
      </w:pPr>
      <w:r>
        <w:rPr>
          <w:sz w:val="24"/>
          <w:szCs w:val="24"/>
        </w:rPr>
        <w:t xml:space="preserve">Table S1. </w:t>
      </w:r>
      <w:r>
        <w:rPr>
          <w:b w:val="0"/>
          <w:bCs w:val="0"/>
          <w:sz w:val="24"/>
          <w:szCs w:val="24"/>
        </w:rPr>
        <w:t>Patient enrollment and participating sites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3178"/>
        <w:gridCol w:w="1420"/>
        <w:gridCol w:w="1558"/>
        <w:gridCol w:w="1051"/>
      </w:tblGrid>
      <w:tr w14:paraId="3A69E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9710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Site number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9A44D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Site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30FBF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Location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F861E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Principal Investigator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7D2F6">
            <w:pPr>
              <w:jc w:val="center"/>
              <w:rPr>
                <w:rFonts w:ascii="Times New Roman" w:hAnsi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No. of patients enrolled</w:t>
            </w:r>
          </w:p>
        </w:tc>
      </w:tr>
      <w:tr w14:paraId="5DEB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DACB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01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4C628">
            <w:pPr>
              <w:jc w:val="left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National Cancer Center and National Clinical Research Center for Cancer and Cancer Hospital, Chinese Academy of Medical Sciences &amp; Peking Union Medical College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4455E">
            <w:pPr>
              <w:jc w:val="center"/>
              <w:rPr>
                <w:rFonts w:ascii="Times New Roman" w:hAnsi="Times New Roman"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Beijing,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A49F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Yuankai Shi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F0C6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</w:tr>
      <w:tr w14:paraId="2EBB5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DC8AC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02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8216FC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Linyi Cancer Hospiyal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3E40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kern w:val="0"/>
                <w:sz w:val="20"/>
                <w:szCs w:val="20"/>
              </w:rPr>
              <w:t>Linyi,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EBFD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Jianhua Shi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587C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4701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3F1A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44E02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Tianjin Medical University Cancer Institute and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2CB8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Tianjin,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A8D83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Peiguo Wang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EB99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376C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FBD76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04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86440D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Fourth Hospital of Hebei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7803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Shijiazhuang,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BB563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Shanghua Jing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C2D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5DBE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70461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05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8DDD2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Affiliated Cancer Hospital of Harbin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6C901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Harbin,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90A4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Qingyuan Zhang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E0D47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0067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2503D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06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800D5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Liaoning Cancer Hospital </w:t>
            </w:r>
            <w:r>
              <w:rPr>
                <w:kern w:val="0"/>
                <w:sz w:val="20"/>
                <w:szCs w:val="20"/>
              </w:rPr>
              <w:t>＆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Institute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191E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Shenyang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DB30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Xia Li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107C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</w:tr>
      <w:tr w14:paraId="48D08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EE24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07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46EC2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Hospital of Jilin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BB8E1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Changchun,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ADDE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Jiuwei Cui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FF70D3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7DD90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AFDE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08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CA743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Union Hospital, Tongji Medical College, Huazhong University of Science and Technology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1EA8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Wuhan,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5DFE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Kunyu Yang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8820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01C1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6823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09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2F58F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with Nanjing Medical University/Jiangsu Province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CB45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Nanjing,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4A706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Renhua Guo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F92DD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09755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488C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BB7BD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Nantong tumor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2714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Nantong,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E1014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Jing Cai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7F1A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</w:tr>
      <w:tr w14:paraId="32B7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17A7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182393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Hospital, Zhejiang University School of Medicine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A6EB1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CA03F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Yulong zheng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B5B3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6</w:t>
            </w:r>
          </w:p>
        </w:tc>
      </w:tr>
      <w:tr w14:paraId="7017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6A3A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CAD42E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Shanghai General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2F82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Shanghai,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3D26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Qi Li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8671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328C6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6112B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49361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Wenzhou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1FBA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Wenzhou,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B8260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Xuebang Zhang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0852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4E7A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8CA4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9CDC1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Affiliated hospital of Guangdong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AF4FD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Zhanjiang,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804E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Zhonghua Yu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A77E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</w:tr>
      <w:tr w14:paraId="60000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E322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7525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Fudan University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7949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Shanghai,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1EF7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Xiaojian Liu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67942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</w:tr>
      <w:tr w14:paraId="30852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B346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9D1A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General Hospital of Southern Theatre Command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6652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E514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Xie Bo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A810E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</w:tr>
      <w:tr w14:paraId="6A6A1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4735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57B7D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 Guangzhou University of Chinese Medicine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A8E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F840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Lizhu Lin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BE2A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191E7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D2A0B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19D2B8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Fujian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2E23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Fuzhou,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BB3E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Jinsheng Hong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2CD9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6F102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8AEF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DB814F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Fujian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5382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Fuzhou,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339F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Sufang Qiu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EEFF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</w:p>
        </w:tc>
      </w:tr>
      <w:tr w14:paraId="175B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8CD2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C991B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Jiangxi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D45A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Nanchang,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1006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Jingao Li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56E8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10</w:t>
            </w:r>
          </w:p>
        </w:tc>
      </w:tr>
      <w:tr w14:paraId="43B69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F048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53067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Zhangzhou Municipal Hospital of Fujian Province/Zhangzhou Affiliated Hospital of Fujian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B6CF6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Zhangzhou,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4B7CD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Jianli Huang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E64AE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5AE45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2547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D355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He Nan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D92B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zhengzhou,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C52FA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Hui Wu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FD9D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064F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494D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80C5A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West China Hospital, Sichuan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D884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Chengdu,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C033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Xingchen Peng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2F6E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14</w:t>
            </w:r>
          </w:p>
        </w:tc>
      </w:tr>
      <w:tr w14:paraId="06CE1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D634D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9B90DB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Chongqing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987B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Chongqing,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1C95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Xiaoping Chen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AEB0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</w:tr>
      <w:tr w14:paraId="7C427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4D4C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A5710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Yunnan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DB31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Kunming,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4035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Xiaojiang Li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793F9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2FA1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5779F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BA007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Kunming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F9223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Kunming,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1072A">
            <w:pPr>
              <w:jc w:val="center"/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Rongqing LI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BF86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</w:tr>
      <w:tr w14:paraId="641E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CA89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D67C8F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Affiliated Tumor Hospital of Guizhou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063A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Guiyang,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1527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Jin Feng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0C673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6F76B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0566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309308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Guangxi Cancer Prevention and Treatment Institution/Guangxi Medical University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AF5E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Nanning,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B88B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Aiping Zeng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AF77A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11</w:t>
            </w:r>
          </w:p>
        </w:tc>
      </w:tr>
      <w:tr w14:paraId="7FFB1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C0C0B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36E55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people's hospital of Guangxi Zhuang Aotonomous region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C6354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Nanning,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55C5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Shenhong Qu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6C7E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5</w:t>
            </w:r>
          </w:p>
        </w:tc>
      </w:tr>
      <w:tr w14:paraId="0CA1A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1B85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42257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Liuzhou worker's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946E8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Liuzhou,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1296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Ying Lu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F632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44F14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E21E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676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Hunan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AF988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Changsha,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614E5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Wei Wang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96A52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4BD1B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4990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ECDD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Xiangya  Hospital  Central South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ED259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Changsha,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B489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Yuxiang he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2721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3F9C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35288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4FA05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Second Affiliated Hospital of Nanchang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6DCC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Nanchang,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1D5E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Anwen Liu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03B5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</w:tr>
      <w:tr w14:paraId="07498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C6455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3427A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Shandong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7815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Jinan,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8FF8D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Limin Zhai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43ED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4B07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3DB6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C85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second affiliated Hospital of Dalian Medical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5F58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Dalian,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A5378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Xiuhua Sun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BCA2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</w:t>
            </w:r>
          </w:p>
        </w:tc>
      </w:tr>
      <w:tr w14:paraId="1AD39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4669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E9D83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Anhui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EE817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Hefei,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483C5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Changlu Hu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D6C1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  <w:tr w14:paraId="6326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5A50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39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4EB7E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The First Affiliated Hospital of Guangdong Pharmaceutical University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BF678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6946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Xintian Qin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30570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15</w:t>
            </w:r>
          </w:p>
        </w:tc>
      </w:tr>
      <w:tr w14:paraId="7DE52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E89C3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40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1C554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Yue Bei People's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2E6F9B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Shaoguan,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69496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Suming Pan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36003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8</w:t>
            </w:r>
          </w:p>
        </w:tc>
      </w:tr>
      <w:tr w14:paraId="6661E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C4C3A7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41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1E14D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Haikou People's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11011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Haikou,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5C3C0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Juan Meng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92864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2</w:t>
            </w:r>
          </w:p>
        </w:tc>
      </w:tr>
      <w:tr w14:paraId="55270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53A3C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42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756F2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Tongji Hospital, Tongji Medical College of HUST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7F4253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Wuhan,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1854E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  <w:t>Kunyu Yang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ED4B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3</w:t>
            </w:r>
          </w:p>
        </w:tc>
      </w:tr>
      <w:tr w14:paraId="174C6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36779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43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EDD082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Guangdong second provincial general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AD32F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Guangzhou,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0765D">
            <w:pPr>
              <w:jc w:val="center"/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Changqing Cai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BEF31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</w:t>
            </w:r>
          </w:p>
        </w:tc>
      </w:tr>
      <w:tr w14:paraId="551A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F2C72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44</w:t>
            </w:r>
          </w:p>
        </w:tc>
        <w:tc>
          <w:tcPr>
            <w:tcW w:w="3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DB816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Jiangsu Cancer Hospital</w:t>
            </w:r>
          </w:p>
        </w:tc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2AC5FA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Nanjing, China</w:t>
            </w:r>
          </w:p>
        </w:tc>
        <w:tc>
          <w:tcPr>
            <w:tcW w:w="15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0C180">
            <w:pPr>
              <w:jc w:val="center"/>
              <w:rPr>
                <w:rFonts w:ascii="Times New Roman" w:hAnsi="Times New Roman" w:eastAsia="微软雅黑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Xia He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29E649">
            <w:pPr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4</w:t>
            </w:r>
          </w:p>
        </w:tc>
      </w:tr>
    </w:tbl>
    <w:p w14:paraId="353D0A74">
      <w:pPr>
        <w:pStyle w:val="2"/>
      </w:pPr>
      <w:r>
        <w:t xml:space="preserve"> </w:t>
      </w:r>
    </w:p>
    <w:p w14:paraId="04376ADF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</w:p>
    <w:p w14:paraId="5711D589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</w:p>
    <w:p w14:paraId="03FABCA6">
      <w:pPr>
        <w:pStyle w:val="2"/>
        <w:rPr>
          <w:rFonts w:hint="eastAsia"/>
          <w:sz w:val="24"/>
          <w:szCs w:val="24"/>
        </w:rPr>
      </w:pPr>
      <w:bookmarkStart w:id="2" w:name="_Toc57672990"/>
      <w:bookmarkEnd w:id="2"/>
      <w:r>
        <w:rPr>
          <w:sz w:val="24"/>
          <w:szCs w:val="24"/>
        </w:rPr>
        <w:t xml:space="preserve">Table S2 </w:t>
      </w:r>
      <w:r>
        <w:rPr>
          <w:b w:val="0"/>
          <w:bCs w:val="0"/>
          <w:sz w:val="24"/>
          <w:szCs w:val="24"/>
        </w:rPr>
        <w:t xml:space="preserve">Previous chemotherapy drugs used for advanced disease </w:t>
      </w:r>
      <w:r>
        <w:rPr>
          <w:rFonts w:hint="eastAsia"/>
          <w:b w:val="0"/>
          <w:bCs w:val="0"/>
          <w:sz w:val="24"/>
          <w:szCs w:val="24"/>
        </w:rPr>
        <w:t>in</w:t>
      </w:r>
      <w:r>
        <w:rPr>
          <w:b w:val="0"/>
          <w:bCs w:val="0"/>
          <w:sz w:val="24"/>
          <w:szCs w:val="24"/>
        </w:rPr>
        <w:t xml:space="preserve"> the ITT sample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.</w:t>
      </w:r>
      <w:r>
        <w:rPr>
          <w:b w:val="0"/>
          <w:bCs w:val="0"/>
          <w:sz w:val="24"/>
          <w:szCs w:val="24"/>
        </w:rPr>
        <w:t>(n=153)</w:t>
      </w:r>
    </w:p>
    <w:tbl>
      <w:tblPr>
        <w:tblStyle w:val="5"/>
        <w:tblW w:w="6642" w:type="dxa"/>
        <w:tblInd w:w="93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481"/>
        <w:gridCol w:w="3161"/>
      </w:tblGrid>
      <w:tr w14:paraId="4E61DC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34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857C3E8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 xml:space="preserve">Previous chemotherapy drugs 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8A7CADD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n (%)</w:t>
            </w:r>
          </w:p>
        </w:tc>
      </w:tr>
      <w:tr w14:paraId="10D7AF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5" w:hRule="atLeast"/>
        </w:trPr>
        <w:tc>
          <w:tcPr>
            <w:tcW w:w="348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B7F6112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Cisplatin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73E745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130 (85.0)</w:t>
            </w:r>
          </w:p>
        </w:tc>
      </w:tr>
      <w:tr w14:paraId="7D7CF6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B6E1B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Gemcitabine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9D936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115 (75.1)</w:t>
            </w:r>
          </w:p>
        </w:tc>
      </w:tr>
      <w:tr w14:paraId="403E65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F3A22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Nedaplatin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9BE9C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106 (69.3)</w:t>
            </w:r>
          </w:p>
        </w:tc>
      </w:tr>
      <w:tr w14:paraId="2FCDAF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D0361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Docetaxel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1A689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101 (66.0)</w:t>
            </w:r>
          </w:p>
        </w:tc>
      </w:tr>
      <w:tr w14:paraId="7A9384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3ABBD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Tegafur gimeracil oteracil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14939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62 (40.5)</w:t>
            </w:r>
          </w:p>
        </w:tc>
      </w:tr>
      <w:tr w14:paraId="0DF1E5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5B400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5-fluorouracil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A8A4F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64 (41.8)</w:t>
            </w:r>
          </w:p>
        </w:tc>
      </w:tr>
      <w:tr w14:paraId="729725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1D457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Paclitaxel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BFD3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57 (37.3)</w:t>
            </w:r>
          </w:p>
        </w:tc>
      </w:tr>
      <w:tr w14:paraId="58050C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B6085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Capecitabine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5F91B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48 (31.4)</w:t>
            </w:r>
          </w:p>
        </w:tc>
      </w:tr>
      <w:tr w14:paraId="0CE8CF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FCC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Paclitaxel liposome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CCD97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23 (15.0)</w:t>
            </w:r>
          </w:p>
        </w:tc>
      </w:tr>
      <w:tr w14:paraId="45060E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5B36C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Carboplatin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118A7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22 (14.4)</w:t>
            </w:r>
          </w:p>
        </w:tc>
      </w:tr>
      <w:tr w14:paraId="6D3A28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FF7C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Lobaplatin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ED781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21 (13.7)</w:t>
            </w:r>
          </w:p>
        </w:tc>
      </w:tr>
      <w:tr w14:paraId="11D8E4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1CB79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Nab-paclitaxel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2A688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12 (7.8)</w:t>
            </w:r>
          </w:p>
        </w:tc>
      </w:tr>
      <w:tr w14:paraId="6B9C38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4B37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Vinorelbine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24C66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11 (7.2)</w:t>
            </w:r>
          </w:p>
        </w:tc>
      </w:tr>
      <w:tr w14:paraId="317D43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D970F1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Raltitrexed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7FA5B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11 (7.2)</w:t>
            </w:r>
          </w:p>
        </w:tc>
      </w:tr>
      <w:tr w14:paraId="3AC286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AB095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Tegafur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0FF1F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7 (4.60</w:t>
            </w:r>
          </w:p>
        </w:tc>
      </w:tr>
      <w:tr w14:paraId="2DC84A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D8891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Oxaliplatin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A172D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4 (2.6)</w:t>
            </w:r>
          </w:p>
        </w:tc>
      </w:tr>
      <w:tr w14:paraId="6905B7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3E3C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Ifosfamide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512F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3 (2.0)</w:t>
            </w:r>
          </w:p>
        </w:tc>
      </w:tr>
      <w:tr w14:paraId="0C1ED6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C7155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Cyclophosphamide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B61B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2 (1.3)</w:t>
            </w:r>
          </w:p>
        </w:tc>
      </w:tr>
      <w:tr w14:paraId="470383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7E476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Pirarubicin</w:t>
            </w:r>
          </w:p>
        </w:tc>
        <w:tc>
          <w:tcPr>
            <w:tcW w:w="31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6F595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2 (1.3)</w:t>
            </w:r>
          </w:p>
        </w:tc>
      </w:tr>
      <w:tr w14:paraId="4BFBC7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34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0A4EF4">
            <w:pPr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Doxorubicin liposomal</w:t>
            </w:r>
          </w:p>
        </w:tc>
        <w:tc>
          <w:tcPr>
            <w:tcW w:w="316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5D5F40">
            <w:pPr>
              <w:jc w:val="center"/>
              <w:rPr>
                <w:rFonts w:ascii="Times New Roman" w:hAnsi="Times New Roman"/>
                <w:bCs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70C0"/>
                <w:sz w:val="20"/>
                <w:szCs w:val="20"/>
              </w:rPr>
              <w:t>1 (0.7)</w:t>
            </w:r>
          </w:p>
        </w:tc>
      </w:tr>
    </w:tbl>
    <w:p w14:paraId="5115F27F">
      <w:pPr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Abbreviation: </w:t>
      </w:r>
      <w:r>
        <w:rPr>
          <w:rFonts w:hint="eastAsia" w:ascii="Times New Roman" w:hAnsi="Times New Roman"/>
          <w:sz w:val="20"/>
          <w:szCs w:val="20"/>
        </w:rPr>
        <w:t>ITT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hint="eastAsia" w:ascii="Times New Roman" w:hAnsi="Times New Roman"/>
          <w:sz w:val="20"/>
          <w:szCs w:val="20"/>
        </w:rPr>
        <w:t>intention-to-treat</w:t>
      </w:r>
    </w:p>
    <w:p w14:paraId="0819C000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</w:p>
    <w:p w14:paraId="03BE73A0">
      <w:pPr>
        <w:rPr>
          <w:rFonts w:hint="eastAsia"/>
          <w:sz w:val="20"/>
          <w:szCs w:val="20"/>
        </w:rPr>
      </w:pPr>
      <w:r>
        <w:rPr>
          <w:rFonts w:hint="eastAsia"/>
          <w:sz w:val="20"/>
          <w:szCs w:val="20"/>
        </w:rPr>
        <w:t xml:space="preserve"> </w:t>
      </w:r>
    </w:p>
    <w:p w14:paraId="46043B4A"/>
    <w:p w14:paraId="632B12CD"/>
    <w:p w14:paraId="7AC84258">
      <w:pPr>
        <w:spacing w:line="480" w:lineRule="auto"/>
        <w:rPr>
          <w:rFonts w:hint="eastAsia" w:ascii="Times New Roman" w:hAnsi="Times New Roman" w:eastAsia="等线"/>
          <w:b/>
          <w:bCs/>
          <w:sz w:val="24"/>
          <w:szCs w:val="24"/>
          <w:lang w:val="en-US" w:eastAsia="zh-CN"/>
        </w:rPr>
      </w:pP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>Table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>S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Microsoft YaHei UI Light"/>
          <w:b w:val="0"/>
          <w:bCs w:val="0"/>
          <w:kern w:val="0"/>
          <w:sz w:val="24"/>
          <w:szCs w:val="24"/>
        </w:rPr>
        <w:t xml:space="preserve">Univariate and multivariate </w:t>
      </w:r>
      <w:r>
        <w:rPr>
          <w:rFonts w:hint="eastAsia" w:ascii="Times New Roman" w:hAnsi="Times New Roman" w:eastAsia="Microsoft YaHei UI Light"/>
          <w:kern w:val="0"/>
          <w:sz w:val="24"/>
          <w:szCs w:val="24"/>
        </w:rPr>
        <w:t>Cox</w:t>
      </w:r>
      <w:r>
        <w:rPr>
          <w:rFonts w:ascii="Times New Roman" w:hAnsi="Times New Roman" w:eastAsia="Microsoft JhengHei UI"/>
          <w:sz w:val="24"/>
          <w:szCs w:val="24"/>
        </w:rPr>
        <w:t xml:space="preserve"> analysis on </w:t>
      </w:r>
      <w:r>
        <w:rPr>
          <w:rFonts w:hint="eastAsia" w:ascii="Times New Roman" w:hAnsi="Times New Roman"/>
          <w:sz w:val="24"/>
          <w:szCs w:val="24"/>
        </w:rPr>
        <w:t>PFS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34466B33">
      <w:pPr>
        <w:rPr>
          <w:rFonts w:hint="eastAsia"/>
        </w:rPr>
      </w:pPr>
    </w:p>
    <w:tbl>
      <w:tblPr>
        <w:tblStyle w:val="5"/>
        <w:tblW w:w="9462" w:type="dxa"/>
        <w:tblInd w:w="135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1656"/>
        <w:gridCol w:w="2223"/>
        <w:gridCol w:w="630"/>
        <w:gridCol w:w="2433"/>
        <w:gridCol w:w="240"/>
      </w:tblGrid>
      <w:tr w14:paraId="183830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6F0BB">
            <w:pPr>
              <w:rPr>
                <w:rFonts w:ascii="Calibri" w:hAnsi="Calibri" w:eastAsia="宋体"/>
                <w:sz w:val="24"/>
                <w:szCs w:val="24"/>
              </w:rPr>
            </w:pPr>
            <w:bookmarkStart w:id="3" w:name="_Hlk162798534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Variables</w:t>
            </w:r>
            <w:bookmarkEnd w:id="3"/>
          </w:p>
        </w:tc>
        <w:tc>
          <w:tcPr>
            <w:tcW w:w="387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143D9A63">
            <w:pPr>
              <w:spacing w:before="40" w:after="40"/>
              <w:ind w:left="40" w:right="40"/>
              <w:jc w:val="left"/>
              <w:rPr>
                <w:rFonts w:ascii="Times New Roman" w:hAnsi="Times New Roman" w:eastAsia="Microsoft YaHei UI Light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Microsoft YaHei UI Light"/>
                <w:kern w:val="0"/>
                <w:sz w:val="24"/>
                <w:szCs w:val="24"/>
              </w:rPr>
              <w:t>Univariate Analysis</w:t>
            </w:r>
          </w:p>
        </w:tc>
        <w:tc>
          <w:tcPr>
            <w:tcW w:w="3063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DE2CA">
            <w:pPr>
              <w:spacing w:before="40" w:after="40"/>
              <w:ind w:left="40" w:right="4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 w:eastAsia="Microsoft YaHei UI Light"/>
                <w:color w:val="000000"/>
                <w:kern w:val="0"/>
                <w:sz w:val="24"/>
                <w:szCs w:val="24"/>
              </w:rPr>
              <w:t>Multivariate Analysis</w:t>
            </w:r>
          </w:p>
        </w:tc>
      </w:tr>
      <w:tr w14:paraId="6B65A4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9462" w:type="dxa"/>
            <w:vMerge w:val="continue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2CBC11C">
            <w:pPr>
              <w:widowControl/>
              <w:jc w:val="left"/>
              <w:rPr>
                <w:rFonts w:ascii="Calibri" w:hAnsi="Calibri" w:eastAsia="宋体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2072">
            <w:pPr>
              <w:spacing w:before="40" w:after="40"/>
              <w:ind w:left="40" w:right="4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153F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HR (95%CI)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BE4D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CBB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HR (95%CI) </w:t>
            </w:r>
          </w:p>
        </w:tc>
      </w:tr>
      <w:tr w14:paraId="4A7643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ABB8F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00F9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65D2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8757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56E6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747772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B62BD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&lt;45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D4CF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5D5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F67F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66D0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7A697B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85D5D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AB2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0.063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A7BA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0.72 (0.51 ~ 1.02)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F110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31B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0.73 (0.51 ~ 1.05)</w:t>
            </w:r>
          </w:p>
        </w:tc>
      </w:tr>
      <w:tr w14:paraId="2533AB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E05EC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B59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69819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ABDA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220EF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4937BE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7B38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0BD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9EA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D77E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A3AA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7FE0BE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3E28B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FA4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0.590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E1D1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0.89 (0.58 ~ 1.36)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5B54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0.776 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AA70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0.94 (0.59 ~ 1.48)</w:t>
            </w:r>
          </w:p>
        </w:tc>
      </w:tr>
      <w:tr w14:paraId="7A171A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9EE58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ECOG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core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E268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F8B2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41CD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E2469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28D4A6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9E160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19F6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D0F9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4D3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8D495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6BA7CC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FE172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36EE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0.008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3B9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1.60 (1.13 ~ 2.27)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5486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0.019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3BE7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1.58 (1.08 ~ 2.32)</w:t>
            </w:r>
          </w:p>
        </w:tc>
      </w:tr>
      <w:tr w14:paraId="2A7025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6E680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Bone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metastasis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4936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2C76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20F1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0C5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606E3AC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14029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7F3B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2EF2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AB9A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741A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18C6B7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46F43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649D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0.030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A065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1.47 (1.04 ~ 2.08)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C2E0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0.760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178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1.07 (0.68 ~ 1.69)</w:t>
            </w:r>
          </w:p>
        </w:tc>
      </w:tr>
      <w:tr w14:paraId="55643D5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5E36B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Liver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BD8FF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52BE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3CBD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9C8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16C956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F459E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2A6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0EF2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49DC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18FB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41B2A7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B725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6329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8AF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1.97 (1.40 ~ 2.76)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8D93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0.018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74C3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1.67 (1.09 ~ 2.55)</w:t>
            </w:r>
          </w:p>
        </w:tc>
      </w:tr>
      <w:tr w14:paraId="4252F2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D0FB2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Lung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EA6B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2379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427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5465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66F568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0E657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D0F6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1D3F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B54F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A40F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7551D7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DA75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11BF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0.585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872B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0.90 (0.63 ~ 1.30)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DAD1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0.752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3F90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1.07 (0.70 ~ 1.65)</w:t>
            </w:r>
          </w:p>
        </w:tc>
      </w:tr>
      <w:tr w14:paraId="379141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44FD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Lymph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16A9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487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6333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E3C6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16A7B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F98AA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244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1104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22A0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A22AF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11B0D5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47FB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B598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0.549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0D40B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0.90 (0.65 ~ 1.26)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7FE0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0.319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C6E0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0.83 (0.57 ~ 1.20)</w:t>
            </w:r>
          </w:p>
        </w:tc>
      </w:tr>
      <w:tr w14:paraId="52B6AC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79C3F">
            <w:pPr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eastAsia="Microsoft JhengHei UI"/>
                <w:sz w:val="24"/>
                <w:szCs w:val="24"/>
              </w:rPr>
              <w:t>umber of metasta</w:t>
            </w:r>
            <w:r>
              <w:rPr>
                <w:rFonts w:hint="eastAsia" w:ascii="Times New Roman" w:hAnsi="Times New Roman"/>
                <w:sz w:val="24"/>
                <w:szCs w:val="24"/>
              </w:rPr>
              <w:t>ses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D15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A9FD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9DB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B584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372039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E963D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&lt;3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FF0A5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C9CF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ED51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BFA5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3F7EEB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8E6A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5B76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4E5D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1.93 (1.37 ~ 2.72)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2BEF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0.069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697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1.59 (0.96 ~ 2.61)</w:t>
            </w:r>
          </w:p>
        </w:tc>
      </w:tr>
      <w:tr w14:paraId="3C83C8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0B7ED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T stage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A329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2848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1547F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037C9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65FE02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DDB1D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T0-T2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407F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72968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AED9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F34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446F94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79799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T3-T4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451E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0.302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DBA5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0.81 (0.54 ~ 1.21)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1A77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0.421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C5F0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0.84 (0.54 ~ 1.29)</w:t>
            </w:r>
          </w:p>
        </w:tc>
      </w:tr>
      <w:tr w14:paraId="6E72CC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6131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Tx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A6DF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0.234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6DF5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0.78 (0.52 ~ 1.17)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117D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0.876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9936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0.95 (0.48 ~ 1.87)</w:t>
            </w:r>
          </w:p>
        </w:tc>
      </w:tr>
      <w:tr w14:paraId="7B34B4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1D6CE">
            <w:pPr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N stage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2F023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A8A84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AC32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90F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</w:tr>
      <w:tr w14:paraId="416884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D5FC4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N0-N2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5350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2795A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D5FC7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92E8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0AA15F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66774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N3-N4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6C6C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0.796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240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1.06 (0.67 ~ 1.70)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6055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0.672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2E5FD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1.11 (0.68 ~ 1.83)</w:t>
            </w:r>
          </w:p>
        </w:tc>
      </w:tr>
      <w:tr w14:paraId="2ED668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0366A">
            <w:pPr>
              <w:ind w:left="400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Nx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52C1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0.788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BA99C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0.95 (0.64 ~ 1.40)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F23DE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0.689</w:t>
            </w:r>
          </w:p>
        </w:tc>
        <w:tc>
          <w:tcPr>
            <w:tcW w:w="24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44A92">
            <w:pPr>
              <w:spacing w:before="40" w:after="40"/>
              <w:ind w:left="40" w:right="4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1.14 (0.60 ~ 2.19)</w:t>
            </w:r>
          </w:p>
        </w:tc>
      </w:tr>
      <w:tr w14:paraId="15AE0F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6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D402">
            <w:pPr>
              <w:spacing w:before="40" w:after="40"/>
              <w:ind w:left="40" w:right="40"/>
              <w:rPr>
                <w:rFonts w:ascii="Times New Roman" w:hAnsi="Times New Roman" w:eastAsia="宋体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HR: Hazard Ratio, CI: Confidence Interval</w:t>
            </w:r>
          </w:p>
        </w:tc>
      </w:tr>
    </w:tbl>
    <w:p w14:paraId="3FEA698B"/>
    <w:p w14:paraId="763B2205"/>
    <w:p w14:paraId="46B87F20"/>
    <w:p w14:paraId="7112117D"/>
    <w:p w14:paraId="7808C993"/>
    <w:p w14:paraId="14C64C43"/>
    <w:p w14:paraId="29B39A96"/>
    <w:p w14:paraId="113A68A6"/>
    <w:p w14:paraId="368B62E9"/>
    <w:p w14:paraId="183C8EEF"/>
    <w:p w14:paraId="0CF41232">
      <w:pPr>
        <w:spacing w:line="480" w:lineRule="auto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>Table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>.</w:t>
      </w:r>
      <w:r>
        <w:rPr>
          <w:rFonts w:ascii="Times New Roman" w:hAnsi="Times New Roman" w:eastAsia="Microsoft YaHei UI Light"/>
          <w:b/>
          <w:bCs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Microsoft YaHei UI Light"/>
          <w:b/>
          <w:bCs/>
          <w:kern w:val="0"/>
          <w:sz w:val="24"/>
          <w:szCs w:val="24"/>
        </w:rPr>
        <w:t xml:space="preserve">S3 </w:t>
      </w:r>
      <w:r>
        <w:rPr>
          <w:rFonts w:hint="eastAsia" w:ascii="Times New Roman" w:hAnsi="Times New Roman" w:eastAsia="Microsoft YaHei UI Light"/>
          <w:b w:val="0"/>
          <w:bCs w:val="0"/>
          <w:kern w:val="0"/>
          <w:sz w:val="24"/>
          <w:szCs w:val="24"/>
        </w:rPr>
        <w:t>Univariate and multivariate</w:t>
      </w:r>
      <w:r>
        <w:rPr>
          <w:rFonts w:hint="eastAsia" w:ascii="Times New Roman" w:hAnsi="Times New Roman" w:eastAsia="Microsoft YaHei UI Light"/>
          <w:b w:val="0"/>
          <w:bCs w:val="0"/>
          <w:kern w:val="0"/>
          <w:sz w:val="24"/>
          <w:szCs w:val="24"/>
          <w:lang w:val="en-US" w:eastAsia="zh-CN"/>
        </w:rPr>
        <w:t xml:space="preserve"> </w:t>
      </w:r>
      <w:bookmarkStart w:id="5" w:name="_GoBack"/>
      <w:bookmarkEnd w:id="5"/>
      <w:r>
        <w:rPr>
          <w:rFonts w:hint="eastAsia" w:ascii="Times New Roman" w:hAnsi="Times New Roman" w:eastAsia="Microsoft YaHei UI Light"/>
          <w:kern w:val="0"/>
          <w:sz w:val="24"/>
          <w:szCs w:val="24"/>
        </w:rPr>
        <w:t>Cox</w:t>
      </w:r>
      <w:r>
        <w:rPr>
          <w:rFonts w:ascii="Times New Roman" w:hAnsi="Times New Roman" w:eastAsia="Microsoft JhengHei UI"/>
          <w:sz w:val="24"/>
          <w:szCs w:val="24"/>
        </w:rPr>
        <w:t xml:space="preserve"> analysis on OS</w:t>
      </w:r>
      <w:r>
        <w:rPr>
          <w:rFonts w:hint="eastAsia" w:ascii="Times New Roman" w:hAnsi="Times New Roman"/>
          <w:sz w:val="24"/>
          <w:szCs w:val="24"/>
        </w:rPr>
        <w:t>.</w:t>
      </w:r>
    </w:p>
    <w:tbl>
      <w:tblPr>
        <w:tblStyle w:val="5"/>
        <w:tblW w:w="8533" w:type="dxa"/>
        <w:tblInd w:w="1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637"/>
        <w:gridCol w:w="2410"/>
        <w:gridCol w:w="6"/>
        <w:gridCol w:w="637"/>
        <w:gridCol w:w="2710"/>
      </w:tblGrid>
      <w:tr w14:paraId="4E173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213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11601">
            <w:pPr>
              <w:rPr>
                <w:rFonts w:ascii="Times New Roman" w:hAnsi="Times New Roman" w:eastAsia="宋体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304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229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Microsoft YaHei UI Light"/>
                <w:kern w:val="0"/>
                <w:sz w:val="24"/>
                <w:szCs w:val="24"/>
              </w:rPr>
              <w:t xml:space="preserve">Univariate Analysis      </w:t>
            </w:r>
          </w:p>
        </w:tc>
        <w:tc>
          <w:tcPr>
            <w:tcW w:w="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EBF2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47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D6A74">
            <w:pPr>
              <w:spacing w:before="40" w:after="40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Microsoft YaHei UI Light"/>
                <w:color w:val="000000"/>
                <w:kern w:val="0"/>
                <w:sz w:val="24"/>
                <w:szCs w:val="24"/>
              </w:rPr>
              <w:t>Multivariate Analysis</w:t>
            </w:r>
          </w:p>
        </w:tc>
      </w:tr>
      <w:tr w14:paraId="06275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7CFDA0E">
            <w:pPr>
              <w:widowControl/>
              <w:jc w:val="left"/>
              <w:rPr>
                <w:rFonts w:ascii="Times New Roman" w:hAnsi="Times New Roman" w:eastAsia="宋体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93D2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P    </w:t>
            </w:r>
          </w:p>
        </w:tc>
        <w:tc>
          <w:tcPr>
            <w:tcW w:w="24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0180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HR (95%CI)</w:t>
            </w:r>
          </w:p>
        </w:tc>
        <w:tc>
          <w:tcPr>
            <w:tcW w:w="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5EB7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DDBC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</w:t>
            </w:r>
          </w:p>
        </w:tc>
        <w:tc>
          <w:tcPr>
            <w:tcW w:w="27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9CEFE">
            <w:pPr>
              <w:spacing w:before="40" w:after="40"/>
              <w:ind w:left="40" w:right="40" w:firstLine="480" w:firstLineChars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HR (95%CI)</w:t>
            </w:r>
          </w:p>
        </w:tc>
      </w:tr>
      <w:tr w14:paraId="04DA6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13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C86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Age</w:t>
            </w:r>
          </w:p>
        </w:tc>
        <w:tc>
          <w:tcPr>
            <w:tcW w:w="6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9326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5B79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B278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3E6A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548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7F6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89DFC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&lt;45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AE7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EF4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E85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7BAF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FF3E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3B594E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CBF79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C25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4DAF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0.88 (0.59 ~ 1.31)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B3B6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50B4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0.193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F812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0.76 (0.49 ~ 1.15)</w:t>
            </w:r>
          </w:p>
        </w:tc>
      </w:tr>
      <w:tr w14:paraId="1E4B02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E84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Gender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D200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77EE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D7B2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BFBD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700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E17E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FB1AC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9B2C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66A7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9B57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DC6E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B02E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41CDC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208B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B31A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0.463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1AD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0.83 (0.50 ~ 1.38)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A09B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2E2B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0.899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BAA9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0.97 (0.57 ~ 1.65)</w:t>
            </w:r>
          </w:p>
        </w:tc>
      </w:tr>
      <w:tr w14:paraId="69C89A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D14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ECOG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core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CE69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A9EE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289A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E3C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4EB6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FE71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F275A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8B9B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B6ED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B43B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BE1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5D8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7B420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8E744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92F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71C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2.78 (1.79 ~ 4.32)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5603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919F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65AD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2.86 (1.71 ~ 4.79)</w:t>
            </w:r>
          </w:p>
        </w:tc>
      </w:tr>
      <w:tr w14:paraId="760E0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D7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Bone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metastasis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7ED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151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1C3C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E64E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5DA1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2D38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8174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D025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EC5D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9714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7BF2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9F81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2B81F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41446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61E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0.175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62A0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1.32 (0.88 ~ 1.97)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93D4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197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0.815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D596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1.06 (0.65 ~ 1.74)</w:t>
            </w:r>
          </w:p>
        </w:tc>
      </w:tr>
      <w:tr w14:paraId="0A95A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13C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Liver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4C3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015B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FA45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DD5C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8E46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E5B7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725C0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8FF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191E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76BE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2D91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AF0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106F5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C3F58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9227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7252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2.57 (1.73 ~ 3.81)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BC1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DB77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&lt;.001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DDB4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2.52 (1.49 ~ 4.28)</w:t>
            </w:r>
          </w:p>
        </w:tc>
      </w:tr>
      <w:tr w14:paraId="3B4C8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F47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Lung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BF0D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55FE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1E6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EB1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47B9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27F6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206BD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0398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F44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A65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183A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FF7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26BB0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7DC4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DEAE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0.056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4DA9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0.67 (0.45 ~ 1.01)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36E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8C42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0.966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E182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1.01 (0.60 ~ 1.69)</w:t>
            </w:r>
          </w:p>
        </w:tc>
      </w:tr>
      <w:tr w14:paraId="7C18B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7B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Lymph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8AF1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DC7A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B08E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73CA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08BE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8CC1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B6BA5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763B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1582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EA3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092B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4929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5492B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08FB63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07F1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0.131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8772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1.36 (0.91 ~ 2.04)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BB3B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87B6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0.215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B68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1.35 (0.84 ~ 2.15)</w:t>
            </w:r>
          </w:p>
        </w:tc>
      </w:tr>
      <w:tr w14:paraId="024EB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425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eastAsia="Microsoft JhengHei UI"/>
                <w:sz w:val="24"/>
                <w:szCs w:val="24"/>
              </w:rPr>
              <w:t>umber of metasta</w:t>
            </w:r>
            <w:r>
              <w:rPr>
                <w:rFonts w:hint="eastAsia" w:ascii="Times New Roman" w:hAnsi="Times New Roman"/>
                <w:sz w:val="24"/>
                <w:szCs w:val="24"/>
              </w:rPr>
              <w:t>ses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816A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B3BB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0A5A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DEB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CF6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B7D2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8C25B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&lt;3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4DDF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B95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D24F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F1C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EF8C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60AD0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B1C3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≥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BEC3E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0.002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03BC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1.89 (1.27 ~ 2.80)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B82C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3D3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0.221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513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1.43 (0.81 ~ 2.54)</w:t>
            </w:r>
          </w:p>
        </w:tc>
      </w:tr>
      <w:tr w14:paraId="368B8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BFB0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T stage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04DA1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5EE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B64D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FAEB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8F9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AB84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8B353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T0-T2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853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D027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B7F1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51CB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0E75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53140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D4469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T3-T4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B790B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0.620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6696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1.12 (0.71 ~ 1.78)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CFFA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3902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0.749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63EF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1.08 (0.67 ~ 1.74)</w:t>
            </w:r>
          </w:p>
        </w:tc>
      </w:tr>
      <w:tr w14:paraId="56E11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C33E9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Tx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C767A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0.219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0237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0.74 (0.45 ~ 1.20)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8476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8454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0.082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AC5A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1.91 (0.92 ~ 3.96)</w:t>
            </w:r>
          </w:p>
        </w:tc>
      </w:tr>
      <w:tr w14:paraId="54B5B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C6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N stage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1EA0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E8BD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2C6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E926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75AA3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54C89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8D618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N0-N2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2698F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BE3B4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42E25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318C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A60D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1.00 (Reference)</w:t>
            </w:r>
          </w:p>
        </w:tc>
      </w:tr>
      <w:tr w14:paraId="78CD5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7ADF3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N3-N4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F430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0.401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E1608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1.24 (0.75 ~ 2.06)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A6A43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11829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0.586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82F8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0.86 (0.49 ~ 1.49)</w:t>
            </w:r>
          </w:p>
        </w:tc>
      </w:tr>
      <w:tr w14:paraId="5DD36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33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66120">
            <w:pPr>
              <w:ind w:left="4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Nx</w:t>
            </w:r>
          </w:p>
        </w:tc>
        <w:tc>
          <w:tcPr>
            <w:tcW w:w="63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E26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0.064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C9EFD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0.63 (0.39 ~ 1.03)</w:t>
            </w:r>
          </w:p>
        </w:tc>
        <w:tc>
          <w:tcPr>
            <w:tcW w:w="6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5C727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539E2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0.150</w:t>
            </w:r>
          </w:p>
        </w:tc>
        <w:tc>
          <w:tcPr>
            <w:tcW w:w="271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546C">
            <w:pPr>
              <w:spacing w:before="40" w:after="40"/>
              <w:ind w:left="40"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0.58 (0.28 ~ 1.22)</w:t>
            </w:r>
          </w:p>
        </w:tc>
      </w:tr>
      <w:tr w14:paraId="4126F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33" w:type="dxa"/>
            <w:gridSpan w:val="6"/>
            <w:tcBorders>
              <w:top w:val="single" w:color="666666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9C7C5">
            <w:pPr>
              <w:spacing w:before="100" w:after="100"/>
              <w:ind w:left="100" w:right="1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4" w:name="_Hlk162801558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HR: Hazard Ratio, CI: Confidence Interval</w:t>
            </w:r>
            <w:bookmarkEnd w:id="4"/>
          </w:p>
        </w:tc>
      </w:tr>
    </w:tbl>
    <w:p w14:paraId="07472B16"/>
    <w:p w14:paraId="61155B5B"/>
    <w:p w14:paraId="044EA556"/>
    <w:p w14:paraId="26823610"/>
    <w:p w14:paraId="05052709"/>
    <w:p w14:paraId="4CE2FC15"/>
    <w:p w14:paraId="6F115359"/>
    <w:p w14:paraId="2DEC2BFD"/>
    <w:p w14:paraId="300D05FF">
      <w:pPr>
        <w:rPr>
          <w:rFonts w:ascii="Times New Roman" w:hAnsi="Times New Roman"/>
          <w:b/>
          <w:bCs/>
          <w:sz w:val="24"/>
          <w:szCs w:val="24"/>
        </w:rPr>
      </w:pPr>
    </w:p>
    <w:p w14:paraId="3B642C29"/>
    <w:p w14:paraId="2DF6BF35"/>
    <w:p w14:paraId="48487CA7"/>
    <w:p w14:paraId="4EC8989B">
      <w:pP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Subgroup analysis with Cox regression analysis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of 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>PFS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.</w:t>
      </w:r>
    </w:p>
    <w:p w14:paraId="289BAAF1">
      <w:pPr>
        <w:rPr>
          <w:rFonts w:hint="eastAsia" w:ascii="Times New Roman" w:hAnsi="Times New Roman" w:eastAsia="等线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_M means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</w:rPr>
        <w:t xml:space="preserve">. For example, Bone_M=Bone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096BC49F">
      <w:r>
        <w:drawing>
          <wp:inline distT="0" distB="0" distL="0" distR="0">
            <wp:extent cx="4285615" cy="3206750"/>
            <wp:effectExtent l="0" t="0" r="635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320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A0290"/>
    <w:p w14:paraId="6A2557A3">
      <w:pP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</w:rPr>
        <w:t>Fig.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Subgroup analysis with Cox regression analysis</w:t>
      </w: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  <w:t>of OS.</w:t>
      </w:r>
    </w:p>
    <w:p w14:paraId="48607F07">
      <w:pPr>
        <w:rPr>
          <w:rFonts w:hint="eastAsia" w:ascii="Calibri" w:hAnsi="Calibri" w:eastAsia="等线"/>
          <w:lang w:val="en-US" w:eastAsia="zh-CN"/>
        </w:rPr>
      </w:pPr>
      <w:r>
        <w:rPr>
          <w:rFonts w:hint="eastAsia" w:ascii="Times New Roman" w:hAnsi="Times New Roman" w:eastAsia="微软雅黑"/>
          <w:color w:val="24292F"/>
          <w:sz w:val="24"/>
          <w:szCs w:val="24"/>
          <w:shd w:val="clear" w:color="auto" w:fill="FFFFFF"/>
        </w:rPr>
        <w:t xml:space="preserve">_M means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</w:rPr>
        <w:t xml:space="preserve">. For example, Bone_M=Bone </w:t>
      </w:r>
      <w:r>
        <w:rPr>
          <w:rFonts w:ascii="Times New Roman" w:hAnsi="Times New Roman"/>
          <w:sz w:val="24"/>
          <w:szCs w:val="24"/>
        </w:rPr>
        <w:t>metastases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.</w:t>
      </w:r>
    </w:p>
    <w:p w14:paraId="7135ADCE">
      <w:pPr>
        <w:rPr>
          <w:rFonts w:ascii="Times New Roman" w:hAnsi="Times New Roman" w:eastAsia="微软雅黑"/>
          <w:color w:val="24292F"/>
          <w:sz w:val="24"/>
          <w:szCs w:val="24"/>
          <w:shd w:val="clear" w:color="auto" w:fill="FFFFFF"/>
        </w:rPr>
      </w:pPr>
    </w:p>
    <w:p w14:paraId="55FC6FE3">
      <w:pPr>
        <w:rPr>
          <w:rFonts w:hint="eastAsia"/>
        </w:rPr>
      </w:pPr>
      <w:r>
        <w:drawing>
          <wp:inline distT="0" distB="0" distL="0" distR="0">
            <wp:extent cx="4316095" cy="3279775"/>
            <wp:effectExtent l="0" t="0" r="12065" b="1206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6095" cy="327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Microsoft JhengHei U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UwNjJiM2JhYTM2NzQxMTJkMjYyNGE0NmZjZTI4MWEifQ=="/>
  </w:docVars>
  <w:rsids>
    <w:rsidRoot w:val="00E4799B"/>
    <w:rsid w:val="001B65B0"/>
    <w:rsid w:val="00385F08"/>
    <w:rsid w:val="00701134"/>
    <w:rsid w:val="00851C9B"/>
    <w:rsid w:val="00953498"/>
    <w:rsid w:val="009D6380"/>
    <w:rsid w:val="00DD6BB8"/>
    <w:rsid w:val="00E4799B"/>
    <w:rsid w:val="00EB1D02"/>
    <w:rsid w:val="144B6522"/>
    <w:rsid w:val="343604B4"/>
    <w:rsid w:val="57F6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outlineLvl w:val="0"/>
    </w:pPr>
    <w:rPr>
      <w:rFonts w:ascii="Times New Roman" w:hAnsi="Times New Roman"/>
      <w:b/>
      <w:bCs/>
      <w:kern w:val="44"/>
      <w:sz w:val="20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1 字符"/>
    <w:basedOn w:val="7"/>
    <w:link w:val="2"/>
    <w:autoRedefine/>
    <w:qFormat/>
    <w:uiPriority w:val="99"/>
    <w:rPr>
      <w:rFonts w:ascii="Times New Roman" w:hAnsi="Times New Roman" w:eastAsia="等线" w:cs="Times New Roman"/>
      <w:b/>
      <w:bCs/>
      <w:kern w:val="44"/>
      <w:sz w:val="20"/>
      <w:szCs w:val="20"/>
    </w:rPr>
  </w:style>
  <w:style w:type="paragraph" w:customStyle="1" w:styleId="12">
    <w:name w:val="TOC 标题1"/>
    <w:basedOn w:val="2"/>
    <w:next w:val="1"/>
    <w:autoRedefine/>
    <w:semiHidden/>
    <w:qFormat/>
    <w:uiPriority w:val="0"/>
    <w:pPr>
      <w:widowControl/>
      <w:spacing w:before="480" w:after="100" w:afterAutospacing="1" w:line="273" w:lineRule="auto"/>
      <w:jc w:val="left"/>
      <w:outlineLvl w:val="9"/>
    </w:pPr>
    <w:rPr>
      <w:rFonts w:ascii="等线 Light" w:hAnsi="等线 Light" w:eastAsia="等线 Light"/>
      <w:color w:val="2E75B5"/>
      <w:kern w:val="0"/>
      <w:sz w:val="28"/>
      <w:szCs w:val="28"/>
    </w:rPr>
  </w:style>
  <w:style w:type="paragraph" w:customStyle="1" w:styleId="13">
    <w:name w:val="目录 11"/>
    <w:basedOn w:val="1"/>
    <w:next w:val="1"/>
    <w:autoRedefine/>
    <w:semiHidden/>
    <w:qFormat/>
    <w:uiPriority w:val="0"/>
    <w:pPr>
      <w:spacing w:before="120" w:after="100" w:afterAutospacing="1"/>
      <w:jc w:val="left"/>
    </w:pPr>
    <w:rPr>
      <w:b/>
      <w:bCs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1206</Words>
  <Characters>6459</Characters>
  <Lines>54</Lines>
  <Paragraphs>15</Paragraphs>
  <TotalTime>2</TotalTime>
  <ScaleCrop>false</ScaleCrop>
  <LinksUpToDate>false</LinksUpToDate>
  <CharactersWithSpaces>7316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2024-05-19T03:33:00Z</dcterms:created>
  <dc:creator>远泰 李</dc:creator>
  <cp:lastModifiedBy>逗癌患者</cp:lastModifiedBy>
  <dcterms:modified xsi:type="dcterms:W3CDTF">2024-10-10T15:45:41Z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1B8E7FC38E534467B0C8D1BC863C35D1_12</vt:lpwstr>
  </property>
</Properties>
</file>