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4E9A9">
      <w:pPr>
        <w:rPr>
          <w:rFonts w:hint="eastAsia" w:cs="Times New Roman" w:eastAsiaTheme="minorEastAsia"/>
          <w:b/>
          <w:bCs/>
          <w:sz w:val="28"/>
          <w:szCs w:val="28"/>
        </w:rPr>
      </w:pPr>
      <w:bookmarkStart w:id="0" w:name="_GoBack"/>
      <w:bookmarkEnd w:id="0"/>
    </w:p>
    <w:p w14:paraId="45148896">
      <w:pPr>
        <w:rPr>
          <w:rFonts w:cs="Times New Roman"/>
          <w:b/>
          <w:bCs/>
          <w:sz w:val="28"/>
          <w:szCs w:val="28"/>
          <w:lang w:eastAsia="zh"/>
        </w:rPr>
      </w:pPr>
      <w:r>
        <w:rPr>
          <w:rFonts w:cs="Times New Roman" w:eastAsiaTheme="minorEastAsia"/>
          <w:b/>
          <w:bCs/>
          <w:sz w:val="28"/>
          <w:szCs w:val="28"/>
        </w:rPr>
        <w:t>Supplementary</w:t>
      </w:r>
      <w:r>
        <w:rPr>
          <w:rFonts w:cs="Times New Roman" w:eastAsiaTheme="minorEastAsia"/>
          <w:b/>
          <w:bCs/>
          <w:sz w:val="28"/>
          <w:szCs w:val="28"/>
          <w:lang w:eastAsia="zh"/>
        </w:rPr>
        <w:t xml:space="preserve"> </w:t>
      </w:r>
      <w:r>
        <w:rPr>
          <w:rFonts w:cs="Times New Roman"/>
          <w:b/>
          <w:bCs/>
          <w:sz w:val="28"/>
          <w:szCs w:val="28"/>
        </w:rPr>
        <w:t>Tables</w:t>
      </w:r>
      <w:r>
        <w:rPr>
          <w:rFonts w:cs="Times New Roman"/>
          <w:b/>
          <w:bCs/>
          <w:sz w:val="28"/>
          <w:szCs w:val="28"/>
          <w:lang w:eastAsia="zh"/>
        </w:rPr>
        <w:t>:</w:t>
      </w:r>
    </w:p>
    <w:p w14:paraId="3FC8ADB8">
      <w:pPr>
        <w:rPr>
          <w:rFonts w:cs="Times New Roman"/>
          <w:b/>
          <w:bCs/>
          <w:szCs w:val="24"/>
          <w:lang w:eastAsia="zh"/>
        </w:rPr>
      </w:pPr>
    </w:p>
    <w:p w14:paraId="10BD53C6">
      <w:pPr>
        <w:rPr>
          <w:rFonts w:eastAsia="宋体" w:cs="Times New Roman"/>
          <w:b/>
          <w:bCs/>
          <w:sz w:val="20"/>
          <w:szCs w:val="20"/>
        </w:rPr>
      </w:pPr>
      <w:r>
        <w:rPr>
          <w:rFonts w:cs="Times New Roman" w:eastAsiaTheme="minorEastAsia"/>
          <w:b/>
          <w:bCs/>
          <w:sz w:val="20"/>
          <w:szCs w:val="20"/>
        </w:rPr>
        <w:t>Supplementary Table 1. D</w:t>
      </w:r>
      <w:r>
        <w:rPr>
          <w:rFonts w:cs="Times New Roman"/>
          <w:b/>
          <w:bCs/>
          <w:sz w:val="20"/>
          <w:szCs w:val="20"/>
        </w:rPr>
        <w:t xml:space="preserve">emographic and baseline characteristics of </w:t>
      </w:r>
      <w:r>
        <w:rPr>
          <w:rFonts w:eastAsia="宋体" w:cs="Times New Roman"/>
          <w:b/>
          <w:bCs/>
          <w:sz w:val="20"/>
          <w:szCs w:val="20"/>
        </w:rPr>
        <w:t>different local-regional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eastAsia="宋体" w:cs="Times New Roman"/>
          <w:b/>
          <w:bCs/>
          <w:sz w:val="20"/>
          <w:szCs w:val="20"/>
        </w:rPr>
        <w:t xml:space="preserve">therapy </w:t>
      </w:r>
      <w:r>
        <w:rPr>
          <w:rFonts w:eastAsia="宋体" w:cs="Times New Roman"/>
          <w:b/>
          <w:bCs/>
          <w:kern w:val="0"/>
          <w:sz w:val="20"/>
          <w:szCs w:val="20"/>
          <w14:ligatures w14:val="none"/>
        </w:rPr>
        <w:t>groups.</w:t>
      </w:r>
    </w:p>
    <w:tbl>
      <w:tblPr>
        <w:tblStyle w:val="19"/>
        <w:tblW w:w="10130" w:type="dxa"/>
        <w:tblInd w:w="9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2091"/>
        <w:gridCol w:w="2227"/>
        <w:gridCol w:w="2227"/>
        <w:gridCol w:w="1188"/>
      </w:tblGrid>
      <w:tr w14:paraId="221523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39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A4383EF">
            <w:pPr>
              <w:widowControl/>
              <w:jc w:val="left"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Characteristic</w:t>
            </w:r>
          </w:p>
        </w:tc>
        <w:tc>
          <w:tcPr>
            <w:tcW w:w="209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B2939B9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RT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(n=23)</w:t>
            </w:r>
          </w:p>
        </w:tc>
        <w:tc>
          <w:tcPr>
            <w:tcW w:w="222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7983624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TACE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(n=27)</w:t>
            </w:r>
          </w:p>
        </w:tc>
        <w:tc>
          <w:tcPr>
            <w:tcW w:w="222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561C4F1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HAIC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(n=28)</w:t>
            </w:r>
          </w:p>
        </w:tc>
        <w:tc>
          <w:tcPr>
            <w:tcW w:w="118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D1E6D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14:paraId="4E1D90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FFAE34F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2091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F0179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86C80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759E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16A0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0.623</w:t>
            </w:r>
          </w:p>
        </w:tc>
      </w:tr>
      <w:tr w14:paraId="0F305D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4C3B2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&lt;60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47BF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(65.2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5DAE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14 (51.9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B8DB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(60.7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9398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2C567F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6FF08E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≥60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C501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(34.8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8D69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13 (48.1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D826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(39.3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1571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3CA065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A6E58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Sex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7DCE4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1F624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C785B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1F42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0.328</w:t>
            </w:r>
          </w:p>
        </w:tc>
      </w:tr>
      <w:tr w14:paraId="0D0248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C013D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Male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86B7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(65.2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0444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(63.0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8DFC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13 (46.4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D390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0FC978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15BE1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Female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E940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(34.8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1492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(37.0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F2B2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(53.6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26C7B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46FBF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9D9C0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ECOG PS 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36D2B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00355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C9F43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6767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0.005</w:t>
            </w:r>
          </w:p>
        </w:tc>
      </w:tr>
      <w:tr w14:paraId="498C70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03E90F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0CBB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14 (60.9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3776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21 (77.8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8A17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27 (96.4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7B73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1B5896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38FF8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6F07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(39.1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4CB9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6 (22.2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44EE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4D4E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263B36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A40434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Child–Pugh score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21882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2EFFE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ADC906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5DEA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0.096</w:t>
            </w:r>
          </w:p>
        </w:tc>
      </w:tr>
      <w:tr w14:paraId="4DBBA5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04547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E8BE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21 (91.3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9B332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21 (77.8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7400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27 (96.4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F4D77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0279ED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F905A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1908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 (8.7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18D7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6 (22.2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CD79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768B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674D07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6311B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CA19-9 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6A850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3C4D3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2C298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0294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0.613</w:t>
            </w:r>
          </w:p>
        </w:tc>
      </w:tr>
      <w:tr w14:paraId="59131E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A55C0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&lt;200 U/mL 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86B5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(73.9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9974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(55.6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C857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16 (57.1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9BCF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3FE2E6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9AB5F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≥200 U/mL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0322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6 (26.1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FF4E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(29.6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4193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(39.3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91DA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6C97A0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F4735">
            <w:pPr>
              <w:widowControl/>
              <w:textAlignment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9345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 (0.0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5E91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4 (14.8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7DC9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05524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 w14:paraId="42F647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A3458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CEA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A71764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9483F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5687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54CF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0.672</w:t>
            </w:r>
          </w:p>
        </w:tc>
      </w:tr>
      <w:tr w14:paraId="3D6081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0DD73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&lt;5 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bidi="ar"/>
              </w:rPr>
              <w:t>ng/mL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C8CF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12 (52.2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9F52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(55.6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F46F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(60.7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345F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7B50E6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7EB0D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≥5 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bidi="ar"/>
              </w:rPr>
              <w:t>ng/mL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114D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(43.5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A0C2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7 (25.9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1BC1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(32.1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8A7F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58DB45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967E4B">
            <w:pPr>
              <w:widowControl/>
              <w:textAlignment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44F1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(4.3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BC3E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5 (18.5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3B07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 (7.1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7799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</w:p>
        </w:tc>
      </w:tr>
      <w:tr w14:paraId="592640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8B889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HBV infection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C446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8D4B9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5849D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D58D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0.470</w:t>
            </w:r>
          </w:p>
        </w:tc>
      </w:tr>
      <w:tr w14:paraId="620810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97CF5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B7EB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12 (52.2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9502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13 (48.1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3E26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18 (64.3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21A4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5718C2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5B895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71B3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(47.8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D280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14 (51.9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5CD8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(35.7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B131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78BE30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73EEA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Pathological grade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59989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FE06E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1B6A0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7E9B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0.889</w:t>
            </w:r>
          </w:p>
        </w:tc>
      </w:tr>
      <w:tr w14:paraId="7C539D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C62D6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Median-</w:t>
            </w:r>
            <w:r>
              <w:rPr>
                <w:rFonts w:eastAsia="宋体" w:cs="Times New Roman"/>
                <w:kern w:val="0"/>
                <w:sz w:val="20"/>
                <w:szCs w:val="20"/>
                <w:lang w:eastAsia="zh" w:bidi="ar"/>
              </w:rPr>
              <w:t>h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igh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8773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6 (26.1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18FA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(29.6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0050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(35.7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CD85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47E4A8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C57E64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Low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E94D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(39.1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03BF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12 (44.4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9605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(39.3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22C9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10CDB7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F47684">
            <w:pPr>
              <w:widowControl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1EE31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(34.8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E1A6C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7 (25.9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091EF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7 (25.0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F431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7B3E16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67FFC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Disease status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8A94F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40F78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24B48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6ED71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0.202</w:t>
            </w:r>
          </w:p>
        </w:tc>
      </w:tr>
      <w:tr w14:paraId="041AC5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0457A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Locally advanced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6127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(65.2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035F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13 (48.1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12A4B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20 (71.4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6AAF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073F47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F7AD5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Metastatic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7F3C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(34.8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FEE3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14 (51.9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179A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(28.6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41FA8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6B9C6A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1454F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Lymph metastasis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C9B0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41F4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0C86C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5CB1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0.874</w:t>
            </w:r>
          </w:p>
        </w:tc>
      </w:tr>
      <w:tr w14:paraId="67A30F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B623ED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8D1F4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(39.1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5BB0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(37.0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4423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(32.1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D604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3B2166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8A847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CA8F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14 (60.9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6C2C8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(63.0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62F6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19 (67.9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5913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47A3AD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B2766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Intrahepatic metastasis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3183F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5F875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99CF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757E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0.760</w:t>
            </w:r>
          </w:p>
        </w:tc>
      </w:tr>
      <w:tr w14:paraId="1A4E4F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21D12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224E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(34.8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014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8 (29.6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4522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(39.3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01C6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341D0D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997F5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774E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(65.2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CDF7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19 (70.4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6BE3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17 (60.7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CFF5A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7261A0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0BA7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Lung metastasis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2E307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C69D3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474CF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1E2A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0.615</w:t>
            </w:r>
          </w:p>
        </w:tc>
      </w:tr>
      <w:tr w14:paraId="6B378B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AA0F6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DC347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22 (95.7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9405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26 (96.3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59F9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25 (89.3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781B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502091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157B3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E4744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(4.3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0E25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(3.7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910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3 (10.7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1915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30D1F9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D6E5B">
            <w:pPr>
              <w:widowControl/>
              <w:textAlignment w:val="center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Bone metastasis 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F4B90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29720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C68DD">
            <w:pPr>
              <w:jc w:val="center"/>
              <w:rPr>
                <w:rFonts w:eastAsia="宋体" w:cs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FAFA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0.096</w:t>
            </w:r>
          </w:p>
        </w:tc>
      </w:tr>
      <w:tr w14:paraId="114C97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70635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5CF5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23 (100.0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0C76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22 (81.5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F8A9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25 (89.3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5D08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  <w:tr w14:paraId="5FFE76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F1559">
            <w:pPr>
              <w:widowControl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0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2C5EE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 (0.0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02A0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5 (18.5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A38D3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3 (10.7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B31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</w:p>
        </w:tc>
      </w:tr>
    </w:tbl>
    <w:p w14:paraId="400720AA">
      <w:pPr>
        <w:rPr>
          <w:rFonts w:cs="Times New Roman" w:eastAsiaTheme="minorEastAsia"/>
          <w:b/>
          <w:bCs/>
          <w:sz w:val="20"/>
          <w:szCs w:val="20"/>
        </w:rPr>
      </w:pPr>
      <w:r>
        <w:rPr>
          <w:rFonts w:cs="Times New Roman" w:eastAsiaTheme="minorEastAsia"/>
          <w:sz w:val="20"/>
          <w:szCs w:val="20"/>
        </w:rPr>
        <w:t xml:space="preserve">RT, radiotherapy; </w:t>
      </w:r>
      <w:r>
        <w:rPr>
          <w:rFonts w:eastAsia="宋体" w:cs="Times New Roman"/>
          <w:kern w:val="0"/>
          <w:sz w:val="20"/>
          <w:szCs w:val="20"/>
          <w14:ligatures w14:val="none"/>
        </w:rPr>
        <w:t>TACE,</w:t>
      </w:r>
      <w:r>
        <w:rPr>
          <w:rFonts w:cs="Times New Roman" w:eastAsiaTheme="minorEastAsia"/>
          <w:sz w:val="20"/>
          <w:szCs w:val="20"/>
        </w:rPr>
        <w:t xml:space="preserve"> transarterial chemoembolization; HAIC, hepatic arterial infusion chemotherapy.</w:t>
      </w:r>
    </w:p>
    <w:p w14:paraId="42D55FF0">
      <w:pPr>
        <w:rPr>
          <w:rFonts w:cs="Times New Roman" w:eastAsiaTheme="minorEastAsia"/>
          <w:b/>
          <w:bCs/>
          <w:sz w:val="20"/>
          <w:szCs w:val="20"/>
        </w:rPr>
      </w:pPr>
    </w:p>
    <w:p w14:paraId="5FF7937D">
      <w:pPr>
        <w:rPr>
          <w:rFonts w:cs="Times New Roman" w:eastAsiaTheme="minorEastAsia"/>
          <w:b/>
          <w:bCs/>
          <w:sz w:val="20"/>
          <w:szCs w:val="20"/>
        </w:rPr>
      </w:pPr>
      <w:r>
        <w:rPr>
          <w:rFonts w:cs="Times New Roman" w:eastAsiaTheme="minorEastAsia"/>
          <w:b/>
          <w:bCs/>
          <w:sz w:val="20"/>
          <w:szCs w:val="20"/>
        </w:rPr>
        <w:t>Supplementary Table 2.</w:t>
      </w:r>
      <w:r>
        <w:rPr>
          <w:rFonts w:eastAsia="仿宋" w:cs="Times New Roman"/>
          <w:b/>
          <w:bCs/>
          <w:sz w:val="20"/>
          <w:szCs w:val="20"/>
        </w:rPr>
        <w:t xml:space="preserve"> Therapeutic efficacy of response and survival outcomes in</w:t>
      </w:r>
      <w:r>
        <w:rPr>
          <w:rFonts w:eastAsia="宋体" w:cs="Times New Roman"/>
          <w:b/>
          <w:bCs/>
          <w:sz w:val="20"/>
          <w:szCs w:val="20"/>
        </w:rPr>
        <w:t xml:space="preserve"> different local-regional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eastAsia="宋体" w:cs="Times New Roman"/>
          <w:b/>
          <w:bCs/>
          <w:sz w:val="20"/>
          <w:szCs w:val="20"/>
        </w:rPr>
        <w:t>therapy</w:t>
      </w:r>
      <w:r>
        <w:rPr>
          <w:rFonts w:eastAsia="仿宋" w:cs="Times New Roman"/>
          <w:b/>
          <w:bCs/>
          <w:sz w:val="20"/>
          <w:szCs w:val="20"/>
        </w:rPr>
        <w:t xml:space="preserve"> </w:t>
      </w:r>
      <w:r>
        <w:rPr>
          <w:rFonts w:cs="Times New Roman" w:eastAsiaTheme="minorEastAsia"/>
          <w:b/>
          <w:bCs/>
          <w:sz w:val="20"/>
          <w:szCs w:val="20"/>
        </w:rPr>
        <w:t>groups</w:t>
      </w:r>
      <w:r>
        <w:rPr>
          <w:rFonts w:eastAsia="仿宋" w:cs="Times New Roman"/>
          <w:b/>
          <w:bCs/>
          <w:sz w:val="20"/>
          <w:szCs w:val="20"/>
        </w:rPr>
        <w:t>.</w:t>
      </w:r>
    </w:p>
    <w:tbl>
      <w:tblPr>
        <w:tblStyle w:val="19"/>
        <w:tblW w:w="1201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0"/>
        <w:gridCol w:w="1569"/>
        <w:gridCol w:w="1928"/>
        <w:gridCol w:w="1623"/>
        <w:gridCol w:w="1631"/>
      </w:tblGrid>
      <w:tr w14:paraId="777B84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26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5BE4E">
            <w:pPr>
              <w:widowControl/>
              <w:jc w:val="left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Therapeutic response assessment</w:t>
            </w:r>
          </w:p>
        </w:tc>
        <w:tc>
          <w:tcPr>
            <w:tcW w:w="1569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46720EF6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RT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(n=23)</w:t>
            </w:r>
          </w:p>
        </w:tc>
        <w:tc>
          <w:tcPr>
            <w:tcW w:w="192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5CE29FE0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TACE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(n=27)</w:t>
            </w:r>
          </w:p>
        </w:tc>
        <w:tc>
          <w:tcPr>
            <w:tcW w:w="162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1D6A9C1">
            <w:pPr>
              <w:widowControl/>
              <w:jc w:val="center"/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HAIC 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group</w:t>
            </w:r>
            <w:r>
              <w:rPr>
                <w:rFonts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(n=28)</w:t>
            </w:r>
          </w:p>
        </w:tc>
        <w:tc>
          <w:tcPr>
            <w:tcW w:w="1631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CF7319F">
            <w:pPr>
              <w:widowControl/>
              <w:jc w:val="center"/>
              <w:rPr>
                <w:rFonts w:eastAsia="等线" w:cs="Times New Roman"/>
                <w:sz w:val="20"/>
                <w:szCs w:val="20"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14:paraId="50C8B5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B549F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Complete response (CR, n, %)</w:t>
            </w:r>
          </w:p>
        </w:tc>
        <w:tc>
          <w:tcPr>
            <w:tcW w:w="1569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6E1E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 (8.7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DA4FD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0 (0.0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9102C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 (3.6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</w:tcPr>
          <w:p w14:paraId="6F3B41B3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14:paraId="766F5B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BFC88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Partial response (PR, n, %)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CBED9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10 (43.5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2AF0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12 (44.4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F3355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15 (53.6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l2br w:val="nil"/>
              <w:tr2bl w:val="nil"/>
            </w:tcBorders>
            <w:shd w:val="clear" w:color="auto" w:fill="auto"/>
          </w:tcPr>
          <w:p w14:paraId="0FD3D680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14:paraId="2D098D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54DF2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Stable disease (SD, n, %)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6E2D6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7 (30.4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273FA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11 (40.7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7DAC8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9 (32.1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l2br w:val="nil"/>
              <w:tr2bl w:val="nil"/>
            </w:tcBorders>
            <w:shd w:val="clear" w:color="auto" w:fill="auto"/>
          </w:tcPr>
          <w:p w14:paraId="5C595103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14:paraId="4545C8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43441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Progressive disease (PD, n, %)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614FF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4 (17.4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F95A6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4 (14.8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5472C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3 (10.7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l2br w:val="nil"/>
              <w:tr2bl w:val="nil"/>
            </w:tcBorders>
          </w:tcPr>
          <w:p w14:paraId="66BB5017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14:paraId="65BE79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0FCB2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Objective response rate (ORR, %)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5BAE1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12 (52.2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2FC90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44.4%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45322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16 (57.1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l2br w:val="nil"/>
              <w:tr2bl w:val="nil"/>
            </w:tcBorders>
          </w:tcPr>
          <w:p w14:paraId="2A9C301F">
            <w:pPr>
              <w:widowControl/>
              <w:jc w:val="center"/>
              <w:textAlignment w:val="center"/>
              <w:rPr>
                <w:rFonts w:hint="default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0.638</w:t>
            </w:r>
          </w:p>
        </w:tc>
      </w:tr>
      <w:tr w14:paraId="039C76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5BEC3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Disease control rate (DCR, n, %)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EBDFC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19 (82.6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AA55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 xml:space="preserve">23 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(85.2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934BD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25 (89.3</w:t>
            </w:r>
            <w:r>
              <w:rPr>
                <w:rFonts w:hint="eastAsia" w:eastAsia="宋体" w:cs="Times New Roman"/>
                <w:kern w:val="0"/>
                <w:sz w:val="20"/>
                <w:szCs w:val="20"/>
                <w:lang w:val="en-US" w:eastAsia="zh-CN" w:bidi="ar"/>
              </w:rPr>
              <w:t>%</w:t>
            </w:r>
            <w:r>
              <w:rPr>
                <w:rFonts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631" w:type="dxa"/>
            <w:tcBorders>
              <w:tl2br w:val="nil"/>
              <w:tr2bl w:val="nil"/>
            </w:tcBorders>
          </w:tcPr>
          <w:p w14:paraId="056F5215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sz w:val="20"/>
                <w:szCs w:val="20"/>
              </w:rPr>
              <w:t>0.850</w:t>
            </w:r>
          </w:p>
        </w:tc>
      </w:tr>
      <w:tr w14:paraId="4E96EC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A9AFC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Median progression free survival (mPFS, months)</w:t>
            </w:r>
          </w:p>
        </w:tc>
        <w:tc>
          <w:tcPr>
            <w:tcW w:w="156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D244595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11.0</w:t>
            </w:r>
          </w:p>
        </w:tc>
        <w:tc>
          <w:tcPr>
            <w:tcW w:w="192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31F751E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 xml:space="preserve">10.8 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C94EB6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10.2</w:t>
            </w:r>
          </w:p>
        </w:tc>
        <w:tc>
          <w:tcPr>
            <w:tcW w:w="1631" w:type="dxa"/>
            <w:tcBorders>
              <w:tl2br w:val="nil"/>
              <w:tr2bl w:val="nil"/>
            </w:tcBorders>
            <w:shd w:val="clear" w:color="auto" w:fill="auto"/>
          </w:tcPr>
          <w:p w14:paraId="6276C72B">
            <w:pPr>
              <w:widowControl/>
              <w:jc w:val="center"/>
              <w:textAlignment w:val="center"/>
              <w:rPr>
                <w:rFonts w:eastAsia="宋体" w:cs="Times New Roman"/>
                <w:sz w:val="20"/>
                <w:szCs w:val="20"/>
              </w:rPr>
            </w:pPr>
            <w:r>
              <w:rPr>
                <w:rFonts w:eastAsia="宋体" w:cs="Times New Roman"/>
                <w:sz w:val="20"/>
                <w:szCs w:val="20"/>
              </w:rPr>
              <w:t>0.580</w:t>
            </w:r>
          </w:p>
        </w:tc>
      </w:tr>
      <w:tr w14:paraId="1D3F08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260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32BD3">
            <w:pPr>
              <w:widowControl/>
              <w:jc w:val="left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Median overall survival (mOS, months)</w:t>
            </w:r>
          </w:p>
        </w:tc>
        <w:tc>
          <w:tcPr>
            <w:tcW w:w="1569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324AA7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16.1</w:t>
            </w:r>
          </w:p>
        </w:tc>
        <w:tc>
          <w:tcPr>
            <w:tcW w:w="1928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1BB26A5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>23.4</w:t>
            </w:r>
          </w:p>
        </w:tc>
        <w:tc>
          <w:tcPr>
            <w:tcW w:w="1623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872FEF1">
            <w:pPr>
              <w:widowControl/>
              <w:jc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  <w:t xml:space="preserve">18.5 </w:t>
            </w:r>
          </w:p>
        </w:tc>
        <w:tc>
          <w:tcPr>
            <w:tcW w:w="1631" w:type="dxa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</w:tcPr>
          <w:p w14:paraId="7BFE2808">
            <w:pPr>
              <w:widowControl/>
              <w:jc w:val="center"/>
              <w:textAlignment w:val="center"/>
              <w:rPr>
                <w:rFonts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宋体" w:cs="Times New Roman"/>
                <w:sz w:val="20"/>
                <w:szCs w:val="20"/>
              </w:rPr>
              <w:t>0.548</w:t>
            </w:r>
          </w:p>
        </w:tc>
      </w:tr>
    </w:tbl>
    <w:p w14:paraId="637E5051">
      <w:pPr>
        <w:rPr>
          <w:rFonts w:cs="Times New Roman" w:eastAsiaTheme="minorEastAsia"/>
          <w:sz w:val="20"/>
          <w:szCs w:val="20"/>
        </w:rPr>
      </w:pPr>
      <w:r>
        <w:rPr>
          <w:rFonts w:cs="Times New Roman" w:eastAsiaTheme="minorEastAsia"/>
          <w:sz w:val="20"/>
          <w:szCs w:val="20"/>
        </w:rPr>
        <w:t xml:space="preserve">RT, radiotherapy; </w:t>
      </w:r>
      <w:r>
        <w:rPr>
          <w:rFonts w:eastAsia="宋体" w:cs="Times New Roman"/>
          <w:kern w:val="0"/>
          <w:sz w:val="20"/>
          <w:szCs w:val="20"/>
          <w14:ligatures w14:val="none"/>
        </w:rPr>
        <w:t>TACE,</w:t>
      </w:r>
      <w:r>
        <w:rPr>
          <w:rFonts w:cs="Times New Roman" w:eastAsiaTheme="minorEastAsia"/>
          <w:sz w:val="20"/>
          <w:szCs w:val="20"/>
        </w:rPr>
        <w:t xml:space="preserve"> transarterial chemoembolization; HAIC, hepatic arterial infusion chemotherapy.</w:t>
      </w:r>
    </w:p>
    <w:p w14:paraId="63779DF1">
      <w:pPr>
        <w:rPr>
          <w:rFonts w:cs="Times New Roman" w:eastAsiaTheme="minorEastAsia"/>
          <w:b/>
          <w:bCs/>
          <w:sz w:val="20"/>
          <w:szCs w:val="20"/>
        </w:rPr>
      </w:pPr>
    </w:p>
    <w:p w14:paraId="3D85D5AD">
      <w:pPr>
        <w:rPr>
          <w:rFonts w:hint="eastAsia" w:eastAsia="宋体" w:cs="Times New Roman"/>
          <w:sz w:val="20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3854A97C">
        <w:pPr>
          <w:pStyle w:val="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F09FE3"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4C"/>
    <w:rsid w:val="000361FE"/>
    <w:rsid w:val="00044B5A"/>
    <w:rsid w:val="00080186"/>
    <w:rsid w:val="000972C0"/>
    <w:rsid w:val="000C7D19"/>
    <w:rsid w:val="000D3E72"/>
    <w:rsid w:val="000E25BC"/>
    <w:rsid w:val="000E6B67"/>
    <w:rsid w:val="001271D7"/>
    <w:rsid w:val="0015077F"/>
    <w:rsid w:val="001517FF"/>
    <w:rsid w:val="00184D59"/>
    <w:rsid w:val="0018604C"/>
    <w:rsid w:val="001F7288"/>
    <w:rsid w:val="00230804"/>
    <w:rsid w:val="00242DD3"/>
    <w:rsid w:val="00255973"/>
    <w:rsid w:val="002B5E74"/>
    <w:rsid w:val="0031764A"/>
    <w:rsid w:val="00326EDE"/>
    <w:rsid w:val="003372ED"/>
    <w:rsid w:val="00357E40"/>
    <w:rsid w:val="003F4947"/>
    <w:rsid w:val="00447234"/>
    <w:rsid w:val="00451068"/>
    <w:rsid w:val="00475FC5"/>
    <w:rsid w:val="004761BC"/>
    <w:rsid w:val="0048006B"/>
    <w:rsid w:val="00484ED3"/>
    <w:rsid w:val="004A13F1"/>
    <w:rsid w:val="004B496E"/>
    <w:rsid w:val="004E55D7"/>
    <w:rsid w:val="004F43E5"/>
    <w:rsid w:val="005021B4"/>
    <w:rsid w:val="00521C05"/>
    <w:rsid w:val="005C6CDD"/>
    <w:rsid w:val="005D5C3A"/>
    <w:rsid w:val="005E0322"/>
    <w:rsid w:val="005F3632"/>
    <w:rsid w:val="005F4B77"/>
    <w:rsid w:val="00613749"/>
    <w:rsid w:val="00645935"/>
    <w:rsid w:val="0064606D"/>
    <w:rsid w:val="00653F60"/>
    <w:rsid w:val="006F56B7"/>
    <w:rsid w:val="00702FCD"/>
    <w:rsid w:val="00753EE0"/>
    <w:rsid w:val="0079243B"/>
    <w:rsid w:val="0079503A"/>
    <w:rsid w:val="007A3C90"/>
    <w:rsid w:val="007F1528"/>
    <w:rsid w:val="00822126"/>
    <w:rsid w:val="008321F5"/>
    <w:rsid w:val="008326FE"/>
    <w:rsid w:val="008A3656"/>
    <w:rsid w:val="008B2968"/>
    <w:rsid w:val="00900E56"/>
    <w:rsid w:val="00964087"/>
    <w:rsid w:val="009746D9"/>
    <w:rsid w:val="009847E5"/>
    <w:rsid w:val="0098726E"/>
    <w:rsid w:val="009875C8"/>
    <w:rsid w:val="00997DA7"/>
    <w:rsid w:val="00A22B67"/>
    <w:rsid w:val="00AD258E"/>
    <w:rsid w:val="00AE2358"/>
    <w:rsid w:val="00AF2EF4"/>
    <w:rsid w:val="00B023F1"/>
    <w:rsid w:val="00B34DEB"/>
    <w:rsid w:val="00B35388"/>
    <w:rsid w:val="00B666BA"/>
    <w:rsid w:val="00B67D36"/>
    <w:rsid w:val="00B74BFF"/>
    <w:rsid w:val="00C3209F"/>
    <w:rsid w:val="00C4033A"/>
    <w:rsid w:val="00C41A9B"/>
    <w:rsid w:val="00C62941"/>
    <w:rsid w:val="00C92CCF"/>
    <w:rsid w:val="00C942D1"/>
    <w:rsid w:val="00CA5652"/>
    <w:rsid w:val="00CA7586"/>
    <w:rsid w:val="00CE1785"/>
    <w:rsid w:val="00D00A04"/>
    <w:rsid w:val="00D1435E"/>
    <w:rsid w:val="00DC405A"/>
    <w:rsid w:val="00DE018B"/>
    <w:rsid w:val="00E33422"/>
    <w:rsid w:val="00E363F0"/>
    <w:rsid w:val="00E42C16"/>
    <w:rsid w:val="00E6128A"/>
    <w:rsid w:val="00E6489F"/>
    <w:rsid w:val="00E665D7"/>
    <w:rsid w:val="00E8039A"/>
    <w:rsid w:val="00EA06EE"/>
    <w:rsid w:val="00EA4D4B"/>
    <w:rsid w:val="00EB74D7"/>
    <w:rsid w:val="00F360E7"/>
    <w:rsid w:val="00F37A2C"/>
    <w:rsid w:val="00F77595"/>
    <w:rsid w:val="00FA115D"/>
    <w:rsid w:val="00FA68E9"/>
    <w:rsid w:val="00FC3D5F"/>
    <w:rsid w:val="00FD61FC"/>
    <w:rsid w:val="033D3029"/>
    <w:rsid w:val="046D44A8"/>
    <w:rsid w:val="05087233"/>
    <w:rsid w:val="072125BA"/>
    <w:rsid w:val="09D069A8"/>
    <w:rsid w:val="0B5E0E00"/>
    <w:rsid w:val="0EA855E3"/>
    <w:rsid w:val="12BF72FB"/>
    <w:rsid w:val="132F0080"/>
    <w:rsid w:val="155C2A86"/>
    <w:rsid w:val="165C1517"/>
    <w:rsid w:val="176F167E"/>
    <w:rsid w:val="18BC2F41"/>
    <w:rsid w:val="1AAC1E50"/>
    <w:rsid w:val="22C84934"/>
    <w:rsid w:val="23362495"/>
    <w:rsid w:val="25512802"/>
    <w:rsid w:val="277025E4"/>
    <w:rsid w:val="294A2B77"/>
    <w:rsid w:val="297421CE"/>
    <w:rsid w:val="332C2C6F"/>
    <w:rsid w:val="36F85394"/>
    <w:rsid w:val="38E03923"/>
    <w:rsid w:val="394915ED"/>
    <w:rsid w:val="3A620DD9"/>
    <w:rsid w:val="3ADB2718"/>
    <w:rsid w:val="3E834338"/>
    <w:rsid w:val="3E9052B0"/>
    <w:rsid w:val="4105113C"/>
    <w:rsid w:val="43923B90"/>
    <w:rsid w:val="44320F48"/>
    <w:rsid w:val="44B51824"/>
    <w:rsid w:val="45321617"/>
    <w:rsid w:val="460138B0"/>
    <w:rsid w:val="47AD3885"/>
    <w:rsid w:val="4C157F0D"/>
    <w:rsid w:val="4FF97471"/>
    <w:rsid w:val="51265514"/>
    <w:rsid w:val="55821B7F"/>
    <w:rsid w:val="563D1AB3"/>
    <w:rsid w:val="59020DD6"/>
    <w:rsid w:val="5A290952"/>
    <w:rsid w:val="5C156522"/>
    <w:rsid w:val="5DCC4AAE"/>
    <w:rsid w:val="5F7C2346"/>
    <w:rsid w:val="60896152"/>
    <w:rsid w:val="61E97455"/>
    <w:rsid w:val="62A82630"/>
    <w:rsid w:val="63BF4444"/>
    <w:rsid w:val="6B9B71D6"/>
    <w:rsid w:val="6D1234C8"/>
    <w:rsid w:val="6DCF7AC5"/>
    <w:rsid w:val="6F4D6A39"/>
    <w:rsid w:val="6FEB1FE6"/>
    <w:rsid w:val="71860A9B"/>
    <w:rsid w:val="72363900"/>
    <w:rsid w:val="77842DB4"/>
    <w:rsid w:val="787A7589"/>
    <w:rsid w:val="79F07263"/>
    <w:rsid w:val="7A9842F8"/>
    <w:rsid w:val="7AF707E1"/>
    <w:rsid w:val="7E7D23C0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theme="minorBidi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spacing w:before="240" w:after="60"/>
      <w:outlineLvl w:val="5"/>
    </w:pPr>
    <w:rPr>
      <w:rFonts w:cstheme="majorBidi"/>
      <w:b/>
      <w:bCs/>
      <w:sz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spacing w:before="240" w:after="60"/>
      <w:outlineLvl w:val="6"/>
    </w:pPr>
    <w:rPr>
      <w:rFonts w:cstheme="majorBidi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spacing w:before="240" w:after="60"/>
      <w:outlineLvl w:val="7"/>
    </w:pPr>
    <w:rPr>
      <w:rFonts w:cstheme="majorBidi"/>
      <w:i/>
      <w:iCs/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1"/>
    <w:unhideWhenUsed/>
    <w:qFormat/>
    <w:uiPriority w:val="99"/>
    <w:pPr>
      <w:jc w:val="left"/>
    </w:pPr>
  </w:style>
  <w:style w:type="paragraph" w:styleId="12">
    <w:name w:val="footer"/>
    <w:basedOn w:val="1"/>
    <w:link w:val="5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6"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 w:cstheme="majorBidi"/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Cs w:val="24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4"/>
    </w:rPr>
  </w:style>
  <w:style w:type="paragraph" w:styleId="17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18">
    <w:name w:val="annotation subject"/>
    <w:basedOn w:val="11"/>
    <w:next w:val="11"/>
    <w:link w:val="52"/>
    <w:semiHidden/>
    <w:unhideWhenUsed/>
    <w:qFormat/>
    <w:uiPriority w:val="99"/>
    <w:rPr>
      <w:b/>
      <w:bCs/>
    </w:r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Theme="minorHAnsi" w:hAnsiTheme="minorHAnsi"/>
      <w:b/>
      <w:i/>
      <w:iCs/>
    </w:rPr>
  </w:style>
  <w:style w:type="character" w:styleId="23">
    <w:name w:val="line number"/>
    <w:basedOn w:val="20"/>
    <w:semiHidden/>
    <w:unhideWhenUsed/>
    <w:qFormat/>
    <w:uiPriority w:val="99"/>
  </w:style>
  <w:style w:type="character" w:styleId="24">
    <w:name w:val="Hyperlink"/>
    <w:basedOn w:val="2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6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27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28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9">
    <w:name w:val="标题 4 字符"/>
    <w:basedOn w:val="20"/>
    <w:link w:val="5"/>
    <w:semiHidden/>
    <w:qFormat/>
    <w:uiPriority w:val="9"/>
    <w:rPr>
      <w:rFonts w:cstheme="majorBidi"/>
      <w:b/>
      <w:bCs/>
      <w:sz w:val="28"/>
      <w:szCs w:val="28"/>
    </w:rPr>
  </w:style>
  <w:style w:type="character" w:customStyle="1" w:styleId="30">
    <w:name w:val="标题 5 字符"/>
    <w:basedOn w:val="20"/>
    <w:link w:val="6"/>
    <w:semiHidden/>
    <w:qFormat/>
    <w:uiPriority w:val="9"/>
    <w:rPr>
      <w:rFonts w:cstheme="majorBidi"/>
      <w:b/>
      <w:bCs/>
      <w:i/>
      <w:iCs/>
      <w:sz w:val="26"/>
      <w:szCs w:val="26"/>
    </w:rPr>
  </w:style>
  <w:style w:type="character" w:customStyle="1" w:styleId="31">
    <w:name w:val="标题 6 字符"/>
    <w:basedOn w:val="20"/>
    <w:link w:val="7"/>
    <w:semiHidden/>
    <w:qFormat/>
    <w:uiPriority w:val="9"/>
    <w:rPr>
      <w:rFonts w:cstheme="majorBidi"/>
      <w:b/>
      <w:bCs/>
    </w:rPr>
  </w:style>
  <w:style w:type="character" w:customStyle="1" w:styleId="32">
    <w:name w:val="标题 7 字符"/>
    <w:basedOn w:val="20"/>
    <w:link w:val="8"/>
    <w:semiHidden/>
    <w:qFormat/>
    <w:uiPriority w:val="9"/>
    <w:rPr>
      <w:rFonts w:cstheme="majorBidi"/>
      <w:sz w:val="24"/>
      <w:szCs w:val="24"/>
    </w:rPr>
  </w:style>
  <w:style w:type="character" w:customStyle="1" w:styleId="33">
    <w:name w:val="标题 8 字符"/>
    <w:basedOn w:val="20"/>
    <w:link w:val="9"/>
    <w:semiHidden/>
    <w:qFormat/>
    <w:uiPriority w:val="9"/>
    <w:rPr>
      <w:rFonts w:cstheme="majorBidi"/>
      <w:i/>
      <w:iCs/>
      <w:sz w:val="24"/>
      <w:szCs w:val="24"/>
    </w:rPr>
  </w:style>
  <w:style w:type="character" w:customStyle="1" w:styleId="34">
    <w:name w:val="标题 9 字符"/>
    <w:basedOn w:val="20"/>
    <w:link w:val="10"/>
    <w:semiHidden/>
    <w:qFormat/>
    <w:uiPriority w:val="9"/>
    <w:rPr>
      <w:rFonts w:asciiTheme="majorHAnsi" w:hAnsiTheme="majorHAnsi" w:eastAsiaTheme="majorEastAsia" w:cstheme="majorBidi"/>
    </w:rPr>
  </w:style>
  <w:style w:type="character" w:customStyle="1" w:styleId="35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36">
    <w:name w:val="副标题 字符"/>
    <w:basedOn w:val="20"/>
    <w:link w:val="14"/>
    <w:qFormat/>
    <w:uiPriority w:val="11"/>
    <w:rPr>
      <w:rFonts w:asciiTheme="majorHAnsi" w:hAnsiTheme="majorHAnsi" w:eastAsiaTheme="majorEastAsia" w:cstheme="majorBidi"/>
      <w:sz w:val="24"/>
      <w:szCs w:val="24"/>
    </w:rPr>
  </w:style>
  <w:style w:type="paragraph" w:styleId="37">
    <w:name w:val="No Spacing"/>
    <w:basedOn w:val="1"/>
    <w:qFormat/>
    <w:uiPriority w:val="1"/>
    <w:rPr>
      <w:szCs w:val="32"/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paragraph" w:styleId="39">
    <w:name w:val="Quote"/>
    <w:basedOn w:val="1"/>
    <w:next w:val="1"/>
    <w:link w:val="40"/>
    <w:qFormat/>
    <w:uiPriority w:val="29"/>
    <w:rPr>
      <w:i/>
    </w:rPr>
  </w:style>
  <w:style w:type="character" w:customStyle="1" w:styleId="40">
    <w:name w:val="引用 字符"/>
    <w:basedOn w:val="20"/>
    <w:link w:val="39"/>
    <w:qFormat/>
    <w:uiPriority w:val="29"/>
    <w:rPr>
      <w:i/>
      <w:sz w:val="24"/>
      <w:szCs w:val="24"/>
    </w:rPr>
  </w:style>
  <w:style w:type="paragraph" w:styleId="41">
    <w:name w:val="Intense Quote"/>
    <w:basedOn w:val="1"/>
    <w:next w:val="1"/>
    <w:link w:val="42"/>
    <w:qFormat/>
    <w:uiPriority w:val="30"/>
    <w:pPr>
      <w:ind w:left="720" w:right="720"/>
    </w:pPr>
    <w:rPr>
      <w:b/>
      <w:i/>
    </w:rPr>
  </w:style>
  <w:style w:type="character" w:customStyle="1" w:styleId="42">
    <w:name w:val="明显引用 字符"/>
    <w:basedOn w:val="20"/>
    <w:link w:val="41"/>
    <w:qFormat/>
    <w:uiPriority w:val="30"/>
    <w:rPr>
      <w:b/>
      <w:i/>
      <w:sz w:val="24"/>
    </w:rPr>
  </w:style>
  <w:style w:type="character" w:customStyle="1" w:styleId="43">
    <w:name w:val="不明显强调1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4">
    <w:name w:val="明显强调1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45">
    <w:name w:val="不明显参考1"/>
    <w:basedOn w:val="20"/>
    <w:qFormat/>
    <w:uiPriority w:val="31"/>
    <w:rPr>
      <w:sz w:val="24"/>
      <w:szCs w:val="24"/>
      <w:u w:val="single"/>
    </w:rPr>
  </w:style>
  <w:style w:type="character" w:customStyle="1" w:styleId="46">
    <w:name w:val="明显参考1"/>
    <w:basedOn w:val="20"/>
    <w:qFormat/>
    <w:uiPriority w:val="32"/>
    <w:rPr>
      <w:b/>
      <w:sz w:val="24"/>
      <w:u w:val="single"/>
    </w:rPr>
  </w:style>
  <w:style w:type="character" w:customStyle="1" w:styleId="47">
    <w:name w:val="书籍标题1"/>
    <w:basedOn w:val="20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48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49">
    <w:name w:val="页眉 字符"/>
    <w:basedOn w:val="20"/>
    <w:link w:val="13"/>
    <w:qFormat/>
    <w:uiPriority w:val="99"/>
    <w:rPr>
      <w:sz w:val="18"/>
      <w:szCs w:val="18"/>
    </w:rPr>
  </w:style>
  <w:style w:type="character" w:customStyle="1" w:styleId="50">
    <w:name w:val="页脚 字符"/>
    <w:basedOn w:val="20"/>
    <w:link w:val="12"/>
    <w:qFormat/>
    <w:uiPriority w:val="99"/>
    <w:rPr>
      <w:sz w:val="18"/>
      <w:szCs w:val="18"/>
    </w:rPr>
  </w:style>
  <w:style w:type="character" w:customStyle="1" w:styleId="51">
    <w:name w:val="批注文字 字符"/>
    <w:basedOn w:val="20"/>
    <w:link w:val="11"/>
    <w:qFormat/>
    <w:uiPriority w:val="99"/>
    <w:rPr>
      <w:rFonts w:ascii="Times New Roman" w:hAnsi="Times New Roman" w:eastAsia="Times New Roman" w:cstheme="minorBidi"/>
      <w:kern w:val="2"/>
      <w:sz w:val="24"/>
      <w14:ligatures w14:val="standardContextual"/>
    </w:rPr>
  </w:style>
  <w:style w:type="character" w:customStyle="1" w:styleId="52">
    <w:name w:val="批注主题 字符"/>
    <w:basedOn w:val="51"/>
    <w:link w:val="18"/>
    <w:semiHidden/>
    <w:qFormat/>
    <w:uiPriority w:val="99"/>
    <w:rPr>
      <w:rFonts w:ascii="Times New Roman" w:hAnsi="Times New Roman" w:eastAsia="Times New Roman" w:cstheme="minorBidi"/>
      <w:b/>
      <w:bCs/>
      <w:kern w:val="2"/>
      <w:sz w:val="24"/>
      <w14:ligatures w14:val="standardContextual"/>
    </w:rPr>
  </w:style>
  <w:style w:type="character" w:customStyle="1" w:styleId="53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4">
    <w:name w:val="EndNote Bibliography Title"/>
    <w:basedOn w:val="1"/>
    <w:link w:val="55"/>
    <w:qFormat/>
    <w:uiPriority w:val="0"/>
    <w:pPr>
      <w:jc w:val="center"/>
    </w:pPr>
    <w:rPr>
      <w:rFonts w:cs="Times New Roman"/>
    </w:rPr>
  </w:style>
  <w:style w:type="character" w:customStyle="1" w:styleId="55">
    <w:name w:val="EndNote Bibliography Title 字符"/>
    <w:basedOn w:val="20"/>
    <w:link w:val="54"/>
    <w:qFormat/>
    <w:uiPriority w:val="0"/>
    <w:rPr>
      <w:rFonts w:ascii="Times New Roman" w:hAnsi="Times New Roman" w:eastAsia="Times New Roman"/>
      <w:kern w:val="2"/>
      <w:sz w:val="24"/>
      <w14:ligatures w14:val="standardContextual"/>
    </w:rPr>
  </w:style>
  <w:style w:type="paragraph" w:customStyle="1" w:styleId="56">
    <w:name w:val="EndNote Bibliography"/>
    <w:basedOn w:val="1"/>
    <w:link w:val="57"/>
    <w:qFormat/>
    <w:uiPriority w:val="0"/>
    <w:rPr>
      <w:rFonts w:cs="Times New Roman"/>
    </w:rPr>
  </w:style>
  <w:style w:type="character" w:customStyle="1" w:styleId="57">
    <w:name w:val="EndNote Bibliography 字符"/>
    <w:basedOn w:val="20"/>
    <w:link w:val="56"/>
    <w:qFormat/>
    <w:uiPriority w:val="0"/>
    <w:rPr>
      <w:rFonts w:ascii="Times New Roman" w:hAnsi="Times New Roman" w:eastAsia="Times New Roman"/>
      <w:kern w:val="2"/>
      <w:sz w:val="24"/>
      <w14:ligatures w14:val="standardContextual"/>
    </w:rPr>
  </w:style>
  <w:style w:type="character" w:customStyle="1" w:styleId="58">
    <w:name w:val="font61"/>
    <w:basedOn w:val="2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59">
    <w:name w:val="font4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0">
    <w:name w:val="font21"/>
    <w:basedOn w:val="2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518</Words>
  <Characters>2798</Characters>
  <Lines>93</Lines>
  <Paragraphs>26</Paragraphs>
  <TotalTime>49</TotalTime>
  <ScaleCrop>false</ScaleCrop>
  <LinksUpToDate>false</LinksUpToDate>
  <CharactersWithSpaces>3138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2025-05-23T12:45:00Z</dcterms:created>
  <dc:creator>冠华 余</dc:creator>
  <cp:lastModifiedBy>Shuofeng Li</cp:lastModifiedBy>
  <cp:lastPrinted>2025-03-29T19:30:00Z</cp:lastPrinted>
  <dcterms:modified xsi:type="dcterms:W3CDTF">2025-06-19T09:51:06Z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eyJoZGlkIjoiNGVhYTg3MDhlMTg3YmNiYTlmMTQ5MTRjZGZjMzQ0YjMiLCJ1c2VySWQiOiIyNTQ5MjI4MzIifQ==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A5D6435E555340399D4311BF2A124C47_13</vt:lpwstr>
  </property>
</Properties>
</file>