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CCF3A" w14:textId="4CD7901B" w:rsidR="00FE459F" w:rsidRPr="00680C56" w:rsidRDefault="00680C56" w:rsidP="00E5097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</w:pPr>
      <w:r w:rsidRPr="00680C5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  <w:t>Cancer Immunology, Immunotherapy (submitted in 20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  <w:t>2</w:t>
      </w:r>
      <w:r w:rsidRPr="00680C5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  <w:t xml:space="preserve">5) </w:t>
      </w:r>
      <w:proofErr w:type="gramStart"/>
      <w:r w:rsidRPr="00680C5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  <w:t xml:space="preserve"> Silvia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  <w:t xml:space="preserve"> Zaninelli</w:t>
      </w:r>
      <w:r w:rsidRPr="00680C5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  <w:t xml:space="preserve"> et al.</w:t>
      </w:r>
    </w:p>
    <w:p w14:paraId="608E2412" w14:textId="77777777" w:rsidR="00680C56" w:rsidRDefault="00680C56">
      <w:pP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</w:p>
    <w:p w14:paraId="6253FC8E" w14:textId="3A40BC8C" w:rsidR="004B0C0C" w:rsidRPr="00680C56" w:rsidRDefault="004B0C0C">
      <w:pP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4B0C0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  <w:t>Supplementary Materials and Methods</w:t>
      </w:r>
    </w:p>
    <w:p w14:paraId="0F1AA267" w14:textId="77777777" w:rsidR="004B0C0C" w:rsidRPr="004B0C0C" w:rsidRDefault="004B0C0C" w:rsidP="004B0C0C">
      <w:pPr>
        <w:keepNext/>
        <w:keepLines/>
        <w:spacing w:before="160" w:after="80" w:line="360" w:lineRule="auto"/>
        <w:jc w:val="both"/>
        <w:outlineLvl w:val="2"/>
        <w:rPr>
          <w:rFonts w:ascii="Times New Roman" w:eastAsia="Times New Roman" w:hAnsi="Times New Roman" w:cs="Times New Roman"/>
          <w:i/>
          <w:iCs/>
          <w:color w:val="000000"/>
          <w:kern w:val="0"/>
          <w:lang w:eastAsia="it-IT"/>
          <w14:ligatures w14:val="none"/>
        </w:rPr>
      </w:pPr>
      <w:r w:rsidRPr="004B0C0C">
        <w:rPr>
          <w:rFonts w:ascii="Times New Roman" w:eastAsia="Times New Roman" w:hAnsi="Times New Roman" w:cs="Times New Roman"/>
          <w:i/>
          <w:iCs/>
          <w:color w:val="000000"/>
          <w:kern w:val="0"/>
          <w:lang w:eastAsia="it-IT"/>
          <w14:ligatures w14:val="none"/>
        </w:rPr>
        <w:t>Cytotoxicity assay</w:t>
      </w:r>
    </w:p>
    <w:p w14:paraId="0BD50C42" w14:textId="77777777" w:rsidR="004B0C0C" w:rsidRPr="004B0C0C" w:rsidRDefault="004B0C0C" w:rsidP="004B0C0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Cell lysis was evaluated using the GFP-</w:t>
      </w:r>
      <w:proofErr w:type="spellStart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certified</w:t>
      </w:r>
      <w:r w:rsidRPr="004B0C0C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it-IT"/>
          <w14:ligatures w14:val="none"/>
        </w:rPr>
        <w:t>TM</w:t>
      </w:r>
      <w:proofErr w:type="spellEnd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Apoptosis/Necrosis detection kit (Enzo Life Science, Farmingdale, NY, USA). TNC</w:t>
      </w:r>
      <w:r w:rsidRPr="004B0C0C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it-IT"/>
          <w14:ligatures w14:val="none"/>
        </w:rPr>
        <w:t>+</w:t>
      </w:r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target cell lines were first labeled with the </w:t>
      </w:r>
      <w:proofErr w:type="gramStart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green fluorescent</w:t>
      </w:r>
      <w:proofErr w:type="gramEnd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dye 5(6)-</w:t>
      </w:r>
      <w:proofErr w:type="spellStart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Carboxyfluorescein</w:t>
      </w:r>
      <w:proofErr w:type="spellEnd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diacetate </w:t>
      </w:r>
      <w:r w:rsidRPr="004B0C0C">
        <w:rPr>
          <w:rFonts w:ascii="Times New Roman" w:eastAsia="Times New Roman" w:hAnsi="Times New Roman" w:cs="Times New Roman"/>
          <w:i/>
          <w:iCs/>
          <w:color w:val="000000"/>
          <w:kern w:val="0"/>
          <w:lang w:eastAsia="it-IT"/>
          <w14:ligatures w14:val="none"/>
        </w:rPr>
        <w:t>N-</w:t>
      </w:r>
      <w:proofErr w:type="spellStart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succinimidyl</w:t>
      </w:r>
      <w:proofErr w:type="spellEnd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ester (CFSE; Sigma-Aldrich, Merck KGaA). The CEM-TNC-TM</w:t>
      </w:r>
      <w:r w:rsidRPr="004B0C0C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it-IT"/>
          <w14:ligatures w14:val="none"/>
        </w:rPr>
        <w:t>+</w:t>
      </w:r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and HEK-293-TNC-TM</w:t>
      </w:r>
      <w:r w:rsidRPr="004B0C0C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it-IT"/>
          <w14:ligatures w14:val="none"/>
        </w:rPr>
        <w:t>+</w:t>
      </w:r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cell lines were stained with 0.5 </w:t>
      </w:r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sym w:font="Symbol" w:char="F06D"/>
      </w:r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M CFSE immediately prior to testing, while the HT-29 and MDA-MB-231 cell lines, naturally expressing TNC, were stained with 1 </w:t>
      </w:r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sym w:font="Symbol" w:char="F06D"/>
      </w:r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M CFSE, </w:t>
      </w:r>
      <w:bookmarkStart w:id="0" w:name="_Hlk186811306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plated and allowed to reach confluency for four days in culture</w:t>
      </w:r>
      <w:bookmarkEnd w:id="0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. </w:t>
      </w:r>
      <w:bookmarkStart w:id="1" w:name="_Hlk186811539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Gene modified or unmodified CIK cells </w:t>
      </w:r>
      <w:bookmarkEnd w:id="1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were then co-cultured with CFSE-labeled targets at a 5:1, 1:1, down to 1:10 </w:t>
      </w:r>
      <w:proofErr w:type="spellStart"/>
      <w:proofErr w:type="gramStart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effector:target</w:t>
      </w:r>
      <w:proofErr w:type="spellEnd"/>
      <w:proofErr w:type="gramEnd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(</w:t>
      </w:r>
      <w:proofErr w:type="gramStart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E:T</w:t>
      </w:r>
      <w:proofErr w:type="gramEnd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) ratio for 4-24 hours. Cells were then collected, washed and stained with the Apoptosis Detection Reagent (Annexin V-Enzo Gold) and the Necrosis Detection Reagent for 10 minutes and analyzed by flow cytometry. The percentage of dead cells was determined by calculating the overall percentage of Annexin V</w:t>
      </w:r>
      <w:r w:rsidRPr="004B0C0C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it-IT"/>
          <w14:ligatures w14:val="none"/>
        </w:rPr>
        <w:t>+</w:t>
      </w:r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and Necrosis Detection Reagent</w:t>
      </w:r>
      <w:r w:rsidRPr="004B0C0C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it-IT"/>
          <w14:ligatures w14:val="none"/>
        </w:rPr>
        <w:t>+</w:t>
      </w:r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in CFSE</w:t>
      </w:r>
      <w:r w:rsidRPr="004B0C0C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it-IT"/>
          <w14:ligatures w14:val="none"/>
        </w:rPr>
        <w:t>+</w:t>
      </w:r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target cells co-cultured with the effectors minus the spontaneous lysis of target cells alone. Maximal lysis was measured by adding Apoptosis Inducer (</w:t>
      </w:r>
      <w:proofErr w:type="spellStart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staurosporine</w:t>
      </w:r>
      <w:proofErr w:type="spellEnd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) in positive control wells. </w:t>
      </w:r>
    </w:p>
    <w:p w14:paraId="0743F45B" w14:textId="755ECA36" w:rsidR="004B0C0C" w:rsidRPr="004B0C0C" w:rsidRDefault="004B0C0C" w:rsidP="004B0C0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To detect synergy </w:t>
      </w:r>
      <w:r w:rsidRPr="004B0C0C">
        <w:rPr>
          <w:rFonts w:ascii="Times New Roman" w:eastAsia="Times New Roman" w:hAnsi="Times New Roman" w:cs="Times New Roman"/>
          <w:i/>
          <w:iCs/>
          <w:color w:val="000000"/>
          <w:kern w:val="0"/>
          <w:lang w:eastAsia="it-IT"/>
          <w14:ligatures w14:val="none"/>
        </w:rPr>
        <w:t>in vitro</w:t>
      </w:r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with combined secreted EGFRxCD3 </w:t>
      </w:r>
      <w:proofErr w:type="spellStart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sBiTE</w:t>
      </w:r>
      <w:proofErr w:type="spellEnd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and CAR-TNC, standard </w:t>
      </w:r>
      <w:proofErr w:type="spellStart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calcein</w:t>
      </w:r>
      <w:proofErr w:type="spellEnd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-AM cytotoxicity assays were performed</w:t>
      </w: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. </w:t>
      </w:r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Briefly, MDA-MB-231 cells were plated and allowed to reach confluency. After four days of culture, target cells were labeled with 1 µM </w:t>
      </w:r>
      <w:proofErr w:type="spellStart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Calcein</w:t>
      </w:r>
      <w:proofErr w:type="spellEnd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-AM (</w:t>
      </w:r>
      <w:proofErr w:type="spellStart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Fluka</w:t>
      </w:r>
      <w:proofErr w:type="spellEnd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, Sigma-Aldrich) and washed twice in complete medium. Labeled cells were then incubated at 37°C, 5% CO2, in the presence of gene-modified or unmodified CIK cells at different </w:t>
      </w:r>
      <w:proofErr w:type="spellStart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effector:target</w:t>
      </w:r>
      <w:proofErr w:type="spellEnd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ratios. After 4 h, the cells were sedimented by centrifugation, 100 µL supernatant was collected, and </w:t>
      </w:r>
      <w:proofErr w:type="spellStart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calcein</w:t>
      </w:r>
      <w:proofErr w:type="spellEnd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release was determined using a fluorescence microplate reader (</w:t>
      </w:r>
      <w:proofErr w:type="spellStart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Fluostar</w:t>
      </w:r>
      <w:proofErr w:type="spellEnd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Optima, BMG Labtech, </w:t>
      </w:r>
      <w:proofErr w:type="spellStart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Ortenberg</w:t>
      </w:r>
      <w:proofErr w:type="spellEnd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, Germany) (excitation: 485 nm and emission: 535 nm). The percentage of specific </w:t>
      </w:r>
      <w:proofErr w:type="spellStart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calcein</w:t>
      </w:r>
      <w:proofErr w:type="spellEnd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release was calculated as % specific lysis with the formula:</w:t>
      </w:r>
    </w:p>
    <w:p w14:paraId="5501F942" w14:textId="77777777" w:rsidR="004B0C0C" w:rsidRPr="004B0C0C" w:rsidRDefault="004B0C0C" w:rsidP="004B0C0C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it-IT" w:eastAsia="it-IT"/>
          <w14:ligatures w14:val="none"/>
        </w:rPr>
      </w:pPr>
      <m:oMathPara>
        <m:oMath>
          <m:r>
            <m:rPr>
              <m:sty m:val="p"/>
            </m:rPr>
            <w:rPr>
              <w:rFonts w:ascii="Cambria Math" w:eastAsia="Times New Roman" w:hAnsi="Cambria Math" w:cs="Times New Roman"/>
              <w:kern w:val="0"/>
              <w:lang w:val="it-IT" w:eastAsia="it-IT"/>
              <w14:ligatures w14:val="none"/>
            </w:rPr>
            <m:t>% specific lysis=100x</m:t>
          </m:r>
          <m:f>
            <m:fPr>
              <m:ctrlPr>
                <w:rPr>
                  <w:rFonts w:ascii="Cambria Math" w:eastAsia="Times New Roman" w:hAnsi="Cambria Math" w:cs="Times New Roman"/>
                  <w:kern w:val="0"/>
                  <w:lang w:val="it-IT" w:eastAsia="it-IT"/>
                  <w14:ligatures w14:val="none"/>
                </w:rPr>
              </m:ctrlPr>
            </m:fPr>
            <m:num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lang w:val="it-IT" w:eastAsia="it-IT"/>
                      <w14:ligatures w14:val="none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kern w:val="0"/>
                      <w:lang w:val="it-IT" w:eastAsia="it-IT"/>
                      <w14:ligatures w14:val="none"/>
                    </w:rPr>
                    <m:t>test release - spontaneous release</m:t>
                  </m:r>
                  <m:ctrlPr>
                    <w:rPr>
                      <w:rFonts w:ascii="Cambria Math" w:eastAsia="Times New Roman" w:hAnsi="Cambria Math" w:cs="Times New Roman"/>
                      <w:kern w:val="0"/>
                      <w:lang w:val="it-IT" w:eastAsia="it-IT"/>
                      <w14:ligatures w14:val="none"/>
                    </w:rPr>
                  </m:ctrlPr>
                </m:e>
              </m:d>
            </m:num>
            <m:den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lang w:val="it-IT" w:eastAsia="it-IT"/>
                      <w14:ligatures w14:val="none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kern w:val="0"/>
                      <w:lang w:val="it-IT" w:eastAsia="it-IT"/>
                      <w14:ligatures w14:val="none"/>
                    </w:rPr>
                    <m:t>maximal release - spontaneous release</m:t>
                  </m:r>
                  <m:ctrlPr>
                    <w:rPr>
                      <w:rFonts w:ascii="Cambria Math" w:eastAsia="Times New Roman" w:hAnsi="Cambria Math" w:cs="Times New Roman"/>
                      <w:kern w:val="0"/>
                      <w:lang w:val="it-IT" w:eastAsia="it-IT"/>
                      <w14:ligatures w14:val="none"/>
                    </w:rPr>
                  </m:ctrlPr>
                </m:e>
              </m:d>
            </m:den>
          </m:f>
        </m:oMath>
      </m:oMathPara>
    </w:p>
    <w:p w14:paraId="47C44DA4" w14:textId="77777777" w:rsidR="004B0C0C" w:rsidRPr="004B0C0C" w:rsidRDefault="004B0C0C" w:rsidP="004B0C0C">
      <w:pPr>
        <w:keepNext/>
        <w:keepLines/>
        <w:spacing w:before="160" w:after="80" w:line="360" w:lineRule="auto"/>
        <w:jc w:val="both"/>
        <w:outlineLvl w:val="2"/>
        <w:rPr>
          <w:rFonts w:ascii="Times New Roman" w:eastAsia="Times New Roman" w:hAnsi="Times New Roman" w:cs="Times New Roman"/>
          <w:i/>
          <w:iCs/>
          <w:color w:val="000000"/>
          <w:kern w:val="0"/>
          <w:lang w:eastAsia="it-IT"/>
          <w14:ligatures w14:val="none"/>
        </w:rPr>
      </w:pPr>
      <w:r w:rsidRPr="004B0C0C">
        <w:rPr>
          <w:rFonts w:ascii="Times New Roman" w:eastAsia="Times New Roman" w:hAnsi="Times New Roman" w:cs="Times New Roman"/>
          <w:i/>
          <w:iCs/>
          <w:color w:val="000000"/>
          <w:kern w:val="0"/>
          <w:lang w:eastAsia="it-IT"/>
          <w14:ligatures w14:val="none"/>
        </w:rPr>
        <w:lastRenderedPageBreak/>
        <w:t>Proliferation assays</w:t>
      </w:r>
    </w:p>
    <w:p w14:paraId="50E35F4C" w14:textId="77777777" w:rsidR="004B0C0C" w:rsidRPr="004B0C0C" w:rsidRDefault="004B0C0C" w:rsidP="004B0C0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The proliferation of CARCIK-TNC cells following target recognition was evaluated using CFSE. Briefly, CIK and CARCIK-TNC cells were stained with 1 </w:t>
      </w:r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sym w:font="Symbol" w:char="F06D"/>
      </w:r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M CFSE and plated at 0.4x10</w:t>
      </w:r>
      <w:r w:rsidRPr="004B0C0C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it-IT"/>
          <w14:ligatures w14:val="none"/>
        </w:rPr>
        <w:t>6</w:t>
      </w:r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cells/well in presence or absence of target cells. In the case of HT-29 and MDA-MB-231 target cell lines were plated overnight prior to adding CARCIK-TNC to let them adhere to plastic and express TNC extracellularly. After 4 days co-culture, cells were collected and stained with CD3-PE, CD4-PE-Cy7 and CD8-APC-H7 antibodies (BD Bioscience) and CFSE expression was analyzed on different populations by flow cytometry, using the </w:t>
      </w:r>
      <w:proofErr w:type="spellStart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ModFit</w:t>
      </w:r>
      <w:proofErr w:type="spellEnd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LT</w:t>
      </w:r>
      <w:r w:rsidRPr="004B0C0C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it-IT"/>
          <w14:ligatures w14:val="none"/>
        </w:rPr>
        <w:t>TM</w:t>
      </w:r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software to calculate the proliferation index.</w:t>
      </w:r>
    </w:p>
    <w:p w14:paraId="3DCBD4D4" w14:textId="77777777" w:rsidR="004B0C0C" w:rsidRPr="004B0C0C" w:rsidRDefault="004B0C0C" w:rsidP="004B0C0C">
      <w:pPr>
        <w:keepNext/>
        <w:keepLines/>
        <w:spacing w:before="160" w:after="80" w:line="360" w:lineRule="auto"/>
        <w:jc w:val="both"/>
        <w:outlineLvl w:val="2"/>
        <w:rPr>
          <w:rFonts w:ascii="Times New Roman" w:eastAsia="Times New Roman" w:hAnsi="Times New Roman" w:cs="Times New Roman"/>
          <w:i/>
          <w:iCs/>
          <w:color w:val="000000"/>
          <w:kern w:val="0"/>
          <w:lang w:eastAsia="it-IT"/>
          <w14:ligatures w14:val="none"/>
        </w:rPr>
      </w:pPr>
      <w:r w:rsidRPr="004B0C0C">
        <w:rPr>
          <w:rFonts w:ascii="Times New Roman" w:eastAsia="Times New Roman" w:hAnsi="Times New Roman" w:cs="Times New Roman"/>
          <w:i/>
          <w:iCs/>
          <w:color w:val="000000"/>
          <w:kern w:val="0"/>
          <w:lang w:eastAsia="it-IT"/>
          <w14:ligatures w14:val="none"/>
        </w:rPr>
        <w:t>Cytokine induction</w:t>
      </w:r>
    </w:p>
    <w:p w14:paraId="4FB0AA46" w14:textId="77777777" w:rsidR="004B0C0C" w:rsidRDefault="004B0C0C" w:rsidP="004B0C0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The ability of CARCIK-TNC cells to produce cytokines in response to target cells was evaluated by intracellular staining and flow cytometry. HT-29 and MDA-MB-231 cells were plated for four days prior to testing to reach confluency and express TNC extracellularly. Effector and target cells were co-cultured for six hours at a 1:1 E:T ratio in presence of BD </w:t>
      </w:r>
      <w:proofErr w:type="spellStart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GolgiStop</w:t>
      </w:r>
      <w:proofErr w:type="spellEnd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solution (BD Bioscience). Cells were then collected, fixed and permeabilized using the BD </w:t>
      </w:r>
      <w:proofErr w:type="spellStart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Cytofix</w:t>
      </w:r>
      <w:proofErr w:type="spellEnd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/</w:t>
      </w:r>
      <w:proofErr w:type="spellStart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Cytoperm</w:t>
      </w:r>
      <w:proofErr w:type="spellEnd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kit (BD Bioscience) following the manufacturer’s instructions and stained with CD3-PerCP-Cy5.5, CD4-PE-Cy7, CD8-APC-H7 (BD Bioscience), IFN-</w:t>
      </w:r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sym w:font="Symbol" w:char="F067"/>
      </w:r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-FITC and IL-2-PE antibodies (</w:t>
      </w:r>
      <w:proofErr w:type="spellStart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Miltenyi</w:t>
      </w:r>
      <w:proofErr w:type="spellEnd"/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Biotec). The samples were then analyzed by flow cytometry.</w:t>
      </w:r>
    </w:p>
    <w:p w14:paraId="4F5E4647" w14:textId="72346757" w:rsidR="004B0C0C" w:rsidRPr="004B0C0C" w:rsidRDefault="004B0C0C" w:rsidP="004B0C0C">
      <w:pPr>
        <w:keepNext/>
        <w:keepLines/>
        <w:spacing w:before="160" w:after="80" w:line="360" w:lineRule="auto"/>
        <w:jc w:val="both"/>
        <w:outlineLvl w:val="2"/>
        <w:rPr>
          <w:rFonts w:ascii="Times New Roman" w:eastAsia="Times New Roman" w:hAnsi="Times New Roman" w:cs="Times New Roman"/>
          <w:i/>
          <w:iCs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00"/>
          <w:kern w:val="0"/>
          <w:lang w:eastAsia="it-IT"/>
          <w14:ligatures w14:val="none"/>
        </w:rPr>
        <w:t>Immunohistochemistry analysis</w:t>
      </w:r>
    </w:p>
    <w:p w14:paraId="576CB525" w14:textId="2E5B5F3A" w:rsidR="004B0C0C" w:rsidRPr="004B0C0C" w:rsidRDefault="004B0C0C" w:rsidP="004B0C0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CIK cell infiltration in tumor tissue was analyzed in </w:t>
      </w:r>
      <w:r w:rsidRPr="004B0C0C">
        <w:rPr>
          <w:rFonts w:ascii="Times New Roman" w:eastAsia="Calibri" w:hAnsi="Times New Roman" w:cs="Times New Roman"/>
          <w:kern w:val="0"/>
          <w:lang w:val="en-GB" w:eastAsia="it-IT"/>
          <w14:ligatures w14:val="none"/>
        </w:rPr>
        <w:t>3 µm-thick formalin-fixed, paraffin embedded (FFPE) sections, after</w:t>
      </w:r>
      <w:r w:rsidRPr="004B0C0C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staining for cells expressing human CD3 (CIK) and </w:t>
      </w:r>
      <w:r w:rsidRPr="004B0C0C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>Human Nuclear Antigen (HNA)(</w:t>
      </w:r>
      <w:proofErr w:type="spellStart"/>
      <w:r w:rsidRPr="004B0C0C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>tumor</w:t>
      </w:r>
      <w:proofErr w:type="spellEnd"/>
      <w:r w:rsidRPr="004B0C0C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>)</w:t>
      </w:r>
      <w:r w:rsidRPr="004B0C0C">
        <w:rPr>
          <w:rFonts w:ascii="Times New Roman" w:eastAsia="Calibri" w:hAnsi="Times New Roman" w:cs="Times New Roman"/>
          <w:kern w:val="0"/>
          <w:lang w:val="en-GB" w:eastAsia="it-IT"/>
          <w14:ligatures w14:val="none"/>
        </w:rPr>
        <w:t xml:space="preserve">. After </w:t>
      </w:r>
      <w:r w:rsidRPr="004B0C0C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 xml:space="preserve">deparaffinization and rehydration in decreasing alcohols, antigen retrieval was performed using a Decloaking chamber (DC </w:t>
      </w:r>
      <w:proofErr w:type="spellStart"/>
      <w:r w:rsidRPr="004B0C0C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>NxGen</w:t>
      </w:r>
      <w:proofErr w:type="spellEnd"/>
      <w:r w:rsidRPr="004B0C0C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 xml:space="preserve"> 220V, </w:t>
      </w:r>
      <w:proofErr w:type="spellStart"/>
      <w:r w:rsidRPr="004B0C0C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>Biocare</w:t>
      </w:r>
      <w:proofErr w:type="spellEnd"/>
      <w:r w:rsidRPr="004B0C0C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 xml:space="preserve"> Medical) for 15 minutes at 110°C with DIVA decloaking buffer pH 6.0 (</w:t>
      </w:r>
      <w:proofErr w:type="spellStart"/>
      <w:r w:rsidRPr="004B0C0C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>Biocare</w:t>
      </w:r>
      <w:proofErr w:type="spellEnd"/>
      <w:r w:rsidRPr="004B0C0C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 xml:space="preserve"> Medical). Endogenous peroxidases were then quenched by incubating sections for 5 minutes with peroxidazed1 (</w:t>
      </w:r>
      <w:proofErr w:type="spellStart"/>
      <w:r w:rsidRPr="004B0C0C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>Biocare</w:t>
      </w:r>
      <w:proofErr w:type="spellEnd"/>
      <w:r w:rsidRPr="004B0C0C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 xml:space="preserve"> Medical). After blocking non-specific sites with Background Punisher (</w:t>
      </w:r>
      <w:proofErr w:type="spellStart"/>
      <w:r w:rsidRPr="004B0C0C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>Biocare</w:t>
      </w:r>
      <w:proofErr w:type="spellEnd"/>
      <w:r w:rsidRPr="004B0C0C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 xml:space="preserve"> Medical), sections were incubated with LN10 mouse anti-human CD3 (1:100, </w:t>
      </w:r>
      <w:proofErr w:type="spellStart"/>
      <w:r w:rsidRPr="004B0C0C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>Biocare</w:t>
      </w:r>
      <w:proofErr w:type="spellEnd"/>
      <w:r w:rsidRPr="004B0C0C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 xml:space="preserve"> Medical) or mouse anti-HNA (Sigma Aldrich)</w:t>
      </w:r>
      <w:r w:rsidR="000E2BB3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 xml:space="preserve"> or </w:t>
      </w:r>
      <w:r w:rsidR="000E2BB3" w:rsidRPr="000E2BB3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 xml:space="preserve">mouse anti-human Granzyme B (1:100, Leica </w:t>
      </w:r>
      <w:proofErr w:type="spellStart"/>
      <w:r w:rsidR="000E2BB3" w:rsidRPr="000E2BB3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>Biosytems</w:t>
      </w:r>
      <w:proofErr w:type="spellEnd"/>
      <w:r w:rsidR="000E2BB3" w:rsidRPr="000E2BB3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>)</w:t>
      </w:r>
      <w:r w:rsidRPr="004B0C0C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>, followed by MACH4-HRP Polymer kit (</w:t>
      </w:r>
      <w:proofErr w:type="spellStart"/>
      <w:r w:rsidRPr="004B0C0C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>Biocare</w:t>
      </w:r>
      <w:proofErr w:type="spellEnd"/>
      <w:r w:rsidRPr="004B0C0C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 xml:space="preserve"> Medical) and diaminobenzidine substrate solution. Slides were finally counterstained with Meyer’s </w:t>
      </w:r>
      <w:proofErr w:type="spellStart"/>
      <w:r w:rsidRPr="004B0C0C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>hematoxylin</w:t>
      </w:r>
      <w:proofErr w:type="spellEnd"/>
      <w:r w:rsidRPr="004B0C0C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 xml:space="preserve">, dehydrated in graded alcohols and observed by light microscopy </w:t>
      </w:r>
      <w:r w:rsidRPr="004B0C0C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lastRenderedPageBreak/>
        <w:t>(Apotome Axio Imager Z2, Zeiss). Some tissue portions were imaged as mosaic reconstruction through a motorized stage using an EC Plan-</w:t>
      </w:r>
      <w:proofErr w:type="spellStart"/>
      <w:r w:rsidRPr="004B0C0C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>Neofluar</w:t>
      </w:r>
      <w:proofErr w:type="spellEnd"/>
      <w:r w:rsidRPr="004B0C0C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 xml:space="preserve"> 20x objective lens and </w:t>
      </w:r>
      <w:proofErr w:type="spellStart"/>
      <w:r w:rsidRPr="004B0C0C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>Axiovision</w:t>
      </w:r>
      <w:proofErr w:type="spellEnd"/>
      <w:r w:rsidRPr="004B0C0C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 xml:space="preserve"> 4.8.2 acquisition software (Zeiss).</w:t>
      </w:r>
    </w:p>
    <w:p w14:paraId="006E3160" w14:textId="77777777" w:rsidR="004B0C0C" w:rsidRPr="004B0C0C" w:rsidRDefault="004B0C0C" w:rsidP="004B0C0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4B0C0C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>CD3</w:t>
      </w:r>
      <w:r w:rsidRPr="004B0C0C">
        <w:rPr>
          <w:rFonts w:ascii="Times New Roman" w:eastAsia="Times New Roman" w:hAnsi="Times New Roman" w:cs="Times New Roman"/>
          <w:kern w:val="0"/>
          <w:vertAlign w:val="superscript"/>
          <w:lang w:val="en-GB" w:eastAsia="it-IT"/>
          <w14:ligatures w14:val="none"/>
        </w:rPr>
        <w:t>+</w:t>
      </w:r>
      <w:r w:rsidRPr="004B0C0C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 xml:space="preserve"> cells were quantified throughout the sections as the number of observed CD3</w:t>
      </w:r>
      <w:r w:rsidRPr="004B0C0C">
        <w:rPr>
          <w:rFonts w:ascii="Times New Roman" w:eastAsia="Times New Roman" w:hAnsi="Times New Roman" w:cs="Times New Roman"/>
          <w:kern w:val="0"/>
          <w:vertAlign w:val="superscript"/>
          <w:lang w:val="en-GB" w:eastAsia="it-IT"/>
          <w14:ligatures w14:val="none"/>
        </w:rPr>
        <w:t>+</w:t>
      </w:r>
      <w:r w:rsidRPr="004B0C0C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 xml:space="preserve"> cells in each high-power field (HPF – 40x objective), by considering, for every sample, two independent sections cut at different depths. The extent of CD3</w:t>
      </w:r>
      <w:r w:rsidRPr="004B0C0C">
        <w:rPr>
          <w:rFonts w:ascii="Times New Roman" w:eastAsia="Times New Roman" w:hAnsi="Times New Roman" w:cs="Times New Roman"/>
          <w:kern w:val="0"/>
          <w:vertAlign w:val="superscript"/>
          <w:lang w:val="en-GB" w:eastAsia="it-IT"/>
          <w14:ligatures w14:val="none"/>
        </w:rPr>
        <w:t>+</w:t>
      </w:r>
      <w:r w:rsidRPr="004B0C0C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 xml:space="preserve"> cells infiltration was expressed as the mean count of CD3</w:t>
      </w:r>
      <w:r w:rsidRPr="004B0C0C">
        <w:rPr>
          <w:rFonts w:ascii="Times New Roman" w:eastAsia="Times New Roman" w:hAnsi="Times New Roman" w:cs="Times New Roman"/>
          <w:kern w:val="0"/>
          <w:vertAlign w:val="superscript"/>
          <w:lang w:val="en-GB" w:eastAsia="it-IT"/>
          <w14:ligatures w14:val="none"/>
        </w:rPr>
        <w:t>+</w:t>
      </w:r>
      <w:r w:rsidRPr="004B0C0C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 xml:space="preserve"> cells per field.</w:t>
      </w:r>
    </w:p>
    <w:p w14:paraId="48C9FE3D" w14:textId="7CB1BEA1" w:rsidR="004B0C0C" w:rsidRDefault="004B0C0C"/>
    <w:p w14:paraId="32B83E2A" w14:textId="77777777" w:rsidR="00E5097E" w:rsidRDefault="00E5097E"/>
    <w:p w14:paraId="5ED87EF5" w14:textId="77777777" w:rsidR="00E5097E" w:rsidRDefault="00E5097E"/>
    <w:p w14:paraId="27B1C115" w14:textId="77777777" w:rsidR="00E5097E" w:rsidRDefault="00E5097E"/>
    <w:p w14:paraId="2FE2524D" w14:textId="77777777" w:rsidR="00E5097E" w:rsidRDefault="00E5097E"/>
    <w:p w14:paraId="6B4A6086" w14:textId="77777777" w:rsidR="00E5097E" w:rsidRDefault="00E5097E"/>
    <w:p w14:paraId="205A2E5C" w14:textId="77777777" w:rsidR="00E5097E" w:rsidRDefault="00E5097E"/>
    <w:p w14:paraId="32B7A82A" w14:textId="77777777" w:rsidR="00E5097E" w:rsidRDefault="00E5097E"/>
    <w:p w14:paraId="053D3D9E" w14:textId="77777777" w:rsidR="00E5097E" w:rsidRDefault="00E5097E"/>
    <w:p w14:paraId="342203C8" w14:textId="77777777" w:rsidR="00E5097E" w:rsidRDefault="00E5097E"/>
    <w:p w14:paraId="199243AB" w14:textId="77777777" w:rsidR="00E5097E" w:rsidRDefault="00E5097E"/>
    <w:p w14:paraId="3827B94B" w14:textId="77777777" w:rsidR="00E5097E" w:rsidRDefault="00E5097E"/>
    <w:p w14:paraId="76D1E73D" w14:textId="77777777" w:rsidR="00E5097E" w:rsidRDefault="00E5097E"/>
    <w:p w14:paraId="586102BD" w14:textId="77777777" w:rsidR="00E5097E" w:rsidRDefault="00E5097E"/>
    <w:p w14:paraId="17D3FC12" w14:textId="77777777" w:rsidR="00E5097E" w:rsidRDefault="00E5097E"/>
    <w:p w14:paraId="72FB987C" w14:textId="77777777" w:rsidR="00E5097E" w:rsidRDefault="00E5097E"/>
    <w:p w14:paraId="132DF07C" w14:textId="77777777" w:rsidR="00E5097E" w:rsidRDefault="00E5097E"/>
    <w:p w14:paraId="24979108" w14:textId="77777777" w:rsidR="00E5097E" w:rsidRDefault="00E5097E"/>
    <w:p w14:paraId="54A98B1A" w14:textId="77777777" w:rsidR="00E5097E" w:rsidRDefault="00E5097E"/>
    <w:p w14:paraId="4749DC6C" w14:textId="77777777" w:rsidR="00E5097E" w:rsidRDefault="00E5097E"/>
    <w:p w14:paraId="6994FD7A" w14:textId="77777777" w:rsidR="00E5097E" w:rsidRDefault="00E5097E"/>
    <w:p w14:paraId="1F066035" w14:textId="19B3D6D0" w:rsidR="00C24403" w:rsidRDefault="00E5097E" w:rsidP="00E5097E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</w:pPr>
      <w:r w:rsidRPr="004B0C0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  <w:t xml:space="preserve">Supplementary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  <w:t>Figures</w:t>
      </w:r>
    </w:p>
    <w:p w14:paraId="33250211" w14:textId="302FB830" w:rsidR="00C24403" w:rsidRDefault="00C24403" w:rsidP="00C24403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kern w:val="0"/>
          <w:sz w:val="28"/>
          <w:szCs w:val="28"/>
          <w:lang w:eastAsia="it-IT"/>
        </w:rPr>
        <w:drawing>
          <wp:inline distT="0" distB="0" distL="0" distR="0" wp14:anchorId="31B9DD0F" wp14:editId="51B815B2">
            <wp:extent cx="5511800" cy="6350000"/>
            <wp:effectExtent l="0" t="0" r="0" b="0"/>
            <wp:docPr id="4490739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7393" name="Picture 4490739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1800" cy="63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511D9" w14:textId="2C2218FA" w:rsidR="00C24403" w:rsidRPr="00C24403" w:rsidRDefault="00C24403" w:rsidP="00C24403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</w:pPr>
      <w:r w:rsidRPr="00C2440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  <w:t>Supplementary figure S1: TNC protein expression in 2 solid tumor cell lines.</w:t>
      </w:r>
      <w:r w:rsidRPr="00C2440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it-IT" w:eastAsia="it-IT"/>
          <w14:ligatures w14:val="none"/>
        </w:rPr>
        <w:t xml:space="preserve"> </w:t>
      </w:r>
    </w:p>
    <w:p w14:paraId="07A83DAA" w14:textId="00007093" w:rsidR="00C24403" w:rsidRPr="00FE459F" w:rsidRDefault="00C24403" w:rsidP="00FE459F">
      <w:pPr>
        <w:jc w:val="both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C24403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The indicated cell lines were cultured four days to allow extracellular matrix deposition and were then fixed and stained with anti-TNC antibody, Cy3-labelled secondary antibody and DAPI. (A) and (C) negative controls. (B) and (D) Positive TNC fluorescence (red). </w:t>
      </w:r>
    </w:p>
    <w:p w14:paraId="1B9DDC49" w14:textId="54A66C4E" w:rsidR="00C24403" w:rsidRDefault="00C24403" w:rsidP="00C24403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kern w:val="0"/>
          <w:sz w:val="28"/>
          <w:szCs w:val="28"/>
          <w:lang w:eastAsia="it-IT"/>
        </w:rPr>
        <w:lastRenderedPageBreak/>
        <w:drawing>
          <wp:inline distT="0" distB="0" distL="0" distR="0" wp14:anchorId="0F95DA69" wp14:editId="4BB6AB4D">
            <wp:extent cx="5943600" cy="2484120"/>
            <wp:effectExtent l="0" t="0" r="0" b="0"/>
            <wp:docPr id="804463769" name="Picture 4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463769" name="Picture 4" descr="A screenshot of a computer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8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41E78" w14:textId="6A10A52F" w:rsidR="00C24403" w:rsidRPr="00C24403" w:rsidRDefault="00C24403" w:rsidP="00C24403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</w:pPr>
      <w:r w:rsidRPr="00C2440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  <w:t>Supplementary figure S2: Generation of two TNC-TM</w:t>
      </w:r>
      <w:r w:rsidRPr="00C2440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vertAlign w:val="superscript"/>
          <w:lang w:eastAsia="it-IT"/>
          <w14:ligatures w14:val="none"/>
        </w:rPr>
        <w:t>+</w:t>
      </w:r>
      <w:r w:rsidRPr="00C2440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  <w:t xml:space="preserve"> cell lines. </w:t>
      </w:r>
    </w:p>
    <w:p w14:paraId="38D1A34E" w14:textId="4FCC9D5C" w:rsidR="00C24403" w:rsidRDefault="00C24403" w:rsidP="00C24403">
      <w:pPr>
        <w:jc w:val="both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C24403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(A) Schematic representation of the TNC-TM plasmid construct. (B) TNC-TM expression on stably transfected cell lines was measured by flow cytometry: in grey is anti-TNC detection and in blue the isotype control. (C) Immunofluorescent staining of TNC-TM</w:t>
      </w:r>
      <w:r w:rsidRPr="00C24403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it-IT"/>
          <w14:ligatures w14:val="none"/>
        </w:rPr>
        <w:t>+</w:t>
      </w:r>
      <w:r w:rsidRPr="00C24403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HEK-293 cells, Cy3 staining (in red) is for TNC and DAPI (in blue) is for nuclei visualization. Images have been acquired with the inverted fluorescent microscope (63X).</w:t>
      </w:r>
    </w:p>
    <w:p w14:paraId="2344AC8D" w14:textId="77777777" w:rsidR="00C24403" w:rsidRDefault="00C24403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  <w:br w:type="page"/>
      </w:r>
    </w:p>
    <w:p w14:paraId="0F395932" w14:textId="22AE080E" w:rsidR="00C24403" w:rsidRDefault="00C24403" w:rsidP="00887620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kern w:val="0"/>
          <w:sz w:val="28"/>
          <w:szCs w:val="28"/>
          <w:lang w:eastAsia="it-IT"/>
        </w:rPr>
        <w:lastRenderedPageBreak/>
        <w:drawing>
          <wp:inline distT="0" distB="0" distL="0" distR="0" wp14:anchorId="0977D815" wp14:editId="7A7DEB3E">
            <wp:extent cx="4203700" cy="3441700"/>
            <wp:effectExtent l="0" t="0" r="0" b="0"/>
            <wp:docPr id="1574277412" name="Picture 1" descr="A graph of a number of cel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277412" name="Picture 1" descr="A graph of a number of cell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370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71252" w14:textId="034528C2" w:rsidR="00887620" w:rsidRPr="00887620" w:rsidRDefault="00887620" w:rsidP="00887620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</w:pPr>
      <w:r w:rsidRPr="0088762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  <w:t xml:space="preserve">Supplementary Figure S4: </w:t>
      </w:r>
      <w:r w:rsidRPr="00887620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it-IT"/>
          <w14:ligatures w14:val="none"/>
        </w:rPr>
        <w:t xml:space="preserve">in vivo </w:t>
      </w:r>
      <w:r w:rsidRPr="0088762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  <w:t>preliminary data</w:t>
      </w:r>
    </w:p>
    <w:p w14:paraId="3BB68C36" w14:textId="271C49BA" w:rsidR="00887620" w:rsidRPr="00887620" w:rsidRDefault="00887620" w:rsidP="00887620">
      <w:pP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887620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NOD-SCID mice were inoculated with MDA-MB-231 cell lines and treated as shown schematically</w:t>
      </w:r>
      <w:r w:rsidR="00C24403" w:rsidRPr="00C24403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on the </w:t>
      </w:r>
      <w:r w:rsidRPr="00887620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Kaplan-Meier survival curves</w:t>
      </w:r>
      <w:r w:rsidR="00C24403" w:rsidRPr="00C24403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x axis</w:t>
      </w:r>
      <w:r w:rsidRPr="00887620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. </w:t>
      </w:r>
    </w:p>
    <w:p w14:paraId="41896E1E" w14:textId="1C9C5F89" w:rsidR="00C24403" w:rsidRDefault="00C24403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  <w:br w:type="page"/>
      </w:r>
    </w:p>
    <w:p w14:paraId="3609DB18" w14:textId="32DA7BDF" w:rsidR="00E5097E" w:rsidRDefault="00C24403" w:rsidP="00E5097E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kern w:val="0"/>
          <w:sz w:val="28"/>
          <w:szCs w:val="28"/>
          <w:lang w:eastAsia="it-IT"/>
        </w:rPr>
        <w:lastRenderedPageBreak/>
        <w:drawing>
          <wp:inline distT="0" distB="0" distL="0" distR="0" wp14:anchorId="02CEF787" wp14:editId="52F0C9E3">
            <wp:extent cx="5943600" cy="3836035"/>
            <wp:effectExtent l="0" t="0" r="0" b="0"/>
            <wp:docPr id="1154650272" name="Picture 2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650272" name="Picture 2" descr="A screenshot of a computer screen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3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9842F" w14:textId="54B0C894" w:rsidR="00C24403" w:rsidRDefault="00C24403" w:rsidP="00C24403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</w:pPr>
      <w:r w:rsidRPr="00C2440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  <w:t>Figure S5. Detection of EGFRxCD3 secreted by transduced CIK cells.</w:t>
      </w:r>
    </w:p>
    <w:p w14:paraId="11EE0195" w14:textId="2648957A" w:rsidR="00C24403" w:rsidRPr="00C24403" w:rsidRDefault="00C24403" w:rsidP="00C24403">
      <w:pP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C24403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CIK cells transfected with the EGFRxCD3/CAR-TNC5 or CAR-TNC5/EGFRxCD3 constructs were cultured for 24 hours. Supernatant was then collected and incubated with EGFR+ MDA-MB-231 cells followed by labelled anti-His antibody. </w:t>
      </w:r>
    </w:p>
    <w:p w14:paraId="78D5AF3E" w14:textId="2AF0D2BA" w:rsidR="00C24403" w:rsidRDefault="00C24403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  <w:br w:type="page"/>
      </w:r>
    </w:p>
    <w:p w14:paraId="5A5C300A" w14:textId="63262F93" w:rsidR="00C24403" w:rsidRDefault="00C24403" w:rsidP="00C24403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kern w:val="0"/>
          <w:sz w:val="28"/>
          <w:szCs w:val="28"/>
          <w:lang w:eastAsia="it-IT"/>
        </w:rPr>
        <w:lastRenderedPageBreak/>
        <w:drawing>
          <wp:inline distT="0" distB="0" distL="0" distR="0" wp14:anchorId="4AFC0639" wp14:editId="2A247031">
            <wp:extent cx="3263900" cy="3390900"/>
            <wp:effectExtent l="0" t="0" r="0" b="0"/>
            <wp:docPr id="1335092320" name="Picture 3" descr="A graph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092320" name="Picture 3" descr="A graph of a graph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39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4EE50" w14:textId="767DFCE7" w:rsidR="00C24403" w:rsidRDefault="00C24403" w:rsidP="00C24403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</w:pPr>
      <w:r w:rsidRPr="00C2440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  <w:t xml:space="preserve">Supplementary Figure S6. EGFR expression in MDA-MB-231 cell line by flow cytometry. </w:t>
      </w:r>
    </w:p>
    <w:p w14:paraId="7EC5087C" w14:textId="72856F18" w:rsidR="00E5097E" w:rsidRPr="00C24403" w:rsidRDefault="00C24403">
      <w:pP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C24403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Blue: MDA-MB-231 cells stained with cetuximab + anti-human IgG-FITC secondary antibody. Grey: negative control, MDA-MB-231 cells stained only with the secondary antibody.</w:t>
      </w:r>
    </w:p>
    <w:sectPr w:rsidR="00E5097E" w:rsidRPr="00C244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F3751"/>
    <w:multiLevelType w:val="hybridMultilevel"/>
    <w:tmpl w:val="9A58999A"/>
    <w:lvl w:ilvl="0" w:tplc="04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1111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C0C"/>
    <w:rsid w:val="000E2BB3"/>
    <w:rsid w:val="00320C6C"/>
    <w:rsid w:val="00442E26"/>
    <w:rsid w:val="004B0C0C"/>
    <w:rsid w:val="0064608C"/>
    <w:rsid w:val="00680C56"/>
    <w:rsid w:val="006874FD"/>
    <w:rsid w:val="007B0459"/>
    <w:rsid w:val="00887620"/>
    <w:rsid w:val="00B65088"/>
    <w:rsid w:val="00C24403"/>
    <w:rsid w:val="00E5097E"/>
    <w:rsid w:val="00EB31C8"/>
    <w:rsid w:val="00FE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FF2D5"/>
  <w15:chartTrackingRefBased/>
  <w15:docId w15:val="{DCCE28F4-1B30-9649-9FBD-9DD4AA4C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0C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0C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0C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0C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0C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0C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0C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0C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0C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0C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0C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B0C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0C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0C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0C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0C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0C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0C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0C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0C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0C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0C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0C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0C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0C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0C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C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C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0C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2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1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1034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Zaninelli, Silvia</dc:creator>
  <cp:keywords/>
  <dc:description/>
  <cp:lastModifiedBy>Zaninelli, Silvia</cp:lastModifiedBy>
  <cp:revision>5</cp:revision>
  <dcterms:created xsi:type="dcterms:W3CDTF">2025-04-08T01:35:00Z</dcterms:created>
  <dcterms:modified xsi:type="dcterms:W3CDTF">2025-06-25T20:29:00Z</dcterms:modified>
</cp:coreProperties>
</file>