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B4AE6" w14:textId="3981A7CA" w:rsidR="00677648" w:rsidRPr="00677648" w:rsidRDefault="00677648" w:rsidP="00677648">
      <w:pPr>
        <w:jc w:val="both"/>
        <w:rPr>
          <w:rFonts w:ascii="Times New Roman" w:hAnsi="Times New Roman" w:cs="Times New Roman"/>
          <w:b/>
          <w:bCs/>
          <w:sz w:val="28"/>
          <w:szCs w:val="32"/>
        </w:rPr>
      </w:pPr>
      <w:r w:rsidRPr="00677648">
        <w:rPr>
          <w:rFonts w:ascii="Times New Roman" w:hAnsi="Times New Roman" w:cs="Times New Roman" w:hint="eastAsia"/>
          <w:b/>
          <w:bCs/>
          <w:sz w:val="28"/>
          <w:szCs w:val="32"/>
        </w:rPr>
        <w:t xml:space="preserve">Supplementary </w:t>
      </w:r>
      <w:r w:rsidR="00626CAF">
        <w:rPr>
          <w:rFonts w:ascii="Times New Roman" w:hAnsi="Times New Roman" w:cs="Times New Roman" w:hint="eastAsia"/>
          <w:b/>
          <w:bCs/>
          <w:sz w:val="28"/>
          <w:szCs w:val="32"/>
        </w:rPr>
        <w:t>f</w:t>
      </w:r>
      <w:r w:rsidRPr="00677648">
        <w:rPr>
          <w:rFonts w:ascii="Times New Roman" w:hAnsi="Times New Roman" w:cs="Times New Roman" w:hint="eastAsia"/>
          <w:b/>
          <w:bCs/>
          <w:sz w:val="28"/>
          <w:szCs w:val="32"/>
        </w:rPr>
        <w:t>igure</w:t>
      </w:r>
    </w:p>
    <w:p w14:paraId="21AFB2D7" w14:textId="3BD9F5F1" w:rsidR="008E4B6F" w:rsidRDefault="00626CAF" w:rsidP="00626CAF">
      <w:pPr>
        <w:jc w:val="center"/>
        <w:rPr>
          <w:rFonts w:hint="eastAsia"/>
        </w:rPr>
      </w:pPr>
      <w:r>
        <w:rPr>
          <w:rFonts w:ascii="Times New Roman" w:hAnsi="Times New Roman" w:cs="Times New Roman"/>
          <w:noProof/>
          <w:color w:val="222222"/>
          <w:spacing w:val="2"/>
        </w:rPr>
        <w:drawing>
          <wp:inline distT="0" distB="0" distL="0" distR="0" wp14:anchorId="33BCFE3C" wp14:editId="44C0A6B8">
            <wp:extent cx="5020733" cy="2787279"/>
            <wp:effectExtent l="0" t="0" r="8890" b="0"/>
            <wp:docPr id="5175777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375" cy="2791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B6644" w14:textId="5AF4C92A" w:rsidR="00626CAF" w:rsidRDefault="00626CAF" w:rsidP="00626CAF">
      <w:pPr>
        <w:jc w:val="both"/>
        <w:rPr>
          <w:rFonts w:ascii="Times New Roman" w:eastAsia="等线" w:hAnsi="Times New Roman" w:cs="Times New Roman"/>
          <w:sz w:val="24"/>
        </w:rPr>
      </w:pPr>
      <w:r w:rsidRPr="00B847A0">
        <w:rPr>
          <w:rFonts w:ascii="Times New Roman" w:hAnsi="Times New Roman" w:cs="Times New Roman" w:hint="eastAsia"/>
          <w:b/>
          <w:bCs/>
          <w:sz w:val="24"/>
          <w:szCs w:val="32"/>
        </w:rPr>
        <w:t>Supplementary f</w:t>
      </w:r>
      <w:r w:rsidRPr="00B847A0">
        <w:rPr>
          <w:rFonts w:ascii="Times New Roman" w:hAnsi="Times New Roman" w:cs="Times New Roman"/>
          <w:b/>
          <w:bCs/>
          <w:sz w:val="24"/>
          <w:szCs w:val="32"/>
        </w:rPr>
        <w:t>igure 1.</w:t>
      </w:r>
      <w:r w:rsidR="00B847A0" w:rsidRPr="00B847A0">
        <w:rPr>
          <w:sz w:val="24"/>
          <w:szCs w:val="28"/>
        </w:rPr>
        <w:t xml:space="preserve"> </w:t>
      </w:r>
      <w:r w:rsidR="00B847A0" w:rsidRPr="00B847A0">
        <w:rPr>
          <w:rFonts w:ascii="Times New Roman" w:hAnsi="Times New Roman" w:cs="Times New Roman"/>
          <w:b/>
          <w:bCs/>
          <w:sz w:val="24"/>
          <w:szCs w:val="32"/>
        </w:rPr>
        <w:t xml:space="preserve">Phenotypic and </w:t>
      </w:r>
      <w:r w:rsidR="00B847A0" w:rsidRPr="00B847A0">
        <w:rPr>
          <w:rFonts w:ascii="Times New Roman" w:hAnsi="Times New Roman" w:cs="Times New Roman" w:hint="eastAsia"/>
          <w:b/>
          <w:bCs/>
          <w:sz w:val="24"/>
          <w:szCs w:val="32"/>
        </w:rPr>
        <w:t>f</w:t>
      </w:r>
      <w:r w:rsidR="00B847A0" w:rsidRPr="00B847A0">
        <w:rPr>
          <w:rFonts w:ascii="Times New Roman" w:hAnsi="Times New Roman" w:cs="Times New Roman"/>
          <w:b/>
          <w:bCs/>
          <w:sz w:val="24"/>
          <w:szCs w:val="32"/>
        </w:rPr>
        <w:t xml:space="preserve">unctional </w:t>
      </w:r>
      <w:r w:rsidR="00B847A0" w:rsidRPr="00B847A0">
        <w:rPr>
          <w:rFonts w:ascii="Times New Roman" w:hAnsi="Times New Roman" w:cs="Times New Roman" w:hint="eastAsia"/>
          <w:b/>
          <w:bCs/>
          <w:sz w:val="24"/>
          <w:szCs w:val="32"/>
        </w:rPr>
        <w:t>changes</w:t>
      </w:r>
      <w:r w:rsidR="00B847A0" w:rsidRPr="00B847A0">
        <w:rPr>
          <w:rFonts w:ascii="Times New Roman" w:hAnsi="Times New Roman" w:cs="Times New Roman"/>
          <w:b/>
          <w:bCs/>
          <w:sz w:val="24"/>
          <w:szCs w:val="32"/>
        </w:rPr>
        <w:t xml:space="preserve"> of CD8⁺ T </w:t>
      </w:r>
      <w:r w:rsidR="00B847A0" w:rsidRPr="00B847A0">
        <w:rPr>
          <w:rFonts w:ascii="Times New Roman" w:hAnsi="Times New Roman" w:cs="Times New Roman" w:hint="eastAsia"/>
          <w:b/>
          <w:bCs/>
          <w:sz w:val="24"/>
          <w:szCs w:val="32"/>
        </w:rPr>
        <w:t>c</w:t>
      </w:r>
      <w:r w:rsidR="00B847A0" w:rsidRPr="00B847A0">
        <w:rPr>
          <w:rFonts w:ascii="Times New Roman" w:hAnsi="Times New Roman" w:cs="Times New Roman"/>
          <w:b/>
          <w:bCs/>
          <w:sz w:val="24"/>
          <w:szCs w:val="32"/>
        </w:rPr>
        <w:t xml:space="preserve">ells in </w:t>
      </w:r>
      <w:r w:rsidR="00B847A0" w:rsidRPr="00B847A0">
        <w:rPr>
          <w:rFonts w:ascii="Times New Roman" w:hAnsi="Times New Roman" w:cs="Times New Roman" w:hint="eastAsia"/>
          <w:b/>
          <w:bCs/>
          <w:sz w:val="24"/>
          <w:szCs w:val="32"/>
        </w:rPr>
        <w:t xml:space="preserve">CRC. </w:t>
      </w:r>
      <w:r w:rsidRPr="00B847A0">
        <w:rPr>
          <w:rFonts w:ascii="Times New Roman" w:eastAsia="等线" w:hAnsi="Times New Roman" w:cs="Times New Roman" w:hint="eastAsia"/>
          <w:sz w:val="24"/>
        </w:rPr>
        <w:t>(a-b)</w:t>
      </w:r>
      <w:r w:rsidRPr="00B847A0">
        <w:rPr>
          <w:rFonts w:ascii="Arial" w:eastAsia="等线" w:hAnsi="Arial" w:cs="Arial"/>
          <w:color w:val="000000"/>
          <w:kern w:val="24"/>
          <w:sz w:val="24"/>
        </w:rPr>
        <w:t xml:space="preserve"> </w:t>
      </w:r>
      <w:r w:rsidRPr="00B847A0">
        <w:rPr>
          <w:rFonts w:ascii="Times New Roman" w:eastAsia="等线" w:hAnsi="Times New Roman" w:cs="Times New Roman"/>
          <w:sz w:val="24"/>
        </w:rPr>
        <w:t>Representative flow cytometry plots (</w:t>
      </w:r>
      <w:r w:rsidRPr="00B847A0">
        <w:rPr>
          <w:rFonts w:ascii="Times New Roman" w:eastAsia="等线" w:hAnsi="Times New Roman" w:cs="Times New Roman" w:hint="eastAsia"/>
          <w:sz w:val="24"/>
        </w:rPr>
        <w:t>a</w:t>
      </w:r>
      <w:r w:rsidRPr="00B847A0">
        <w:rPr>
          <w:rFonts w:ascii="Times New Roman" w:eastAsia="等线" w:hAnsi="Times New Roman" w:cs="Times New Roman"/>
          <w:sz w:val="24"/>
        </w:rPr>
        <w:t>) and statistical plots (</w:t>
      </w:r>
      <w:r w:rsidRPr="00B847A0">
        <w:rPr>
          <w:rFonts w:ascii="Times New Roman" w:eastAsia="等线" w:hAnsi="Times New Roman" w:cs="Times New Roman" w:hint="eastAsia"/>
          <w:sz w:val="24"/>
        </w:rPr>
        <w:t>b</w:t>
      </w:r>
      <w:r w:rsidRPr="00B847A0">
        <w:rPr>
          <w:rFonts w:ascii="Times New Roman" w:eastAsia="等线" w:hAnsi="Times New Roman" w:cs="Times New Roman"/>
          <w:sz w:val="24"/>
        </w:rPr>
        <w:t>) showing the proportions of CD69</w:t>
      </w:r>
      <w:r w:rsidRPr="00B847A0">
        <w:rPr>
          <w:rFonts w:ascii="Times New Roman" w:eastAsia="等线" w:hAnsi="Times New Roman" w:cs="Times New Roman" w:hint="eastAsia"/>
          <w:sz w:val="24"/>
        </w:rPr>
        <w:t xml:space="preserve"> (n=10)</w:t>
      </w:r>
      <w:r w:rsidRPr="00B847A0">
        <w:rPr>
          <w:rFonts w:ascii="Times New Roman" w:eastAsia="等线" w:hAnsi="Times New Roman" w:cs="Times New Roman"/>
          <w:sz w:val="24"/>
        </w:rPr>
        <w:t>, PD-1</w:t>
      </w:r>
      <w:r w:rsidRPr="00B847A0">
        <w:rPr>
          <w:rFonts w:ascii="Times New Roman" w:eastAsia="等线" w:hAnsi="Times New Roman" w:cs="Times New Roman" w:hint="eastAsia"/>
          <w:sz w:val="24"/>
        </w:rPr>
        <w:t xml:space="preserve"> (n=9)</w:t>
      </w:r>
      <w:r w:rsidRPr="00B847A0">
        <w:rPr>
          <w:rFonts w:ascii="Times New Roman" w:eastAsia="等线" w:hAnsi="Times New Roman" w:cs="Times New Roman"/>
          <w:sz w:val="24"/>
        </w:rPr>
        <w:t>, CD39</w:t>
      </w:r>
      <w:r w:rsidRPr="00B847A0">
        <w:rPr>
          <w:rFonts w:ascii="Times New Roman" w:eastAsia="等线" w:hAnsi="Times New Roman" w:cs="Times New Roman" w:hint="eastAsia"/>
          <w:sz w:val="24"/>
        </w:rPr>
        <w:t xml:space="preserve"> (n=10)</w:t>
      </w:r>
      <w:r w:rsidRPr="00B847A0">
        <w:rPr>
          <w:rFonts w:ascii="Times New Roman" w:eastAsia="等线" w:hAnsi="Times New Roman" w:cs="Times New Roman"/>
          <w:sz w:val="24"/>
        </w:rPr>
        <w:t>, and TIM3</w:t>
      </w:r>
      <w:r w:rsidRPr="00B847A0">
        <w:rPr>
          <w:rFonts w:ascii="Times New Roman" w:eastAsia="等线" w:hAnsi="Times New Roman" w:cs="Times New Roman" w:hint="eastAsia"/>
          <w:sz w:val="24"/>
        </w:rPr>
        <w:t xml:space="preserve"> (n=9)</w:t>
      </w:r>
      <w:r w:rsidRPr="00B847A0">
        <w:rPr>
          <w:rFonts w:ascii="Times New Roman" w:eastAsia="等线" w:hAnsi="Times New Roman" w:cs="Times New Roman"/>
          <w:sz w:val="24"/>
        </w:rPr>
        <w:t xml:space="preserve"> expression in CD8</w:t>
      </w:r>
      <w:r w:rsidRPr="00B847A0">
        <w:rPr>
          <w:rFonts w:ascii="Times New Roman" w:eastAsia="等线" w:hAnsi="Times New Roman" w:cs="Times New Roman"/>
          <w:sz w:val="24"/>
          <w:vertAlign w:val="superscript"/>
        </w:rPr>
        <w:t>+</w:t>
      </w:r>
      <w:r w:rsidRPr="00B847A0">
        <w:rPr>
          <w:rFonts w:ascii="Times New Roman" w:eastAsia="等线" w:hAnsi="Times New Roman" w:cs="Times New Roman"/>
          <w:sz w:val="24"/>
        </w:rPr>
        <w:t xml:space="preserve"> T cells from non-tumor tissues and tumor tissues.</w:t>
      </w:r>
      <w:r w:rsidRPr="00B847A0">
        <w:rPr>
          <w:rFonts w:ascii="Times New Roman" w:eastAsia="等线" w:hAnsi="Times New Roman" w:cs="Times New Roman" w:hint="eastAsia"/>
        </w:rPr>
        <w:t xml:space="preserve"> </w:t>
      </w:r>
      <w:r w:rsidRPr="00B847A0">
        <w:rPr>
          <w:rFonts w:ascii="Times New Roman" w:eastAsia="等线" w:hAnsi="Times New Roman" w:cs="Times New Roman" w:hint="eastAsia"/>
          <w:sz w:val="24"/>
        </w:rPr>
        <w:t xml:space="preserve">(e-f) </w:t>
      </w:r>
      <w:r w:rsidRPr="00B847A0">
        <w:rPr>
          <w:rFonts w:ascii="Times New Roman" w:eastAsia="等线" w:hAnsi="Times New Roman" w:cs="Times New Roman"/>
          <w:sz w:val="24"/>
        </w:rPr>
        <w:t>Representative flow cytometry plots (</w:t>
      </w:r>
      <w:r w:rsidRPr="00B847A0">
        <w:rPr>
          <w:rFonts w:ascii="Times New Roman" w:eastAsia="等线" w:hAnsi="Times New Roman" w:cs="Times New Roman" w:hint="eastAsia"/>
          <w:sz w:val="24"/>
        </w:rPr>
        <w:t>e</w:t>
      </w:r>
      <w:r w:rsidRPr="00B847A0">
        <w:rPr>
          <w:rFonts w:ascii="Times New Roman" w:eastAsia="等线" w:hAnsi="Times New Roman" w:cs="Times New Roman"/>
          <w:sz w:val="24"/>
        </w:rPr>
        <w:t>) and summary bar graphs (</w:t>
      </w:r>
      <w:r w:rsidRPr="00B847A0">
        <w:rPr>
          <w:rFonts w:ascii="Times New Roman" w:eastAsia="等线" w:hAnsi="Times New Roman" w:cs="Times New Roman" w:hint="eastAsia"/>
          <w:sz w:val="24"/>
        </w:rPr>
        <w:t>f</w:t>
      </w:r>
      <w:r w:rsidRPr="00B847A0">
        <w:rPr>
          <w:rFonts w:ascii="Times New Roman" w:eastAsia="等线" w:hAnsi="Times New Roman" w:cs="Times New Roman"/>
          <w:sz w:val="24"/>
        </w:rPr>
        <w:t>) display the proportions of IFN-γ-</w:t>
      </w:r>
      <w:r w:rsidRPr="00B847A0">
        <w:rPr>
          <w:rFonts w:ascii="Times New Roman" w:eastAsia="等线" w:hAnsi="Times New Roman" w:cs="Times New Roman" w:hint="eastAsia"/>
          <w:sz w:val="24"/>
        </w:rPr>
        <w:t xml:space="preserve"> (n=7)</w:t>
      </w:r>
      <w:r w:rsidRPr="00B847A0">
        <w:rPr>
          <w:rFonts w:ascii="Times New Roman" w:eastAsia="等线" w:hAnsi="Times New Roman" w:cs="Times New Roman"/>
          <w:sz w:val="24"/>
        </w:rPr>
        <w:t>, TNF-α-</w:t>
      </w:r>
      <w:r w:rsidRPr="00B847A0">
        <w:rPr>
          <w:rFonts w:ascii="Times New Roman" w:eastAsia="等线" w:hAnsi="Times New Roman" w:cs="Times New Roman" w:hint="eastAsia"/>
          <w:sz w:val="24"/>
        </w:rPr>
        <w:t xml:space="preserve"> (n=5)</w:t>
      </w:r>
      <w:r w:rsidRPr="00B847A0">
        <w:rPr>
          <w:rFonts w:ascii="Times New Roman" w:eastAsia="等线" w:hAnsi="Times New Roman" w:cs="Times New Roman"/>
          <w:sz w:val="24"/>
        </w:rPr>
        <w:t>, and IL-2-</w:t>
      </w:r>
      <w:r w:rsidRPr="00B847A0">
        <w:rPr>
          <w:rFonts w:ascii="Times New Roman" w:eastAsia="等线" w:hAnsi="Times New Roman" w:cs="Times New Roman" w:hint="eastAsia"/>
          <w:sz w:val="24"/>
        </w:rPr>
        <w:t xml:space="preserve"> (n=4) </w:t>
      </w:r>
      <w:r w:rsidRPr="00B847A0">
        <w:rPr>
          <w:rFonts w:ascii="Times New Roman" w:eastAsia="等线" w:hAnsi="Times New Roman" w:cs="Times New Roman"/>
          <w:sz w:val="24"/>
        </w:rPr>
        <w:t>producing CD8</w:t>
      </w:r>
      <w:r w:rsidRPr="00B847A0">
        <w:rPr>
          <w:rFonts w:ascii="Times New Roman" w:eastAsia="等线" w:hAnsi="Times New Roman" w:cs="Times New Roman"/>
          <w:sz w:val="24"/>
          <w:vertAlign w:val="superscript"/>
        </w:rPr>
        <w:t>+</w:t>
      </w:r>
      <w:r w:rsidRPr="00B847A0">
        <w:rPr>
          <w:rFonts w:ascii="Times New Roman" w:eastAsia="等线" w:hAnsi="Times New Roman" w:cs="Times New Roman"/>
          <w:sz w:val="24"/>
        </w:rPr>
        <w:t xml:space="preserve"> T cells from non-tumor and tumor tissues.</w:t>
      </w:r>
    </w:p>
    <w:p w14:paraId="4884A565" w14:textId="77777777" w:rsidR="00B847A0" w:rsidRDefault="00B847A0" w:rsidP="00626CAF">
      <w:pPr>
        <w:jc w:val="both"/>
        <w:rPr>
          <w:rFonts w:ascii="Times New Roman" w:eastAsia="等线" w:hAnsi="Times New Roman" w:cs="Times New Roman"/>
          <w:sz w:val="24"/>
        </w:rPr>
      </w:pPr>
    </w:p>
    <w:p w14:paraId="153FC55B" w14:textId="77777777" w:rsidR="00B847A0" w:rsidRPr="00B847A0" w:rsidRDefault="00B847A0" w:rsidP="00626CAF">
      <w:pPr>
        <w:jc w:val="both"/>
        <w:rPr>
          <w:rFonts w:hint="eastAsia"/>
        </w:rPr>
      </w:pPr>
    </w:p>
    <w:p w14:paraId="267DD326" w14:textId="1057B7D1" w:rsidR="00B847A0" w:rsidRDefault="00B847A0" w:rsidP="00B847A0">
      <w:pPr>
        <w:pStyle w:val="u-mb-24"/>
        <w:spacing w:after="0"/>
        <w:jc w:val="center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bCs/>
          <w:noProof/>
          <w:szCs w:val="28"/>
        </w:rPr>
        <w:drawing>
          <wp:inline distT="0" distB="0" distL="0" distR="0" wp14:anchorId="798A2129" wp14:editId="1D4969CD">
            <wp:extent cx="5196339" cy="1181100"/>
            <wp:effectExtent l="0" t="0" r="4445" b="0"/>
            <wp:docPr id="118706749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513" cy="1182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CBED4" w14:textId="21532FF7" w:rsidR="00452B41" w:rsidRPr="00B847A0" w:rsidRDefault="00431AE2" w:rsidP="00431AE2">
      <w:pPr>
        <w:pStyle w:val="u-mb-24"/>
        <w:spacing w:after="0"/>
        <w:jc w:val="both"/>
        <w:rPr>
          <w:rFonts w:ascii="Times New Roman" w:hAnsi="Times New Roman" w:cs="Times New Roman"/>
          <w:color w:val="222222"/>
          <w:spacing w:val="2"/>
        </w:rPr>
      </w:pPr>
      <w:r>
        <w:rPr>
          <w:rFonts w:ascii="Times New Roman" w:hAnsi="Times New Roman" w:cs="Times New Roman" w:hint="eastAsia"/>
          <w:b/>
          <w:bCs/>
          <w:szCs w:val="28"/>
        </w:rPr>
        <w:t>Supplementary f</w:t>
      </w:r>
      <w:r w:rsidR="006B2036" w:rsidRPr="006B2036">
        <w:rPr>
          <w:rFonts w:ascii="Times New Roman" w:hAnsi="Times New Roman" w:cs="Times New Roman"/>
          <w:b/>
          <w:bCs/>
          <w:szCs w:val="28"/>
        </w:rPr>
        <w:t xml:space="preserve">igure </w:t>
      </w:r>
      <w:r w:rsidR="00B847A0">
        <w:rPr>
          <w:rFonts w:ascii="Times New Roman" w:hAnsi="Times New Roman" w:cs="Times New Roman" w:hint="eastAsia"/>
          <w:b/>
          <w:bCs/>
          <w:szCs w:val="28"/>
        </w:rPr>
        <w:t>2</w:t>
      </w:r>
      <w:r w:rsidR="006B2036" w:rsidRPr="006B2036">
        <w:rPr>
          <w:rFonts w:ascii="Times New Roman" w:hAnsi="Times New Roman" w:cs="Times New Roman"/>
          <w:b/>
          <w:bCs/>
          <w:szCs w:val="28"/>
        </w:rPr>
        <w:t>.</w:t>
      </w:r>
      <w:r w:rsidR="00B847A0" w:rsidRPr="00B847A0">
        <w:rPr>
          <w:rFonts w:asciiTheme="minorHAnsi" w:eastAsiaTheme="minorEastAsia" w:hAnsiTheme="minorHAnsi" w:cstheme="minorBidi"/>
          <w:kern w:val="2"/>
          <w:sz w:val="22"/>
          <w14:ligatures w14:val="standardContextual"/>
        </w:rPr>
        <w:t xml:space="preserve"> </w:t>
      </w:r>
      <w:r w:rsidR="00B847A0" w:rsidRPr="00B847A0">
        <w:rPr>
          <w:rFonts w:ascii="Times New Roman" w:hAnsi="Times New Roman" w:cs="Times New Roman"/>
          <w:b/>
          <w:bCs/>
          <w:szCs w:val="28"/>
        </w:rPr>
        <w:t xml:space="preserve">CD8⁺ T </w:t>
      </w:r>
      <w:r w:rsidR="00C34EB8">
        <w:rPr>
          <w:rFonts w:ascii="Times New Roman" w:hAnsi="Times New Roman" w:cs="Times New Roman" w:hint="eastAsia"/>
          <w:b/>
          <w:bCs/>
          <w:szCs w:val="28"/>
        </w:rPr>
        <w:t>c</w:t>
      </w:r>
      <w:r w:rsidR="00B847A0" w:rsidRPr="00B847A0">
        <w:rPr>
          <w:rFonts w:ascii="Times New Roman" w:hAnsi="Times New Roman" w:cs="Times New Roman"/>
          <w:b/>
          <w:bCs/>
          <w:szCs w:val="28"/>
        </w:rPr>
        <w:t xml:space="preserve">ell </w:t>
      </w:r>
      <w:r w:rsidR="00B847A0">
        <w:rPr>
          <w:rFonts w:ascii="Times New Roman" w:hAnsi="Times New Roman" w:cs="Times New Roman" w:hint="eastAsia"/>
          <w:b/>
          <w:bCs/>
          <w:szCs w:val="28"/>
        </w:rPr>
        <w:t>proliferation</w:t>
      </w:r>
      <w:r w:rsidR="00B847A0" w:rsidRPr="00B847A0">
        <w:rPr>
          <w:rFonts w:ascii="Times New Roman" w:hAnsi="Times New Roman" w:cs="Times New Roman"/>
          <w:b/>
          <w:bCs/>
          <w:szCs w:val="28"/>
        </w:rPr>
        <w:t xml:space="preserve"> in PBMCs upon </w:t>
      </w:r>
      <w:r w:rsidR="00B847A0">
        <w:rPr>
          <w:rFonts w:ascii="Times New Roman" w:hAnsi="Times New Roman" w:cs="Times New Roman" w:hint="eastAsia"/>
          <w:b/>
          <w:bCs/>
          <w:szCs w:val="28"/>
        </w:rPr>
        <w:t>s</w:t>
      </w:r>
      <w:r w:rsidR="00B847A0" w:rsidRPr="00B847A0">
        <w:rPr>
          <w:rFonts w:ascii="Times New Roman" w:hAnsi="Times New Roman" w:cs="Times New Roman"/>
          <w:b/>
          <w:bCs/>
          <w:szCs w:val="28"/>
        </w:rPr>
        <w:t xml:space="preserve">timulation with HCT116 </w:t>
      </w:r>
      <w:r w:rsidR="00B847A0">
        <w:rPr>
          <w:rFonts w:ascii="Times New Roman" w:hAnsi="Times New Roman" w:cs="Times New Roman" w:hint="eastAsia"/>
          <w:b/>
          <w:bCs/>
          <w:szCs w:val="28"/>
        </w:rPr>
        <w:t>c</w:t>
      </w:r>
      <w:r w:rsidR="00B847A0" w:rsidRPr="00B847A0">
        <w:rPr>
          <w:rFonts w:ascii="Times New Roman" w:hAnsi="Times New Roman" w:cs="Times New Roman"/>
          <w:b/>
          <w:bCs/>
          <w:szCs w:val="28"/>
        </w:rPr>
        <w:t>ells</w:t>
      </w:r>
      <w:r w:rsidR="00B847A0">
        <w:rPr>
          <w:rFonts w:ascii="Times New Roman" w:hAnsi="Times New Roman" w:cs="Times New Roman" w:hint="eastAsia"/>
          <w:b/>
          <w:bCs/>
          <w:szCs w:val="28"/>
        </w:rPr>
        <w:t>.</w:t>
      </w:r>
      <w:r w:rsidR="00B847A0">
        <w:rPr>
          <w:rFonts w:ascii="Times New Roman" w:hAnsi="Times New Roman" w:cs="Times New Roman" w:hint="eastAsia"/>
          <w:color w:val="222222"/>
          <w:spacing w:val="2"/>
        </w:rPr>
        <w:t xml:space="preserve"> </w:t>
      </w:r>
      <w:r w:rsidRPr="00431AE2">
        <w:rPr>
          <w:rFonts w:ascii="Times New Roman" w:hAnsi="Times New Roman" w:cs="Times New Roman"/>
          <w:color w:val="222222"/>
          <w:spacing w:val="2"/>
        </w:rPr>
        <w:t>(</w:t>
      </w:r>
      <w:r w:rsidRPr="00431AE2">
        <w:rPr>
          <w:rFonts w:ascii="Times New Roman" w:hAnsi="Times New Roman" w:cs="Times New Roman" w:hint="eastAsia"/>
          <w:color w:val="222222"/>
          <w:spacing w:val="2"/>
        </w:rPr>
        <w:t>a</w:t>
      </w:r>
      <w:r w:rsidRPr="00431AE2">
        <w:rPr>
          <w:rFonts w:ascii="Times New Roman" w:hAnsi="Times New Roman" w:cs="Times New Roman"/>
          <w:color w:val="222222"/>
          <w:spacing w:val="2"/>
        </w:rPr>
        <w:t xml:space="preserve">) A representative flow cytometry plot illustrates the gating strategy used to identify CD103N and CD103P cells in proliferated CD8⁺ T cells with reduced </w:t>
      </w:r>
      <w:proofErr w:type="spellStart"/>
      <w:r w:rsidRPr="00431AE2">
        <w:rPr>
          <w:rFonts w:ascii="Times New Roman" w:hAnsi="Times New Roman" w:cs="Times New Roman"/>
          <w:color w:val="222222"/>
          <w:spacing w:val="2"/>
        </w:rPr>
        <w:t>CellTrace</w:t>
      </w:r>
      <w:proofErr w:type="spellEnd"/>
      <w:r w:rsidRPr="00431AE2">
        <w:rPr>
          <w:rFonts w:ascii="Times New Roman" w:hAnsi="Times New Roman" w:cs="Times New Roman"/>
          <w:color w:val="222222"/>
          <w:spacing w:val="2"/>
        </w:rPr>
        <w:t xml:space="preserve"> </w:t>
      </w:r>
      <w:r w:rsidRPr="00431AE2">
        <w:rPr>
          <w:rFonts w:ascii="Times New Roman" w:hAnsi="Times New Roman" w:cs="Times New Roman" w:hint="eastAsia"/>
          <w:color w:val="222222"/>
          <w:spacing w:val="2"/>
        </w:rPr>
        <w:t>V</w:t>
      </w:r>
      <w:r w:rsidRPr="00431AE2">
        <w:rPr>
          <w:rFonts w:ascii="Times New Roman" w:hAnsi="Times New Roman" w:cs="Times New Roman"/>
          <w:color w:val="222222"/>
          <w:spacing w:val="2"/>
        </w:rPr>
        <w:t>iolent levels (</w:t>
      </w:r>
      <w:proofErr w:type="spellStart"/>
      <w:r w:rsidRPr="00431AE2">
        <w:rPr>
          <w:rFonts w:ascii="Times New Roman" w:hAnsi="Times New Roman" w:cs="Times New Roman"/>
          <w:color w:val="222222"/>
          <w:spacing w:val="2"/>
        </w:rPr>
        <w:t>CTV</w:t>
      </w:r>
      <w:r w:rsidRPr="00431AE2">
        <w:rPr>
          <w:rFonts w:ascii="Times New Roman" w:hAnsi="Times New Roman" w:cs="Times New Roman"/>
          <w:color w:val="222222"/>
          <w:spacing w:val="2"/>
          <w:vertAlign w:val="superscript"/>
        </w:rPr>
        <w:t>low</w:t>
      </w:r>
      <w:proofErr w:type="spellEnd"/>
      <w:r w:rsidRPr="00431AE2">
        <w:rPr>
          <w:rFonts w:ascii="Times New Roman" w:hAnsi="Times New Roman" w:cs="Times New Roman"/>
          <w:color w:val="222222"/>
          <w:spacing w:val="2"/>
        </w:rPr>
        <w:t>).</w:t>
      </w:r>
    </w:p>
    <w:sectPr w:rsidR="00452B41" w:rsidRPr="00B847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7B303" w14:textId="77777777" w:rsidR="00F67282" w:rsidRDefault="00F67282" w:rsidP="006B2036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7D1E76B" w14:textId="77777777" w:rsidR="00F67282" w:rsidRDefault="00F67282" w:rsidP="006B2036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5CA6B" w14:textId="77777777" w:rsidR="00F67282" w:rsidRDefault="00F67282" w:rsidP="006B2036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4162D45" w14:textId="77777777" w:rsidR="00F67282" w:rsidRDefault="00F67282" w:rsidP="006B2036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B6F"/>
    <w:rsid w:val="002B7B38"/>
    <w:rsid w:val="00431AE2"/>
    <w:rsid w:val="00452B41"/>
    <w:rsid w:val="00626CAF"/>
    <w:rsid w:val="006745A4"/>
    <w:rsid w:val="00677648"/>
    <w:rsid w:val="006B2036"/>
    <w:rsid w:val="007C5857"/>
    <w:rsid w:val="008E4B6F"/>
    <w:rsid w:val="00985708"/>
    <w:rsid w:val="009E061F"/>
    <w:rsid w:val="00A16D0C"/>
    <w:rsid w:val="00B847A0"/>
    <w:rsid w:val="00C34EB8"/>
    <w:rsid w:val="00D526F9"/>
    <w:rsid w:val="00F67282"/>
    <w:rsid w:val="00F82B3A"/>
    <w:rsid w:val="00FF0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D79FDD"/>
  <w15:chartTrackingRefBased/>
  <w15:docId w15:val="{5F1E6228-24B8-4763-9F9F-1838AF713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E4B6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4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4B6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4B6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4B6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4B6F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4B6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4B6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4B6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4B6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E4B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E4B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E4B6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E4B6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E4B6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E4B6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E4B6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E4B6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E4B6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E4B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4B6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E4B6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E4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E4B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E4B6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E4B6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E4B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E4B6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E4B6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B203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B203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B203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B2036"/>
    <w:rPr>
      <w:sz w:val="18"/>
      <w:szCs w:val="18"/>
    </w:rPr>
  </w:style>
  <w:style w:type="paragraph" w:customStyle="1" w:styleId="u-mb-24">
    <w:name w:val="u-mb-24"/>
    <w:basedOn w:val="a"/>
    <w:rsid w:val="006B2036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123</Words>
  <Characters>694</Characters>
  <Application>Microsoft Office Word</Application>
  <DocSecurity>0</DocSecurity>
  <Lines>16</Lines>
  <Paragraphs>3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汨 吴</dc:creator>
  <cp:keywords/>
  <dc:description/>
  <cp:lastModifiedBy>汨 吴</cp:lastModifiedBy>
  <cp:revision>6</cp:revision>
  <dcterms:created xsi:type="dcterms:W3CDTF">2025-07-21T18:12:00Z</dcterms:created>
  <dcterms:modified xsi:type="dcterms:W3CDTF">2025-07-31T11:48:00Z</dcterms:modified>
</cp:coreProperties>
</file>