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F8073" w14:textId="2F8F7E7E" w:rsidR="00781D9E" w:rsidRPr="00F738CD" w:rsidRDefault="00781D9E" w:rsidP="00F85810">
      <w:pPr>
        <w:autoSpaceDE w:val="0"/>
        <w:autoSpaceDN w:val="0"/>
        <w:spacing w:line="480" w:lineRule="auto"/>
        <w:rPr>
          <w:rFonts w:ascii="Times New Roman" w:hAnsi="Times New Roman" w:cs="Times New Roman"/>
          <w:b/>
          <w:bCs/>
          <w:sz w:val="24"/>
          <w:szCs w:val="24"/>
        </w:rPr>
      </w:pPr>
      <w:bookmarkStart w:id="0" w:name="_Hlk80791982"/>
      <w:r w:rsidRPr="00F738CD">
        <w:rPr>
          <w:rFonts w:ascii="Times New Roman" w:hAnsi="Times New Roman" w:cs="Times New Roman"/>
          <w:b/>
          <w:bCs/>
          <w:sz w:val="24"/>
          <w:szCs w:val="24"/>
        </w:rPr>
        <w:t xml:space="preserve">Table </w:t>
      </w:r>
      <w:r w:rsidR="00F85810" w:rsidRPr="00F738CD">
        <w:rPr>
          <w:rFonts w:ascii="Times New Roman" w:hAnsi="Times New Roman" w:cs="Times New Roman"/>
          <w:b/>
          <w:bCs/>
          <w:sz w:val="24"/>
          <w:szCs w:val="24"/>
        </w:rPr>
        <w:t>S1</w:t>
      </w:r>
      <w:r w:rsidRPr="00F738CD">
        <w:rPr>
          <w:rFonts w:ascii="Times New Roman" w:hAnsi="Times New Roman" w:cs="Times New Roman"/>
          <w:b/>
          <w:bCs/>
          <w:sz w:val="24"/>
          <w:szCs w:val="24"/>
        </w:rPr>
        <w:t>.</w:t>
      </w:r>
      <w:r w:rsidRPr="00F738CD">
        <w:rPr>
          <w:rFonts w:ascii="Times New Roman" w:hAnsi="Times New Roman" w:cs="Times New Roman"/>
          <w:b/>
          <w:bCs/>
          <w:sz w:val="40"/>
          <w:szCs w:val="40"/>
        </w:rPr>
        <w:t xml:space="preserve"> </w:t>
      </w:r>
      <w:r w:rsidRPr="00F738CD">
        <w:rPr>
          <w:rFonts w:ascii="Times New Roman" w:hAnsi="Times New Roman" w:cs="Times New Roman"/>
          <w:b/>
          <w:bCs/>
          <w:sz w:val="24"/>
          <w:szCs w:val="28"/>
        </w:rPr>
        <w:t xml:space="preserve">Top 10 IPA results using DEGs between </w:t>
      </w:r>
      <w:r w:rsidR="004B445B" w:rsidRPr="00F738CD">
        <w:rPr>
          <w:rFonts w:ascii="Times New Roman" w:hAnsi="Times New Roman" w:cs="Times New Roman"/>
          <w:b/>
          <w:bCs/>
          <w:sz w:val="24"/>
          <w:szCs w:val="28"/>
        </w:rPr>
        <w:t xml:space="preserve">the </w:t>
      </w:r>
      <w:r w:rsidRPr="00F738CD">
        <w:rPr>
          <w:rFonts w:ascii="Times New Roman" w:hAnsi="Times New Roman" w:cs="Times New Roman"/>
          <w:b/>
          <w:bCs/>
          <w:sz w:val="24"/>
          <w:szCs w:val="28"/>
        </w:rPr>
        <w:t>KHK2455 and control groups</w:t>
      </w:r>
      <w:r w:rsidR="0017145E" w:rsidRPr="00F738CD">
        <w:rPr>
          <w:rFonts w:ascii="Times New Roman" w:hAnsi="Times New Roman" w:cs="Times New Roman"/>
          <w:b/>
          <w:bCs/>
          <w:sz w:val="24"/>
          <w:szCs w:val="28"/>
        </w:rPr>
        <w:t>.</w:t>
      </w:r>
    </w:p>
    <w:p w14:paraId="3E1FAA72" w14:textId="77777777" w:rsidR="00781D9E" w:rsidRPr="004250FA" w:rsidRDefault="00781D9E" w:rsidP="00781D9E">
      <w:pPr>
        <w:widowControl/>
        <w:spacing w:line="480" w:lineRule="auto"/>
        <w:rPr>
          <w:rFonts w:ascii="Arial" w:hAnsi="Arial" w:cs="Arial"/>
          <w:sz w:val="24"/>
          <w:szCs w:val="28"/>
        </w:rPr>
      </w:pPr>
    </w:p>
    <w:tbl>
      <w:tblPr>
        <w:tblW w:w="8505" w:type="dxa"/>
        <w:tblCellMar>
          <w:left w:w="99" w:type="dxa"/>
          <w:right w:w="99" w:type="dxa"/>
        </w:tblCellMar>
        <w:tblLook w:val="04A0" w:firstRow="1" w:lastRow="0" w:firstColumn="1" w:lastColumn="0" w:noHBand="0" w:noVBand="1"/>
      </w:tblPr>
      <w:tblGrid>
        <w:gridCol w:w="567"/>
        <w:gridCol w:w="5387"/>
        <w:gridCol w:w="1559"/>
        <w:gridCol w:w="992"/>
      </w:tblGrid>
      <w:tr w:rsidR="00781D9E" w:rsidRPr="00F738CD" w14:paraId="00EA2846" w14:textId="77777777" w:rsidTr="00D9676B">
        <w:trPr>
          <w:trHeight w:val="264"/>
        </w:trPr>
        <w:tc>
          <w:tcPr>
            <w:tcW w:w="567" w:type="dxa"/>
            <w:tcBorders>
              <w:top w:val="nil"/>
              <w:left w:val="nil"/>
              <w:bottom w:val="single" w:sz="4" w:space="0" w:color="auto"/>
              <w:right w:val="nil"/>
            </w:tcBorders>
            <w:shd w:val="clear" w:color="auto" w:fill="auto"/>
            <w:noWrap/>
            <w:vAlign w:val="bottom"/>
            <w:hideMark/>
          </w:tcPr>
          <w:p w14:paraId="5FDABC1E" w14:textId="77777777"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No.</w:t>
            </w:r>
          </w:p>
        </w:tc>
        <w:tc>
          <w:tcPr>
            <w:tcW w:w="5387" w:type="dxa"/>
            <w:tcBorders>
              <w:top w:val="nil"/>
              <w:left w:val="nil"/>
              <w:bottom w:val="single" w:sz="4" w:space="0" w:color="auto"/>
              <w:right w:val="nil"/>
            </w:tcBorders>
            <w:shd w:val="clear" w:color="auto" w:fill="auto"/>
            <w:noWrap/>
            <w:vAlign w:val="bottom"/>
            <w:hideMark/>
          </w:tcPr>
          <w:p w14:paraId="656FA988" w14:textId="6B981861" w:rsidR="00781D9E" w:rsidRPr="00F738CD" w:rsidRDefault="00781D9E" w:rsidP="00D9676B">
            <w:pPr>
              <w:widowControl/>
              <w:spacing w:line="480" w:lineRule="auto"/>
              <w:jc w:val="left"/>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 xml:space="preserve">Ingenuity </w:t>
            </w:r>
            <w:r w:rsidR="00722028" w:rsidRPr="00F738CD">
              <w:rPr>
                <w:rFonts w:ascii="Times New Roman" w:eastAsia="ＭＳ Ｐゴシック" w:hAnsi="Times New Roman" w:cs="Times New Roman"/>
                <w:b/>
                <w:bCs/>
                <w:kern w:val="0"/>
                <w:sz w:val="20"/>
                <w:szCs w:val="20"/>
                <w:lang w:bidi="th-TH"/>
              </w:rPr>
              <w:t>c</w:t>
            </w:r>
            <w:r w:rsidRPr="00F738CD">
              <w:rPr>
                <w:rFonts w:ascii="Times New Roman" w:eastAsia="ＭＳ Ｐゴシック" w:hAnsi="Times New Roman" w:cs="Times New Roman"/>
                <w:b/>
                <w:bCs/>
                <w:kern w:val="0"/>
                <w:sz w:val="20"/>
                <w:szCs w:val="20"/>
                <w:lang w:bidi="th-TH"/>
              </w:rPr>
              <w:t xml:space="preserve">anonical </w:t>
            </w:r>
            <w:r w:rsidR="00722028" w:rsidRPr="00F738CD">
              <w:rPr>
                <w:rFonts w:ascii="Times New Roman" w:eastAsia="ＭＳ Ｐゴシック" w:hAnsi="Times New Roman" w:cs="Times New Roman"/>
                <w:b/>
                <w:bCs/>
                <w:kern w:val="0"/>
                <w:sz w:val="20"/>
                <w:szCs w:val="20"/>
                <w:lang w:bidi="th-TH"/>
              </w:rPr>
              <w:t>p</w:t>
            </w:r>
            <w:r w:rsidRPr="00F738CD">
              <w:rPr>
                <w:rFonts w:ascii="Times New Roman" w:eastAsia="ＭＳ Ｐゴシック" w:hAnsi="Times New Roman" w:cs="Times New Roman"/>
                <w:b/>
                <w:bCs/>
                <w:kern w:val="0"/>
                <w:sz w:val="20"/>
                <w:szCs w:val="20"/>
                <w:lang w:bidi="th-TH"/>
              </w:rPr>
              <w:t>athways</w:t>
            </w:r>
          </w:p>
        </w:tc>
        <w:tc>
          <w:tcPr>
            <w:tcW w:w="1559" w:type="dxa"/>
            <w:tcBorders>
              <w:top w:val="nil"/>
              <w:left w:val="nil"/>
              <w:bottom w:val="single" w:sz="4" w:space="0" w:color="auto"/>
              <w:right w:val="nil"/>
            </w:tcBorders>
            <w:shd w:val="clear" w:color="auto" w:fill="auto"/>
            <w:noWrap/>
            <w:vAlign w:val="bottom"/>
            <w:hideMark/>
          </w:tcPr>
          <w:p w14:paraId="07C7B00F" w14:textId="7F0090E3"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-log(</w:t>
            </w:r>
            <w:r w:rsidR="00722028" w:rsidRPr="00F738CD">
              <w:rPr>
                <w:rFonts w:ascii="Times New Roman" w:eastAsia="ＭＳ Ｐゴシック" w:hAnsi="Times New Roman" w:cs="Times New Roman"/>
                <w:b/>
                <w:bCs/>
                <w:i/>
                <w:kern w:val="0"/>
                <w:sz w:val="20"/>
                <w:szCs w:val="20"/>
                <w:lang w:bidi="th-TH"/>
              </w:rPr>
              <w:t>P</w:t>
            </w:r>
            <w:r w:rsidRPr="00F738CD">
              <w:rPr>
                <w:rFonts w:ascii="Times New Roman" w:eastAsia="ＭＳ Ｐゴシック" w:hAnsi="Times New Roman" w:cs="Times New Roman"/>
                <w:b/>
                <w:bCs/>
                <w:kern w:val="0"/>
                <w:sz w:val="20"/>
                <w:szCs w:val="20"/>
                <w:lang w:bidi="th-TH"/>
              </w:rPr>
              <w:t>-value)</w:t>
            </w:r>
          </w:p>
        </w:tc>
        <w:tc>
          <w:tcPr>
            <w:tcW w:w="992" w:type="dxa"/>
            <w:tcBorders>
              <w:top w:val="nil"/>
              <w:left w:val="nil"/>
              <w:bottom w:val="single" w:sz="4" w:space="0" w:color="auto"/>
              <w:right w:val="nil"/>
            </w:tcBorders>
            <w:shd w:val="clear" w:color="auto" w:fill="auto"/>
            <w:noWrap/>
            <w:vAlign w:val="bottom"/>
            <w:hideMark/>
          </w:tcPr>
          <w:p w14:paraId="12B9E746" w14:textId="77777777"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z-score</w:t>
            </w:r>
          </w:p>
        </w:tc>
      </w:tr>
      <w:tr w:rsidR="00781D9E" w:rsidRPr="00F738CD" w14:paraId="4B693880" w14:textId="77777777" w:rsidTr="00D9676B">
        <w:trPr>
          <w:trHeight w:val="264"/>
        </w:trPr>
        <w:tc>
          <w:tcPr>
            <w:tcW w:w="567" w:type="dxa"/>
            <w:tcBorders>
              <w:top w:val="single" w:sz="4" w:space="0" w:color="auto"/>
              <w:left w:val="nil"/>
              <w:bottom w:val="nil"/>
              <w:right w:val="nil"/>
            </w:tcBorders>
            <w:shd w:val="clear" w:color="auto" w:fill="auto"/>
            <w:noWrap/>
            <w:vAlign w:val="bottom"/>
            <w:hideMark/>
          </w:tcPr>
          <w:p w14:paraId="3217AF9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w:t>
            </w:r>
          </w:p>
        </w:tc>
        <w:tc>
          <w:tcPr>
            <w:tcW w:w="5387" w:type="dxa"/>
            <w:tcBorders>
              <w:top w:val="single" w:sz="4" w:space="0" w:color="auto"/>
              <w:left w:val="nil"/>
              <w:bottom w:val="nil"/>
              <w:right w:val="nil"/>
            </w:tcBorders>
            <w:shd w:val="clear" w:color="auto" w:fill="auto"/>
            <w:noWrap/>
            <w:vAlign w:val="bottom"/>
            <w:hideMark/>
          </w:tcPr>
          <w:p w14:paraId="51B8FDFD"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Phagosome Formation</w:t>
            </w:r>
          </w:p>
        </w:tc>
        <w:tc>
          <w:tcPr>
            <w:tcW w:w="1559" w:type="dxa"/>
            <w:tcBorders>
              <w:top w:val="single" w:sz="4" w:space="0" w:color="auto"/>
              <w:left w:val="nil"/>
              <w:bottom w:val="nil"/>
              <w:right w:val="nil"/>
            </w:tcBorders>
            <w:shd w:val="clear" w:color="auto" w:fill="auto"/>
            <w:noWrap/>
            <w:vAlign w:val="bottom"/>
            <w:hideMark/>
          </w:tcPr>
          <w:p w14:paraId="40F4C417"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9.03</w:t>
            </w:r>
          </w:p>
        </w:tc>
        <w:tc>
          <w:tcPr>
            <w:tcW w:w="992" w:type="dxa"/>
            <w:tcBorders>
              <w:top w:val="single" w:sz="4" w:space="0" w:color="auto"/>
              <w:left w:val="nil"/>
              <w:bottom w:val="nil"/>
              <w:right w:val="nil"/>
            </w:tcBorders>
            <w:shd w:val="clear" w:color="auto" w:fill="auto"/>
            <w:noWrap/>
            <w:vAlign w:val="bottom"/>
            <w:hideMark/>
          </w:tcPr>
          <w:p w14:paraId="09137B2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2.333</w:t>
            </w:r>
          </w:p>
        </w:tc>
      </w:tr>
      <w:tr w:rsidR="00781D9E" w:rsidRPr="00F738CD" w14:paraId="226EE2DB" w14:textId="77777777" w:rsidTr="00D9676B">
        <w:trPr>
          <w:trHeight w:val="264"/>
        </w:trPr>
        <w:tc>
          <w:tcPr>
            <w:tcW w:w="567" w:type="dxa"/>
            <w:tcBorders>
              <w:top w:val="nil"/>
              <w:left w:val="nil"/>
              <w:bottom w:val="nil"/>
              <w:right w:val="nil"/>
            </w:tcBorders>
            <w:shd w:val="clear" w:color="auto" w:fill="auto"/>
            <w:noWrap/>
            <w:vAlign w:val="bottom"/>
            <w:hideMark/>
          </w:tcPr>
          <w:p w14:paraId="1EA96776"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w:t>
            </w:r>
          </w:p>
        </w:tc>
        <w:tc>
          <w:tcPr>
            <w:tcW w:w="5387" w:type="dxa"/>
            <w:tcBorders>
              <w:top w:val="nil"/>
              <w:left w:val="nil"/>
              <w:bottom w:val="nil"/>
              <w:right w:val="nil"/>
            </w:tcBorders>
            <w:shd w:val="clear" w:color="auto" w:fill="auto"/>
            <w:noWrap/>
            <w:vAlign w:val="bottom"/>
            <w:hideMark/>
          </w:tcPr>
          <w:p w14:paraId="63F2CEFD"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Role of Pattern Recognition Receptors in Recognition of Bacteria and Viruses</w:t>
            </w:r>
          </w:p>
        </w:tc>
        <w:tc>
          <w:tcPr>
            <w:tcW w:w="1559" w:type="dxa"/>
            <w:tcBorders>
              <w:top w:val="nil"/>
              <w:left w:val="nil"/>
              <w:bottom w:val="nil"/>
              <w:right w:val="nil"/>
            </w:tcBorders>
            <w:shd w:val="clear" w:color="auto" w:fill="auto"/>
            <w:noWrap/>
            <w:vAlign w:val="bottom"/>
            <w:hideMark/>
          </w:tcPr>
          <w:p w14:paraId="74FBB7CB"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6.94</w:t>
            </w:r>
          </w:p>
        </w:tc>
        <w:tc>
          <w:tcPr>
            <w:tcW w:w="992" w:type="dxa"/>
            <w:tcBorders>
              <w:top w:val="nil"/>
              <w:left w:val="nil"/>
              <w:bottom w:val="nil"/>
              <w:right w:val="nil"/>
            </w:tcBorders>
            <w:shd w:val="clear" w:color="auto" w:fill="auto"/>
            <w:noWrap/>
            <w:vAlign w:val="bottom"/>
            <w:hideMark/>
          </w:tcPr>
          <w:p w14:paraId="77C6D88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w:t>
            </w:r>
          </w:p>
        </w:tc>
      </w:tr>
      <w:tr w:rsidR="00781D9E" w:rsidRPr="00F738CD" w14:paraId="199B0299" w14:textId="77777777" w:rsidTr="00D9676B">
        <w:trPr>
          <w:trHeight w:val="264"/>
        </w:trPr>
        <w:tc>
          <w:tcPr>
            <w:tcW w:w="567" w:type="dxa"/>
            <w:tcBorders>
              <w:top w:val="nil"/>
              <w:left w:val="nil"/>
              <w:bottom w:val="nil"/>
              <w:right w:val="nil"/>
            </w:tcBorders>
            <w:shd w:val="clear" w:color="auto" w:fill="auto"/>
            <w:noWrap/>
            <w:vAlign w:val="bottom"/>
            <w:hideMark/>
          </w:tcPr>
          <w:p w14:paraId="1301BD9C"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w:t>
            </w:r>
          </w:p>
        </w:tc>
        <w:tc>
          <w:tcPr>
            <w:tcW w:w="5387" w:type="dxa"/>
            <w:tcBorders>
              <w:top w:val="nil"/>
              <w:left w:val="nil"/>
              <w:bottom w:val="nil"/>
              <w:right w:val="nil"/>
            </w:tcBorders>
            <w:shd w:val="clear" w:color="auto" w:fill="auto"/>
            <w:noWrap/>
            <w:vAlign w:val="bottom"/>
            <w:hideMark/>
          </w:tcPr>
          <w:p w14:paraId="44D3B92D"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Natural Killer Cell Signaling</w:t>
            </w:r>
          </w:p>
        </w:tc>
        <w:tc>
          <w:tcPr>
            <w:tcW w:w="1559" w:type="dxa"/>
            <w:tcBorders>
              <w:top w:val="nil"/>
              <w:left w:val="nil"/>
              <w:bottom w:val="nil"/>
              <w:right w:val="nil"/>
            </w:tcBorders>
            <w:shd w:val="clear" w:color="auto" w:fill="auto"/>
            <w:noWrap/>
            <w:vAlign w:val="bottom"/>
            <w:hideMark/>
          </w:tcPr>
          <w:p w14:paraId="0973D356"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6.43</w:t>
            </w:r>
          </w:p>
        </w:tc>
        <w:tc>
          <w:tcPr>
            <w:tcW w:w="992" w:type="dxa"/>
            <w:tcBorders>
              <w:top w:val="nil"/>
              <w:left w:val="nil"/>
              <w:bottom w:val="nil"/>
              <w:right w:val="nil"/>
            </w:tcBorders>
            <w:shd w:val="clear" w:color="auto" w:fill="auto"/>
            <w:noWrap/>
            <w:vAlign w:val="bottom"/>
            <w:hideMark/>
          </w:tcPr>
          <w:p w14:paraId="3B7F3181"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2.236</w:t>
            </w:r>
          </w:p>
        </w:tc>
      </w:tr>
      <w:tr w:rsidR="00781D9E" w:rsidRPr="00F738CD" w14:paraId="2FC7361D" w14:textId="77777777" w:rsidTr="00D9676B">
        <w:trPr>
          <w:trHeight w:val="264"/>
        </w:trPr>
        <w:tc>
          <w:tcPr>
            <w:tcW w:w="567" w:type="dxa"/>
            <w:tcBorders>
              <w:top w:val="nil"/>
              <w:left w:val="nil"/>
              <w:bottom w:val="nil"/>
              <w:right w:val="nil"/>
            </w:tcBorders>
            <w:shd w:val="clear" w:color="auto" w:fill="auto"/>
            <w:noWrap/>
            <w:vAlign w:val="bottom"/>
            <w:hideMark/>
          </w:tcPr>
          <w:p w14:paraId="6ABF6E2A"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w:t>
            </w:r>
          </w:p>
        </w:tc>
        <w:tc>
          <w:tcPr>
            <w:tcW w:w="5387" w:type="dxa"/>
            <w:tcBorders>
              <w:top w:val="nil"/>
              <w:left w:val="nil"/>
              <w:bottom w:val="nil"/>
              <w:right w:val="nil"/>
            </w:tcBorders>
            <w:shd w:val="clear" w:color="auto" w:fill="auto"/>
            <w:noWrap/>
            <w:vAlign w:val="bottom"/>
            <w:hideMark/>
          </w:tcPr>
          <w:p w14:paraId="4CF21F24"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Neutrophil Extracellular Trap Signaling Pathway</w:t>
            </w:r>
          </w:p>
        </w:tc>
        <w:tc>
          <w:tcPr>
            <w:tcW w:w="1559" w:type="dxa"/>
            <w:tcBorders>
              <w:top w:val="nil"/>
              <w:left w:val="nil"/>
              <w:bottom w:val="nil"/>
              <w:right w:val="nil"/>
            </w:tcBorders>
            <w:shd w:val="clear" w:color="auto" w:fill="auto"/>
            <w:noWrap/>
            <w:vAlign w:val="bottom"/>
            <w:hideMark/>
          </w:tcPr>
          <w:p w14:paraId="7FA198C4"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6.35</w:t>
            </w:r>
          </w:p>
        </w:tc>
        <w:tc>
          <w:tcPr>
            <w:tcW w:w="992" w:type="dxa"/>
            <w:tcBorders>
              <w:top w:val="nil"/>
              <w:left w:val="nil"/>
              <w:bottom w:val="nil"/>
              <w:right w:val="nil"/>
            </w:tcBorders>
            <w:shd w:val="clear" w:color="auto" w:fill="auto"/>
            <w:noWrap/>
            <w:vAlign w:val="bottom"/>
            <w:hideMark/>
          </w:tcPr>
          <w:p w14:paraId="756E9E98"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0.816</w:t>
            </w:r>
          </w:p>
        </w:tc>
      </w:tr>
      <w:tr w:rsidR="00781D9E" w:rsidRPr="00F738CD" w14:paraId="7E7B7A80" w14:textId="77777777" w:rsidTr="00D9676B">
        <w:trPr>
          <w:trHeight w:val="264"/>
        </w:trPr>
        <w:tc>
          <w:tcPr>
            <w:tcW w:w="567" w:type="dxa"/>
            <w:tcBorders>
              <w:top w:val="nil"/>
              <w:left w:val="nil"/>
              <w:bottom w:val="nil"/>
              <w:right w:val="nil"/>
            </w:tcBorders>
            <w:shd w:val="clear" w:color="auto" w:fill="auto"/>
            <w:noWrap/>
            <w:vAlign w:val="bottom"/>
            <w:hideMark/>
          </w:tcPr>
          <w:p w14:paraId="0873CAFC"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5</w:t>
            </w:r>
          </w:p>
        </w:tc>
        <w:tc>
          <w:tcPr>
            <w:tcW w:w="5387" w:type="dxa"/>
            <w:tcBorders>
              <w:top w:val="nil"/>
              <w:left w:val="nil"/>
              <w:bottom w:val="nil"/>
              <w:right w:val="nil"/>
            </w:tcBorders>
            <w:shd w:val="clear" w:color="auto" w:fill="auto"/>
            <w:noWrap/>
            <w:vAlign w:val="bottom"/>
            <w:hideMark/>
          </w:tcPr>
          <w:p w14:paraId="5D3ECDDB"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proofErr w:type="spellStart"/>
            <w:r w:rsidRPr="00F738CD">
              <w:rPr>
                <w:rFonts w:ascii="Times New Roman" w:eastAsia="ＭＳ Ｐゴシック" w:hAnsi="Times New Roman" w:cs="Times New Roman"/>
                <w:kern w:val="0"/>
                <w:sz w:val="20"/>
                <w:szCs w:val="20"/>
                <w:lang w:bidi="th-TH"/>
              </w:rPr>
              <w:t>Fcγ</w:t>
            </w:r>
            <w:proofErr w:type="spellEnd"/>
            <w:r w:rsidRPr="00F738CD">
              <w:rPr>
                <w:rFonts w:ascii="Times New Roman" w:eastAsia="ＭＳ Ｐゴシック" w:hAnsi="Times New Roman" w:cs="Times New Roman"/>
                <w:kern w:val="0"/>
                <w:sz w:val="20"/>
                <w:szCs w:val="20"/>
                <w:lang w:bidi="th-TH"/>
              </w:rPr>
              <w:t xml:space="preserve"> Receptor-mediated Phagocytosis in Macrophages and Monocytes</w:t>
            </w:r>
          </w:p>
        </w:tc>
        <w:tc>
          <w:tcPr>
            <w:tcW w:w="1559" w:type="dxa"/>
            <w:tcBorders>
              <w:top w:val="nil"/>
              <w:left w:val="nil"/>
              <w:bottom w:val="nil"/>
              <w:right w:val="nil"/>
            </w:tcBorders>
            <w:shd w:val="clear" w:color="auto" w:fill="auto"/>
            <w:noWrap/>
            <w:vAlign w:val="bottom"/>
            <w:hideMark/>
          </w:tcPr>
          <w:p w14:paraId="4D6C401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6.1</w:t>
            </w:r>
          </w:p>
        </w:tc>
        <w:tc>
          <w:tcPr>
            <w:tcW w:w="992" w:type="dxa"/>
            <w:tcBorders>
              <w:top w:val="nil"/>
              <w:left w:val="nil"/>
              <w:bottom w:val="nil"/>
              <w:right w:val="nil"/>
            </w:tcBorders>
            <w:shd w:val="clear" w:color="auto" w:fill="auto"/>
            <w:noWrap/>
            <w:vAlign w:val="bottom"/>
            <w:hideMark/>
          </w:tcPr>
          <w:p w14:paraId="4CE4BEE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w:t>
            </w:r>
          </w:p>
        </w:tc>
      </w:tr>
      <w:tr w:rsidR="00781D9E" w:rsidRPr="00F738CD" w14:paraId="1F4B31BB" w14:textId="77777777" w:rsidTr="00D9676B">
        <w:trPr>
          <w:trHeight w:val="264"/>
        </w:trPr>
        <w:tc>
          <w:tcPr>
            <w:tcW w:w="567" w:type="dxa"/>
            <w:tcBorders>
              <w:top w:val="nil"/>
              <w:left w:val="nil"/>
              <w:bottom w:val="nil"/>
              <w:right w:val="nil"/>
            </w:tcBorders>
            <w:shd w:val="clear" w:color="auto" w:fill="auto"/>
            <w:noWrap/>
            <w:vAlign w:val="bottom"/>
            <w:hideMark/>
          </w:tcPr>
          <w:p w14:paraId="62178C9D"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6</w:t>
            </w:r>
          </w:p>
        </w:tc>
        <w:tc>
          <w:tcPr>
            <w:tcW w:w="5387" w:type="dxa"/>
            <w:tcBorders>
              <w:top w:val="nil"/>
              <w:left w:val="nil"/>
              <w:bottom w:val="nil"/>
              <w:right w:val="nil"/>
            </w:tcBorders>
            <w:shd w:val="clear" w:color="auto" w:fill="auto"/>
            <w:noWrap/>
            <w:vAlign w:val="bottom"/>
            <w:hideMark/>
          </w:tcPr>
          <w:p w14:paraId="3C7A56A6"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HGF Signaling</w:t>
            </w:r>
          </w:p>
        </w:tc>
        <w:tc>
          <w:tcPr>
            <w:tcW w:w="1559" w:type="dxa"/>
            <w:tcBorders>
              <w:top w:val="nil"/>
              <w:left w:val="nil"/>
              <w:bottom w:val="nil"/>
              <w:right w:val="nil"/>
            </w:tcBorders>
            <w:shd w:val="clear" w:color="auto" w:fill="auto"/>
            <w:noWrap/>
            <w:vAlign w:val="bottom"/>
            <w:hideMark/>
          </w:tcPr>
          <w:p w14:paraId="3C5B028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5.51</w:t>
            </w:r>
          </w:p>
        </w:tc>
        <w:tc>
          <w:tcPr>
            <w:tcW w:w="992" w:type="dxa"/>
            <w:tcBorders>
              <w:top w:val="nil"/>
              <w:left w:val="nil"/>
              <w:bottom w:val="nil"/>
              <w:right w:val="nil"/>
            </w:tcBorders>
            <w:shd w:val="clear" w:color="auto" w:fill="auto"/>
            <w:noWrap/>
            <w:vAlign w:val="bottom"/>
            <w:hideMark/>
          </w:tcPr>
          <w:p w14:paraId="0A7E0324"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ND</w:t>
            </w:r>
          </w:p>
        </w:tc>
      </w:tr>
      <w:tr w:rsidR="00781D9E" w:rsidRPr="00F738CD" w14:paraId="20FCD7C1" w14:textId="77777777" w:rsidTr="00D9676B">
        <w:trPr>
          <w:trHeight w:val="264"/>
        </w:trPr>
        <w:tc>
          <w:tcPr>
            <w:tcW w:w="567" w:type="dxa"/>
            <w:tcBorders>
              <w:top w:val="nil"/>
              <w:left w:val="nil"/>
              <w:bottom w:val="nil"/>
              <w:right w:val="nil"/>
            </w:tcBorders>
            <w:shd w:val="clear" w:color="auto" w:fill="auto"/>
            <w:noWrap/>
            <w:vAlign w:val="bottom"/>
            <w:hideMark/>
          </w:tcPr>
          <w:p w14:paraId="22BF8882"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7</w:t>
            </w:r>
          </w:p>
        </w:tc>
        <w:tc>
          <w:tcPr>
            <w:tcW w:w="5387" w:type="dxa"/>
            <w:tcBorders>
              <w:top w:val="nil"/>
              <w:left w:val="nil"/>
              <w:bottom w:val="nil"/>
              <w:right w:val="nil"/>
            </w:tcBorders>
            <w:shd w:val="clear" w:color="auto" w:fill="auto"/>
            <w:noWrap/>
            <w:vAlign w:val="bottom"/>
            <w:hideMark/>
          </w:tcPr>
          <w:p w14:paraId="28E4B832"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Role of Macrophages, Fibroblasts and Endothelial Cells in Rheumatoid Arthritis</w:t>
            </w:r>
          </w:p>
        </w:tc>
        <w:tc>
          <w:tcPr>
            <w:tcW w:w="1559" w:type="dxa"/>
            <w:tcBorders>
              <w:top w:val="nil"/>
              <w:left w:val="nil"/>
              <w:bottom w:val="nil"/>
              <w:right w:val="nil"/>
            </w:tcBorders>
            <w:shd w:val="clear" w:color="auto" w:fill="auto"/>
            <w:noWrap/>
            <w:vAlign w:val="bottom"/>
            <w:hideMark/>
          </w:tcPr>
          <w:p w14:paraId="697B2F4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5.32</w:t>
            </w:r>
          </w:p>
        </w:tc>
        <w:tc>
          <w:tcPr>
            <w:tcW w:w="992" w:type="dxa"/>
            <w:tcBorders>
              <w:top w:val="nil"/>
              <w:left w:val="nil"/>
              <w:bottom w:val="nil"/>
              <w:right w:val="nil"/>
            </w:tcBorders>
            <w:shd w:val="clear" w:color="auto" w:fill="auto"/>
            <w:noWrap/>
            <w:vAlign w:val="bottom"/>
            <w:hideMark/>
          </w:tcPr>
          <w:p w14:paraId="35D0A954"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ND</w:t>
            </w:r>
          </w:p>
        </w:tc>
      </w:tr>
      <w:tr w:rsidR="00781D9E" w:rsidRPr="00F738CD" w14:paraId="3FBEAB42" w14:textId="77777777" w:rsidTr="00D9676B">
        <w:trPr>
          <w:trHeight w:val="264"/>
        </w:trPr>
        <w:tc>
          <w:tcPr>
            <w:tcW w:w="567" w:type="dxa"/>
            <w:tcBorders>
              <w:top w:val="nil"/>
              <w:left w:val="nil"/>
              <w:bottom w:val="nil"/>
              <w:right w:val="nil"/>
            </w:tcBorders>
            <w:shd w:val="clear" w:color="auto" w:fill="auto"/>
            <w:noWrap/>
            <w:vAlign w:val="bottom"/>
            <w:hideMark/>
          </w:tcPr>
          <w:p w14:paraId="1EEDD198"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8</w:t>
            </w:r>
          </w:p>
        </w:tc>
        <w:tc>
          <w:tcPr>
            <w:tcW w:w="5387" w:type="dxa"/>
            <w:tcBorders>
              <w:top w:val="nil"/>
              <w:left w:val="nil"/>
              <w:bottom w:val="nil"/>
              <w:right w:val="nil"/>
            </w:tcBorders>
            <w:shd w:val="clear" w:color="auto" w:fill="auto"/>
            <w:noWrap/>
            <w:vAlign w:val="bottom"/>
            <w:hideMark/>
          </w:tcPr>
          <w:p w14:paraId="248E7CD4"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Macrophage Alternative Activation Signaling Pathway</w:t>
            </w:r>
          </w:p>
        </w:tc>
        <w:tc>
          <w:tcPr>
            <w:tcW w:w="1559" w:type="dxa"/>
            <w:tcBorders>
              <w:top w:val="nil"/>
              <w:left w:val="nil"/>
              <w:bottom w:val="nil"/>
              <w:right w:val="nil"/>
            </w:tcBorders>
            <w:shd w:val="clear" w:color="auto" w:fill="auto"/>
            <w:noWrap/>
            <w:vAlign w:val="bottom"/>
            <w:hideMark/>
          </w:tcPr>
          <w:p w14:paraId="095784D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4.88</w:t>
            </w:r>
          </w:p>
        </w:tc>
        <w:tc>
          <w:tcPr>
            <w:tcW w:w="992" w:type="dxa"/>
            <w:tcBorders>
              <w:top w:val="nil"/>
              <w:left w:val="nil"/>
              <w:bottom w:val="nil"/>
              <w:right w:val="nil"/>
            </w:tcBorders>
            <w:shd w:val="clear" w:color="auto" w:fill="auto"/>
            <w:noWrap/>
            <w:vAlign w:val="bottom"/>
            <w:hideMark/>
          </w:tcPr>
          <w:p w14:paraId="7D9106CC"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w:t>
            </w:r>
          </w:p>
        </w:tc>
      </w:tr>
      <w:tr w:rsidR="00781D9E" w:rsidRPr="00F738CD" w14:paraId="1190FD19" w14:textId="77777777" w:rsidTr="00D9676B">
        <w:trPr>
          <w:trHeight w:val="264"/>
        </w:trPr>
        <w:tc>
          <w:tcPr>
            <w:tcW w:w="567" w:type="dxa"/>
            <w:tcBorders>
              <w:top w:val="nil"/>
              <w:left w:val="nil"/>
              <w:right w:val="nil"/>
            </w:tcBorders>
            <w:shd w:val="clear" w:color="auto" w:fill="auto"/>
            <w:noWrap/>
            <w:vAlign w:val="bottom"/>
            <w:hideMark/>
          </w:tcPr>
          <w:p w14:paraId="10BCD33A"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9</w:t>
            </w:r>
          </w:p>
        </w:tc>
        <w:tc>
          <w:tcPr>
            <w:tcW w:w="5387" w:type="dxa"/>
            <w:tcBorders>
              <w:top w:val="nil"/>
              <w:left w:val="nil"/>
              <w:right w:val="nil"/>
            </w:tcBorders>
            <w:shd w:val="clear" w:color="auto" w:fill="auto"/>
            <w:noWrap/>
            <w:vAlign w:val="bottom"/>
            <w:hideMark/>
          </w:tcPr>
          <w:p w14:paraId="37002027"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Caveolar-mediated Endocytosis Signaling</w:t>
            </w:r>
          </w:p>
        </w:tc>
        <w:tc>
          <w:tcPr>
            <w:tcW w:w="1559" w:type="dxa"/>
            <w:tcBorders>
              <w:top w:val="nil"/>
              <w:left w:val="nil"/>
              <w:right w:val="nil"/>
            </w:tcBorders>
            <w:shd w:val="clear" w:color="auto" w:fill="auto"/>
            <w:noWrap/>
            <w:vAlign w:val="bottom"/>
            <w:hideMark/>
          </w:tcPr>
          <w:p w14:paraId="1ADE47F8"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4.57</w:t>
            </w:r>
          </w:p>
        </w:tc>
        <w:tc>
          <w:tcPr>
            <w:tcW w:w="992" w:type="dxa"/>
            <w:tcBorders>
              <w:top w:val="nil"/>
              <w:left w:val="nil"/>
              <w:right w:val="nil"/>
            </w:tcBorders>
            <w:shd w:val="clear" w:color="auto" w:fill="auto"/>
            <w:noWrap/>
            <w:vAlign w:val="bottom"/>
            <w:hideMark/>
          </w:tcPr>
          <w:p w14:paraId="5C7BB9BA"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ND</w:t>
            </w:r>
          </w:p>
        </w:tc>
      </w:tr>
      <w:tr w:rsidR="00781D9E" w:rsidRPr="00F738CD" w14:paraId="35BC5A0B" w14:textId="77777777" w:rsidTr="00D9676B">
        <w:trPr>
          <w:trHeight w:val="264"/>
        </w:trPr>
        <w:tc>
          <w:tcPr>
            <w:tcW w:w="567" w:type="dxa"/>
            <w:tcBorders>
              <w:top w:val="nil"/>
              <w:left w:val="nil"/>
              <w:bottom w:val="single" w:sz="4" w:space="0" w:color="auto"/>
              <w:right w:val="nil"/>
            </w:tcBorders>
            <w:shd w:val="clear" w:color="auto" w:fill="auto"/>
            <w:noWrap/>
            <w:vAlign w:val="bottom"/>
            <w:hideMark/>
          </w:tcPr>
          <w:p w14:paraId="024A6A79"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10</w:t>
            </w:r>
          </w:p>
        </w:tc>
        <w:tc>
          <w:tcPr>
            <w:tcW w:w="5387" w:type="dxa"/>
            <w:tcBorders>
              <w:top w:val="nil"/>
              <w:left w:val="nil"/>
              <w:bottom w:val="single" w:sz="4" w:space="0" w:color="auto"/>
              <w:right w:val="nil"/>
            </w:tcBorders>
            <w:shd w:val="clear" w:color="auto" w:fill="auto"/>
            <w:noWrap/>
            <w:vAlign w:val="bottom"/>
            <w:hideMark/>
          </w:tcPr>
          <w:p w14:paraId="7BE354E2"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IL-12 Signaling and Production in Macrophages</w:t>
            </w:r>
          </w:p>
        </w:tc>
        <w:tc>
          <w:tcPr>
            <w:tcW w:w="1559" w:type="dxa"/>
            <w:tcBorders>
              <w:top w:val="nil"/>
              <w:left w:val="nil"/>
              <w:bottom w:val="single" w:sz="4" w:space="0" w:color="auto"/>
              <w:right w:val="nil"/>
            </w:tcBorders>
            <w:shd w:val="clear" w:color="auto" w:fill="auto"/>
            <w:noWrap/>
            <w:vAlign w:val="bottom"/>
            <w:hideMark/>
          </w:tcPr>
          <w:p w14:paraId="5B3C5365"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4.52</w:t>
            </w:r>
          </w:p>
        </w:tc>
        <w:tc>
          <w:tcPr>
            <w:tcW w:w="992" w:type="dxa"/>
            <w:tcBorders>
              <w:top w:val="nil"/>
              <w:left w:val="nil"/>
              <w:bottom w:val="single" w:sz="4" w:space="0" w:color="auto"/>
              <w:right w:val="nil"/>
            </w:tcBorders>
            <w:shd w:val="clear" w:color="auto" w:fill="auto"/>
            <w:noWrap/>
            <w:vAlign w:val="bottom"/>
            <w:hideMark/>
          </w:tcPr>
          <w:p w14:paraId="34582CD3"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w:t>
            </w:r>
          </w:p>
        </w:tc>
      </w:tr>
    </w:tbl>
    <w:p w14:paraId="79B70665" w14:textId="143529F7" w:rsidR="00781D9E" w:rsidRPr="00F738CD" w:rsidRDefault="00781D9E" w:rsidP="00781D9E">
      <w:pPr>
        <w:pStyle w:val="Paragraph"/>
        <w:spacing w:line="480" w:lineRule="auto"/>
        <w:jc w:val="both"/>
        <w:rPr>
          <w:sz w:val="18"/>
        </w:rPr>
      </w:pPr>
      <w:r w:rsidRPr="00F738CD">
        <w:rPr>
          <w:sz w:val="18"/>
        </w:rPr>
        <w:t xml:space="preserve">A positive z-score suggests that the pathway was upregulated. ND indicates </w:t>
      </w:r>
      <w:r w:rsidR="003C5219" w:rsidRPr="00F738CD">
        <w:rPr>
          <w:sz w:val="18"/>
        </w:rPr>
        <w:t xml:space="preserve">that the </w:t>
      </w:r>
      <w:r w:rsidRPr="00F738CD">
        <w:rPr>
          <w:sz w:val="18"/>
        </w:rPr>
        <w:t xml:space="preserve">direction of the pathway regulation </w:t>
      </w:r>
      <w:r w:rsidR="003C5219" w:rsidRPr="00F738CD">
        <w:rPr>
          <w:sz w:val="18"/>
        </w:rPr>
        <w:t>could not</w:t>
      </w:r>
      <w:r w:rsidRPr="00F738CD">
        <w:rPr>
          <w:sz w:val="18"/>
        </w:rPr>
        <w:t xml:space="preserve"> be determined.</w:t>
      </w:r>
    </w:p>
    <w:p w14:paraId="4B03680F" w14:textId="77777777" w:rsidR="004926EF" w:rsidRDefault="00984E7B" w:rsidP="00781D9E">
      <w:pPr>
        <w:widowControl/>
        <w:spacing w:line="480" w:lineRule="auto"/>
        <w:rPr>
          <w:rFonts w:ascii="Times New Roman" w:eastAsia="ＭＳ 明朝" w:hAnsi="Times New Roman" w:cs="Times New Roman"/>
          <w:kern w:val="0"/>
          <w:sz w:val="18"/>
          <w:szCs w:val="24"/>
        </w:rPr>
      </w:pPr>
      <w:r w:rsidRPr="00F738CD">
        <w:rPr>
          <w:rFonts w:ascii="Times New Roman" w:eastAsia="ＭＳ 明朝" w:hAnsi="Times New Roman" w:cs="Times New Roman"/>
          <w:kern w:val="0"/>
          <w:sz w:val="18"/>
          <w:szCs w:val="24"/>
        </w:rPr>
        <w:t xml:space="preserve">DEG, differentially expressed gene; </w:t>
      </w:r>
      <w:proofErr w:type="spellStart"/>
      <w:r w:rsidR="00E61EE0" w:rsidRPr="00F738CD">
        <w:rPr>
          <w:rFonts w:ascii="Times New Roman" w:eastAsia="ＭＳ 明朝" w:hAnsi="Times New Roman" w:cs="Times New Roman"/>
          <w:kern w:val="0"/>
          <w:sz w:val="18"/>
          <w:szCs w:val="24"/>
        </w:rPr>
        <w:t>Fcγ</w:t>
      </w:r>
      <w:proofErr w:type="spellEnd"/>
      <w:r w:rsidR="00E61EE0" w:rsidRPr="00F738CD">
        <w:rPr>
          <w:rFonts w:ascii="Times New Roman" w:eastAsia="ＭＳ 明朝" w:hAnsi="Times New Roman" w:cs="Times New Roman"/>
          <w:kern w:val="0"/>
          <w:sz w:val="18"/>
          <w:szCs w:val="24"/>
        </w:rPr>
        <w:t xml:space="preserve">, fragment crystallizable gamma; HGF, hepatocyte growth factor; IL, interleukin; </w:t>
      </w:r>
      <w:r w:rsidRPr="00F738CD">
        <w:rPr>
          <w:rFonts w:ascii="Times New Roman" w:eastAsia="ＭＳ 明朝" w:hAnsi="Times New Roman" w:cs="Times New Roman"/>
          <w:kern w:val="0"/>
          <w:sz w:val="18"/>
          <w:szCs w:val="24"/>
        </w:rPr>
        <w:t xml:space="preserve">IPA, Ingenuity Pathway Analysis; </w:t>
      </w:r>
      <w:r w:rsidR="00E61EE0" w:rsidRPr="00F738CD">
        <w:rPr>
          <w:rFonts w:ascii="Times New Roman" w:eastAsia="ＭＳ 明朝" w:hAnsi="Times New Roman" w:cs="Times New Roman"/>
          <w:kern w:val="0"/>
          <w:sz w:val="18"/>
          <w:szCs w:val="24"/>
        </w:rPr>
        <w:t xml:space="preserve">ND, </w:t>
      </w:r>
      <w:r w:rsidR="004E2E20" w:rsidRPr="00F738CD">
        <w:rPr>
          <w:rFonts w:ascii="Times New Roman" w:eastAsia="ＭＳ 明朝" w:hAnsi="Times New Roman" w:cs="Times New Roman"/>
          <w:kern w:val="0"/>
          <w:sz w:val="18"/>
          <w:szCs w:val="24"/>
        </w:rPr>
        <w:t>not de</w:t>
      </w:r>
      <w:r w:rsidR="004A409E" w:rsidRPr="00F738CD">
        <w:rPr>
          <w:rFonts w:ascii="Times New Roman" w:eastAsia="ＭＳ 明朝" w:hAnsi="Times New Roman" w:cs="Times New Roman"/>
          <w:kern w:val="0"/>
          <w:sz w:val="18"/>
          <w:szCs w:val="24"/>
        </w:rPr>
        <w:t>termined.</w:t>
      </w:r>
    </w:p>
    <w:p w14:paraId="7D7D5A7B" w14:textId="21CCDB3D" w:rsidR="00781D9E" w:rsidRPr="004250FA" w:rsidRDefault="00781D9E" w:rsidP="00781D9E">
      <w:pPr>
        <w:widowControl/>
        <w:spacing w:line="480" w:lineRule="auto"/>
        <w:rPr>
          <w:rFonts w:ascii="Arial" w:hAnsi="Arial" w:cs="Arial"/>
          <w:b/>
          <w:bCs/>
          <w:sz w:val="24"/>
          <w:szCs w:val="24"/>
        </w:rPr>
      </w:pPr>
      <w:r w:rsidRPr="004250FA">
        <w:rPr>
          <w:rFonts w:ascii="Arial" w:hAnsi="Arial" w:cs="Arial"/>
          <w:b/>
          <w:bCs/>
          <w:sz w:val="24"/>
          <w:szCs w:val="24"/>
        </w:rPr>
        <w:br w:type="page"/>
      </w:r>
    </w:p>
    <w:p w14:paraId="4D052262" w14:textId="33DE5ECD" w:rsidR="00781D9E" w:rsidRPr="00F738CD" w:rsidRDefault="00781D9E" w:rsidP="00781D9E">
      <w:pPr>
        <w:widowControl/>
        <w:spacing w:line="480" w:lineRule="auto"/>
        <w:rPr>
          <w:rFonts w:ascii="Times New Roman" w:hAnsi="Times New Roman" w:cs="Times New Roman"/>
          <w:b/>
          <w:bCs/>
          <w:sz w:val="24"/>
          <w:szCs w:val="24"/>
        </w:rPr>
      </w:pPr>
      <w:r w:rsidRPr="00F738CD">
        <w:rPr>
          <w:rFonts w:ascii="Times New Roman" w:hAnsi="Times New Roman" w:cs="Times New Roman"/>
          <w:b/>
          <w:bCs/>
          <w:sz w:val="24"/>
          <w:szCs w:val="24"/>
        </w:rPr>
        <w:lastRenderedPageBreak/>
        <w:t xml:space="preserve">Table </w:t>
      </w:r>
      <w:r w:rsidR="00F85810" w:rsidRPr="00F738CD">
        <w:rPr>
          <w:rFonts w:ascii="Times New Roman" w:hAnsi="Times New Roman" w:cs="Times New Roman"/>
          <w:b/>
          <w:bCs/>
          <w:sz w:val="24"/>
          <w:szCs w:val="24"/>
        </w:rPr>
        <w:t>S2</w:t>
      </w:r>
      <w:r w:rsidRPr="00F738CD">
        <w:rPr>
          <w:rFonts w:ascii="Times New Roman" w:hAnsi="Times New Roman" w:cs="Times New Roman"/>
          <w:b/>
          <w:bCs/>
          <w:sz w:val="24"/>
          <w:szCs w:val="24"/>
        </w:rPr>
        <w:t xml:space="preserve">. Top 10 IPA results using DEGs between </w:t>
      </w:r>
      <w:r w:rsidR="004B445B" w:rsidRPr="00F738CD">
        <w:rPr>
          <w:rFonts w:ascii="Times New Roman" w:hAnsi="Times New Roman" w:cs="Times New Roman"/>
          <w:b/>
          <w:bCs/>
          <w:sz w:val="24"/>
          <w:szCs w:val="24"/>
        </w:rPr>
        <w:t xml:space="preserve">the </w:t>
      </w:r>
      <w:r w:rsidRPr="00F738CD">
        <w:rPr>
          <w:rFonts w:ascii="Times New Roman" w:hAnsi="Times New Roman" w:cs="Times New Roman"/>
          <w:b/>
          <w:bCs/>
          <w:sz w:val="24"/>
          <w:szCs w:val="24"/>
        </w:rPr>
        <w:t>anti</w:t>
      </w:r>
      <w:r w:rsidR="00C574ED" w:rsidRPr="00F738CD">
        <w:rPr>
          <w:rFonts w:ascii="Times New Roman" w:hAnsi="Times New Roman" w:cs="Times New Roman"/>
          <w:b/>
          <w:bCs/>
          <w:sz w:val="24"/>
          <w:szCs w:val="24"/>
        </w:rPr>
        <w:t>–</w:t>
      </w:r>
      <w:r w:rsidRPr="00F738CD">
        <w:rPr>
          <w:rFonts w:ascii="Times New Roman" w:hAnsi="Times New Roman" w:cs="Times New Roman"/>
          <w:b/>
          <w:bCs/>
          <w:sz w:val="24"/>
          <w:szCs w:val="24"/>
        </w:rPr>
        <w:t>PD-L1 and control groups</w:t>
      </w:r>
      <w:r w:rsidR="0017145E" w:rsidRPr="00F738CD">
        <w:rPr>
          <w:rFonts w:ascii="Times New Roman" w:hAnsi="Times New Roman" w:cs="Times New Roman"/>
          <w:b/>
          <w:bCs/>
          <w:sz w:val="24"/>
          <w:szCs w:val="24"/>
        </w:rPr>
        <w:t>.</w:t>
      </w:r>
    </w:p>
    <w:p w14:paraId="5904F3A0" w14:textId="77777777" w:rsidR="00781D9E" w:rsidRPr="004250FA" w:rsidRDefault="00781D9E" w:rsidP="00781D9E">
      <w:pPr>
        <w:widowControl/>
        <w:spacing w:line="480" w:lineRule="auto"/>
        <w:rPr>
          <w:rFonts w:ascii="Arial" w:hAnsi="Arial" w:cs="Arial"/>
          <w:b/>
          <w:bCs/>
          <w:sz w:val="24"/>
          <w:szCs w:val="24"/>
        </w:rPr>
      </w:pPr>
    </w:p>
    <w:tbl>
      <w:tblPr>
        <w:tblW w:w="8505" w:type="dxa"/>
        <w:tblCellMar>
          <w:left w:w="99" w:type="dxa"/>
          <w:right w:w="99" w:type="dxa"/>
        </w:tblCellMar>
        <w:tblLook w:val="04A0" w:firstRow="1" w:lastRow="0" w:firstColumn="1" w:lastColumn="0" w:noHBand="0" w:noVBand="1"/>
      </w:tblPr>
      <w:tblGrid>
        <w:gridCol w:w="567"/>
        <w:gridCol w:w="5245"/>
        <w:gridCol w:w="1559"/>
        <w:gridCol w:w="1134"/>
      </w:tblGrid>
      <w:tr w:rsidR="00781D9E" w:rsidRPr="00F738CD" w14:paraId="3BFFF47C" w14:textId="77777777" w:rsidTr="00D9676B">
        <w:trPr>
          <w:trHeight w:val="264"/>
        </w:trPr>
        <w:tc>
          <w:tcPr>
            <w:tcW w:w="567" w:type="dxa"/>
            <w:tcBorders>
              <w:top w:val="nil"/>
              <w:left w:val="nil"/>
              <w:bottom w:val="single" w:sz="4" w:space="0" w:color="auto"/>
              <w:right w:val="nil"/>
            </w:tcBorders>
            <w:shd w:val="clear" w:color="auto" w:fill="auto"/>
            <w:noWrap/>
            <w:vAlign w:val="bottom"/>
            <w:hideMark/>
          </w:tcPr>
          <w:p w14:paraId="2E031BCA" w14:textId="77777777"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No.</w:t>
            </w:r>
          </w:p>
        </w:tc>
        <w:tc>
          <w:tcPr>
            <w:tcW w:w="5245" w:type="dxa"/>
            <w:tcBorders>
              <w:top w:val="nil"/>
              <w:left w:val="nil"/>
              <w:bottom w:val="single" w:sz="4" w:space="0" w:color="auto"/>
              <w:right w:val="nil"/>
            </w:tcBorders>
            <w:shd w:val="clear" w:color="auto" w:fill="auto"/>
            <w:noWrap/>
            <w:vAlign w:val="bottom"/>
            <w:hideMark/>
          </w:tcPr>
          <w:p w14:paraId="484DE5FB" w14:textId="70ACD8D9" w:rsidR="00781D9E" w:rsidRPr="00F738CD" w:rsidRDefault="00781D9E" w:rsidP="00D9676B">
            <w:pPr>
              <w:widowControl/>
              <w:spacing w:line="480" w:lineRule="auto"/>
              <w:jc w:val="left"/>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 xml:space="preserve">Ingenuity </w:t>
            </w:r>
            <w:r w:rsidR="006A7819" w:rsidRPr="00F738CD">
              <w:rPr>
                <w:rFonts w:ascii="Times New Roman" w:eastAsia="ＭＳ Ｐゴシック" w:hAnsi="Times New Roman" w:cs="Times New Roman"/>
                <w:b/>
                <w:bCs/>
                <w:kern w:val="0"/>
                <w:sz w:val="20"/>
                <w:szCs w:val="20"/>
                <w:lang w:bidi="th-TH"/>
              </w:rPr>
              <w:t>c</w:t>
            </w:r>
            <w:r w:rsidRPr="00F738CD">
              <w:rPr>
                <w:rFonts w:ascii="Times New Roman" w:eastAsia="ＭＳ Ｐゴシック" w:hAnsi="Times New Roman" w:cs="Times New Roman"/>
                <w:b/>
                <w:bCs/>
                <w:kern w:val="0"/>
                <w:sz w:val="20"/>
                <w:szCs w:val="20"/>
                <w:lang w:bidi="th-TH"/>
              </w:rPr>
              <w:t xml:space="preserve">anonical </w:t>
            </w:r>
            <w:r w:rsidR="006A7819" w:rsidRPr="00F738CD">
              <w:rPr>
                <w:rFonts w:ascii="Times New Roman" w:eastAsia="ＭＳ Ｐゴシック" w:hAnsi="Times New Roman" w:cs="Times New Roman"/>
                <w:b/>
                <w:bCs/>
                <w:kern w:val="0"/>
                <w:sz w:val="20"/>
                <w:szCs w:val="20"/>
                <w:lang w:bidi="th-TH"/>
              </w:rPr>
              <w:t>p</w:t>
            </w:r>
            <w:r w:rsidRPr="00F738CD">
              <w:rPr>
                <w:rFonts w:ascii="Times New Roman" w:eastAsia="ＭＳ Ｐゴシック" w:hAnsi="Times New Roman" w:cs="Times New Roman"/>
                <w:b/>
                <w:bCs/>
                <w:kern w:val="0"/>
                <w:sz w:val="20"/>
                <w:szCs w:val="20"/>
                <w:lang w:bidi="th-TH"/>
              </w:rPr>
              <w:t>athways</w:t>
            </w:r>
          </w:p>
        </w:tc>
        <w:tc>
          <w:tcPr>
            <w:tcW w:w="1559" w:type="dxa"/>
            <w:tcBorders>
              <w:top w:val="nil"/>
              <w:left w:val="nil"/>
              <w:bottom w:val="single" w:sz="4" w:space="0" w:color="auto"/>
              <w:right w:val="nil"/>
            </w:tcBorders>
            <w:shd w:val="clear" w:color="auto" w:fill="auto"/>
            <w:noWrap/>
            <w:vAlign w:val="bottom"/>
            <w:hideMark/>
          </w:tcPr>
          <w:p w14:paraId="6F7CA09A" w14:textId="013B071E"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-log(</w:t>
            </w:r>
            <w:r w:rsidR="006A7819" w:rsidRPr="00F738CD">
              <w:rPr>
                <w:rFonts w:ascii="Times New Roman" w:eastAsia="ＭＳ Ｐゴシック" w:hAnsi="Times New Roman" w:cs="Times New Roman"/>
                <w:b/>
                <w:bCs/>
                <w:i/>
                <w:iCs/>
                <w:kern w:val="0"/>
                <w:sz w:val="20"/>
                <w:szCs w:val="20"/>
                <w:lang w:bidi="th-TH"/>
              </w:rPr>
              <w:t>P</w:t>
            </w:r>
            <w:r w:rsidRPr="00F738CD">
              <w:rPr>
                <w:rFonts w:ascii="Times New Roman" w:eastAsia="ＭＳ Ｐゴシック" w:hAnsi="Times New Roman" w:cs="Times New Roman"/>
                <w:b/>
                <w:bCs/>
                <w:kern w:val="0"/>
                <w:sz w:val="20"/>
                <w:szCs w:val="20"/>
                <w:lang w:bidi="th-TH"/>
              </w:rPr>
              <w:t>-value)</w:t>
            </w:r>
          </w:p>
        </w:tc>
        <w:tc>
          <w:tcPr>
            <w:tcW w:w="1134" w:type="dxa"/>
            <w:tcBorders>
              <w:top w:val="nil"/>
              <w:left w:val="nil"/>
              <w:bottom w:val="single" w:sz="4" w:space="0" w:color="auto"/>
              <w:right w:val="nil"/>
            </w:tcBorders>
            <w:shd w:val="clear" w:color="auto" w:fill="auto"/>
            <w:noWrap/>
            <w:vAlign w:val="bottom"/>
            <w:hideMark/>
          </w:tcPr>
          <w:p w14:paraId="1B2A2CA8" w14:textId="77777777"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z-score</w:t>
            </w:r>
          </w:p>
        </w:tc>
      </w:tr>
      <w:tr w:rsidR="00781D9E" w:rsidRPr="00F738CD" w14:paraId="315A336B" w14:textId="77777777" w:rsidTr="00D9676B">
        <w:trPr>
          <w:trHeight w:val="264"/>
        </w:trPr>
        <w:tc>
          <w:tcPr>
            <w:tcW w:w="567" w:type="dxa"/>
            <w:tcBorders>
              <w:top w:val="single" w:sz="4" w:space="0" w:color="auto"/>
              <w:left w:val="nil"/>
              <w:bottom w:val="nil"/>
              <w:right w:val="nil"/>
            </w:tcBorders>
            <w:shd w:val="clear" w:color="auto" w:fill="auto"/>
            <w:noWrap/>
            <w:vAlign w:val="bottom"/>
            <w:hideMark/>
          </w:tcPr>
          <w:p w14:paraId="65530F83"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w:t>
            </w:r>
          </w:p>
        </w:tc>
        <w:tc>
          <w:tcPr>
            <w:tcW w:w="5245" w:type="dxa"/>
            <w:tcBorders>
              <w:top w:val="single" w:sz="4" w:space="0" w:color="auto"/>
              <w:left w:val="nil"/>
              <w:bottom w:val="nil"/>
              <w:right w:val="nil"/>
            </w:tcBorders>
            <w:shd w:val="clear" w:color="auto" w:fill="auto"/>
            <w:noWrap/>
            <w:vAlign w:val="bottom"/>
            <w:hideMark/>
          </w:tcPr>
          <w:p w14:paraId="3E8705F5"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Th1 and Th2 Activation Pathway</w:t>
            </w:r>
          </w:p>
        </w:tc>
        <w:tc>
          <w:tcPr>
            <w:tcW w:w="1559" w:type="dxa"/>
            <w:tcBorders>
              <w:top w:val="single" w:sz="4" w:space="0" w:color="auto"/>
              <w:left w:val="nil"/>
              <w:bottom w:val="nil"/>
              <w:right w:val="nil"/>
            </w:tcBorders>
            <w:shd w:val="clear" w:color="auto" w:fill="auto"/>
            <w:noWrap/>
            <w:vAlign w:val="bottom"/>
            <w:hideMark/>
          </w:tcPr>
          <w:p w14:paraId="5CFC5B06"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46.8</w:t>
            </w:r>
          </w:p>
        </w:tc>
        <w:tc>
          <w:tcPr>
            <w:tcW w:w="1134" w:type="dxa"/>
            <w:tcBorders>
              <w:top w:val="single" w:sz="4" w:space="0" w:color="auto"/>
              <w:left w:val="nil"/>
              <w:bottom w:val="nil"/>
              <w:right w:val="nil"/>
            </w:tcBorders>
            <w:shd w:val="clear" w:color="auto" w:fill="auto"/>
            <w:noWrap/>
            <w:vAlign w:val="bottom"/>
            <w:hideMark/>
          </w:tcPr>
          <w:p w14:paraId="583CD8E8"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ND</w:t>
            </w:r>
          </w:p>
        </w:tc>
      </w:tr>
      <w:tr w:rsidR="00781D9E" w:rsidRPr="00F738CD" w14:paraId="32436420" w14:textId="77777777" w:rsidTr="00D9676B">
        <w:trPr>
          <w:trHeight w:val="264"/>
        </w:trPr>
        <w:tc>
          <w:tcPr>
            <w:tcW w:w="567" w:type="dxa"/>
            <w:tcBorders>
              <w:top w:val="nil"/>
              <w:left w:val="nil"/>
              <w:bottom w:val="nil"/>
              <w:right w:val="nil"/>
            </w:tcBorders>
            <w:shd w:val="clear" w:color="auto" w:fill="auto"/>
            <w:noWrap/>
            <w:vAlign w:val="bottom"/>
            <w:hideMark/>
          </w:tcPr>
          <w:p w14:paraId="6C73625D"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w:t>
            </w:r>
          </w:p>
        </w:tc>
        <w:tc>
          <w:tcPr>
            <w:tcW w:w="5245" w:type="dxa"/>
            <w:tcBorders>
              <w:top w:val="nil"/>
              <w:left w:val="nil"/>
              <w:bottom w:val="nil"/>
              <w:right w:val="nil"/>
            </w:tcBorders>
            <w:shd w:val="clear" w:color="auto" w:fill="auto"/>
            <w:noWrap/>
            <w:vAlign w:val="bottom"/>
            <w:hideMark/>
          </w:tcPr>
          <w:p w14:paraId="21918977"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Th1 Pathway</w:t>
            </w:r>
          </w:p>
        </w:tc>
        <w:tc>
          <w:tcPr>
            <w:tcW w:w="1559" w:type="dxa"/>
            <w:tcBorders>
              <w:top w:val="nil"/>
              <w:left w:val="nil"/>
              <w:bottom w:val="nil"/>
              <w:right w:val="nil"/>
            </w:tcBorders>
            <w:shd w:val="clear" w:color="auto" w:fill="auto"/>
            <w:noWrap/>
            <w:vAlign w:val="bottom"/>
            <w:hideMark/>
          </w:tcPr>
          <w:p w14:paraId="6753617C"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42</w:t>
            </w:r>
          </w:p>
        </w:tc>
        <w:tc>
          <w:tcPr>
            <w:tcW w:w="1134" w:type="dxa"/>
            <w:tcBorders>
              <w:top w:val="nil"/>
              <w:left w:val="nil"/>
              <w:bottom w:val="nil"/>
              <w:right w:val="nil"/>
            </w:tcBorders>
            <w:shd w:val="clear" w:color="auto" w:fill="auto"/>
            <w:noWrap/>
            <w:vAlign w:val="bottom"/>
            <w:hideMark/>
          </w:tcPr>
          <w:p w14:paraId="04CFC84A"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5.209</w:t>
            </w:r>
          </w:p>
        </w:tc>
      </w:tr>
      <w:tr w:rsidR="00781D9E" w:rsidRPr="00F738CD" w14:paraId="486ABBF4" w14:textId="77777777" w:rsidTr="00D9676B">
        <w:trPr>
          <w:trHeight w:val="264"/>
        </w:trPr>
        <w:tc>
          <w:tcPr>
            <w:tcW w:w="567" w:type="dxa"/>
            <w:tcBorders>
              <w:top w:val="nil"/>
              <w:left w:val="nil"/>
              <w:bottom w:val="nil"/>
              <w:right w:val="nil"/>
            </w:tcBorders>
            <w:shd w:val="clear" w:color="auto" w:fill="auto"/>
            <w:noWrap/>
            <w:vAlign w:val="bottom"/>
            <w:hideMark/>
          </w:tcPr>
          <w:p w14:paraId="5E64DDAA"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w:t>
            </w:r>
          </w:p>
        </w:tc>
        <w:tc>
          <w:tcPr>
            <w:tcW w:w="5245" w:type="dxa"/>
            <w:tcBorders>
              <w:top w:val="nil"/>
              <w:left w:val="nil"/>
              <w:bottom w:val="nil"/>
              <w:right w:val="nil"/>
            </w:tcBorders>
            <w:shd w:val="clear" w:color="auto" w:fill="auto"/>
            <w:noWrap/>
            <w:vAlign w:val="bottom"/>
            <w:hideMark/>
          </w:tcPr>
          <w:p w14:paraId="5E98ABE1"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Pathogen Induced Cytokine Storm Signaling Pathway</w:t>
            </w:r>
          </w:p>
        </w:tc>
        <w:tc>
          <w:tcPr>
            <w:tcW w:w="1559" w:type="dxa"/>
            <w:tcBorders>
              <w:top w:val="nil"/>
              <w:left w:val="nil"/>
              <w:bottom w:val="nil"/>
              <w:right w:val="nil"/>
            </w:tcBorders>
            <w:shd w:val="clear" w:color="auto" w:fill="auto"/>
            <w:noWrap/>
            <w:vAlign w:val="bottom"/>
            <w:hideMark/>
          </w:tcPr>
          <w:p w14:paraId="2206D0E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39</w:t>
            </w:r>
          </w:p>
        </w:tc>
        <w:tc>
          <w:tcPr>
            <w:tcW w:w="1134" w:type="dxa"/>
            <w:tcBorders>
              <w:top w:val="nil"/>
              <w:left w:val="nil"/>
              <w:bottom w:val="nil"/>
              <w:right w:val="nil"/>
            </w:tcBorders>
            <w:shd w:val="clear" w:color="auto" w:fill="auto"/>
            <w:noWrap/>
            <w:vAlign w:val="bottom"/>
            <w:hideMark/>
          </w:tcPr>
          <w:p w14:paraId="7A87D7B2"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6.172</w:t>
            </w:r>
          </w:p>
        </w:tc>
      </w:tr>
      <w:tr w:rsidR="00781D9E" w:rsidRPr="00F738CD" w14:paraId="12615747" w14:textId="77777777" w:rsidTr="00D9676B">
        <w:trPr>
          <w:trHeight w:val="264"/>
        </w:trPr>
        <w:tc>
          <w:tcPr>
            <w:tcW w:w="567" w:type="dxa"/>
            <w:tcBorders>
              <w:top w:val="nil"/>
              <w:left w:val="nil"/>
              <w:bottom w:val="nil"/>
              <w:right w:val="nil"/>
            </w:tcBorders>
            <w:shd w:val="clear" w:color="auto" w:fill="auto"/>
            <w:noWrap/>
            <w:vAlign w:val="bottom"/>
            <w:hideMark/>
          </w:tcPr>
          <w:p w14:paraId="41B955E2"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w:t>
            </w:r>
          </w:p>
        </w:tc>
        <w:tc>
          <w:tcPr>
            <w:tcW w:w="5245" w:type="dxa"/>
            <w:tcBorders>
              <w:top w:val="nil"/>
              <w:left w:val="nil"/>
              <w:bottom w:val="nil"/>
              <w:right w:val="nil"/>
            </w:tcBorders>
            <w:shd w:val="clear" w:color="auto" w:fill="auto"/>
            <w:noWrap/>
            <w:vAlign w:val="bottom"/>
            <w:hideMark/>
          </w:tcPr>
          <w:p w14:paraId="7E209B8F"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Th2 Pathway</w:t>
            </w:r>
          </w:p>
        </w:tc>
        <w:tc>
          <w:tcPr>
            <w:tcW w:w="1559" w:type="dxa"/>
            <w:tcBorders>
              <w:top w:val="nil"/>
              <w:left w:val="nil"/>
              <w:bottom w:val="nil"/>
              <w:right w:val="nil"/>
            </w:tcBorders>
            <w:shd w:val="clear" w:color="auto" w:fill="auto"/>
            <w:noWrap/>
            <w:vAlign w:val="bottom"/>
            <w:hideMark/>
          </w:tcPr>
          <w:p w14:paraId="43FCC2B2"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35</w:t>
            </w:r>
          </w:p>
        </w:tc>
        <w:tc>
          <w:tcPr>
            <w:tcW w:w="1134" w:type="dxa"/>
            <w:tcBorders>
              <w:top w:val="nil"/>
              <w:left w:val="nil"/>
              <w:bottom w:val="nil"/>
              <w:right w:val="nil"/>
            </w:tcBorders>
            <w:shd w:val="clear" w:color="auto" w:fill="auto"/>
            <w:noWrap/>
            <w:vAlign w:val="bottom"/>
            <w:hideMark/>
          </w:tcPr>
          <w:p w14:paraId="52C60958"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4.041</w:t>
            </w:r>
          </w:p>
        </w:tc>
      </w:tr>
      <w:tr w:rsidR="00781D9E" w:rsidRPr="00F738CD" w14:paraId="6C277711" w14:textId="77777777" w:rsidTr="00D9676B">
        <w:trPr>
          <w:trHeight w:val="264"/>
        </w:trPr>
        <w:tc>
          <w:tcPr>
            <w:tcW w:w="567" w:type="dxa"/>
            <w:tcBorders>
              <w:top w:val="nil"/>
              <w:left w:val="nil"/>
              <w:bottom w:val="nil"/>
              <w:right w:val="nil"/>
            </w:tcBorders>
            <w:shd w:val="clear" w:color="auto" w:fill="auto"/>
            <w:noWrap/>
            <w:vAlign w:val="bottom"/>
            <w:hideMark/>
          </w:tcPr>
          <w:p w14:paraId="3B5DFE42"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5</w:t>
            </w:r>
          </w:p>
        </w:tc>
        <w:tc>
          <w:tcPr>
            <w:tcW w:w="5245" w:type="dxa"/>
            <w:tcBorders>
              <w:top w:val="nil"/>
              <w:left w:val="nil"/>
              <w:bottom w:val="nil"/>
              <w:right w:val="nil"/>
            </w:tcBorders>
            <w:shd w:val="clear" w:color="auto" w:fill="auto"/>
            <w:noWrap/>
            <w:vAlign w:val="bottom"/>
            <w:hideMark/>
          </w:tcPr>
          <w:p w14:paraId="1FEFFE0C"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Neuroinflammation Signaling Pathway</w:t>
            </w:r>
          </w:p>
        </w:tc>
        <w:tc>
          <w:tcPr>
            <w:tcW w:w="1559" w:type="dxa"/>
            <w:tcBorders>
              <w:top w:val="nil"/>
              <w:left w:val="nil"/>
              <w:bottom w:val="nil"/>
              <w:right w:val="nil"/>
            </w:tcBorders>
            <w:shd w:val="clear" w:color="auto" w:fill="auto"/>
            <w:noWrap/>
            <w:vAlign w:val="bottom"/>
            <w:hideMark/>
          </w:tcPr>
          <w:p w14:paraId="54F1E48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30.6</w:t>
            </w:r>
          </w:p>
        </w:tc>
        <w:tc>
          <w:tcPr>
            <w:tcW w:w="1134" w:type="dxa"/>
            <w:tcBorders>
              <w:top w:val="nil"/>
              <w:left w:val="nil"/>
              <w:bottom w:val="nil"/>
              <w:right w:val="nil"/>
            </w:tcBorders>
            <w:shd w:val="clear" w:color="auto" w:fill="auto"/>
            <w:noWrap/>
            <w:vAlign w:val="bottom"/>
            <w:hideMark/>
          </w:tcPr>
          <w:p w14:paraId="5ED9FF64"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4.95</w:t>
            </w:r>
          </w:p>
        </w:tc>
      </w:tr>
      <w:tr w:rsidR="00781D9E" w:rsidRPr="00F738CD" w14:paraId="5C8604D6" w14:textId="77777777" w:rsidTr="00D9676B">
        <w:trPr>
          <w:trHeight w:val="264"/>
        </w:trPr>
        <w:tc>
          <w:tcPr>
            <w:tcW w:w="567" w:type="dxa"/>
            <w:tcBorders>
              <w:top w:val="nil"/>
              <w:left w:val="nil"/>
              <w:bottom w:val="nil"/>
              <w:right w:val="nil"/>
            </w:tcBorders>
            <w:shd w:val="clear" w:color="auto" w:fill="auto"/>
            <w:noWrap/>
            <w:vAlign w:val="bottom"/>
            <w:hideMark/>
          </w:tcPr>
          <w:p w14:paraId="410FBBEA"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6</w:t>
            </w:r>
          </w:p>
        </w:tc>
        <w:tc>
          <w:tcPr>
            <w:tcW w:w="5245" w:type="dxa"/>
            <w:tcBorders>
              <w:top w:val="nil"/>
              <w:left w:val="nil"/>
              <w:bottom w:val="nil"/>
              <w:right w:val="nil"/>
            </w:tcBorders>
            <w:shd w:val="clear" w:color="auto" w:fill="auto"/>
            <w:noWrap/>
            <w:vAlign w:val="bottom"/>
            <w:hideMark/>
          </w:tcPr>
          <w:p w14:paraId="13A8D9DA"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PD-1, PD-L1 cancer immunotherapy pathway</w:t>
            </w:r>
          </w:p>
        </w:tc>
        <w:tc>
          <w:tcPr>
            <w:tcW w:w="1559" w:type="dxa"/>
            <w:tcBorders>
              <w:top w:val="nil"/>
              <w:left w:val="nil"/>
              <w:bottom w:val="nil"/>
              <w:right w:val="nil"/>
            </w:tcBorders>
            <w:shd w:val="clear" w:color="auto" w:fill="auto"/>
            <w:noWrap/>
            <w:vAlign w:val="bottom"/>
            <w:hideMark/>
          </w:tcPr>
          <w:p w14:paraId="4FBA2B81"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27.9</w:t>
            </w:r>
          </w:p>
        </w:tc>
        <w:tc>
          <w:tcPr>
            <w:tcW w:w="1134" w:type="dxa"/>
            <w:tcBorders>
              <w:top w:val="nil"/>
              <w:left w:val="nil"/>
              <w:bottom w:val="nil"/>
              <w:right w:val="nil"/>
            </w:tcBorders>
            <w:shd w:val="clear" w:color="auto" w:fill="auto"/>
            <w:noWrap/>
            <w:vAlign w:val="bottom"/>
            <w:hideMark/>
          </w:tcPr>
          <w:p w14:paraId="3423CD41"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-3.128</w:t>
            </w:r>
          </w:p>
        </w:tc>
      </w:tr>
      <w:tr w:rsidR="00781D9E" w:rsidRPr="00F738CD" w14:paraId="467BDDE6" w14:textId="77777777" w:rsidTr="00D9676B">
        <w:trPr>
          <w:trHeight w:val="264"/>
        </w:trPr>
        <w:tc>
          <w:tcPr>
            <w:tcW w:w="567" w:type="dxa"/>
            <w:tcBorders>
              <w:top w:val="nil"/>
              <w:left w:val="nil"/>
              <w:bottom w:val="nil"/>
              <w:right w:val="nil"/>
            </w:tcBorders>
            <w:shd w:val="clear" w:color="auto" w:fill="auto"/>
            <w:noWrap/>
            <w:vAlign w:val="bottom"/>
            <w:hideMark/>
          </w:tcPr>
          <w:p w14:paraId="1C7477DC"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7</w:t>
            </w:r>
          </w:p>
        </w:tc>
        <w:tc>
          <w:tcPr>
            <w:tcW w:w="5245" w:type="dxa"/>
            <w:tcBorders>
              <w:top w:val="nil"/>
              <w:left w:val="nil"/>
              <w:bottom w:val="nil"/>
              <w:right w:val="nil"/>
            </w:tcBorders>
            <w:shd w:val="clear" w:color="auto" w:fill="auto"/>
            <w:noWrap/>
            <w:vAlign w:val="bottom"/>
            <w:hideMark/>
          </w:tcPr>
          <w:p w14:paraId="3B26FEE6"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Granulocyte Adhesion and Diapedesis</w:t>
            </w:r>
          </w:p>
        </w:tc>
        <w:tc>
          <w:tcPr>
            <w:tcW w:w="1559" w:type="dxa"/>
            <w:tcBorders>
              <w:top w:val="nil"/>
              <w:left w:val="nil"/>
              <w:bottom w:val="nil"/>
              <w:right w:val="nil"/>
            </w:tcBorders>
            <w:shd w:val="clear" w:color="auto" w:fill="auto"/>
            <w:noWrap/>
            <w:vAlign w:val="bottom"/>
            <w:hideMark/>
          </w:tcPr>
          <w:p w14:paraId="620D9E6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24.7</w:t>
            </w:r>
          </w:p>
        </w:tc>
        <w:tc>
          <w:tcPr>
            <w:tcW w:w="1134" w:type="dxa"/>
            <w:tcBorders>
              <w:top w:val="nil"/>
              <w:left w:val="nil"/>
              <w:bottom w:val="nil"/>
              <w:right w:val="nil"/>
            </w:tcBorders>
            <w:shd w:val="clear" w:color="auto" w:fill="auto"/>
            <w:noWrap/>
            <w:vAlign w:val="bottom"/>
            <w:hideMark/>
          </w:tcPr>
          <w:p w14:paraId="3F840335"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ND</w:t>
            </w:r>
          </w:p>
        </w:tc>
      </w:tr>
      <w:tr w:rsidR="00781D9E" w:rsidRPr="00F738CD" w14:paraId="06074277" w14:textId="77777777" w:rsidTr="00D9676B">
        <w:trPr>
          <w:trHeight w:val="264"/>
        </w:trPr>
        <w:tc>
          <w:tcPr>
            <w:tcW w:w="567" w:type="dxa"/>
            <w:tcBorders>
              <w:top w:val="nil"/>
              <w:left w:val="nil"/>
              <w:bottom w:val="nil"/>
              <w:right w:val="nil"/>
            </w:tcBorders>
            <w:shd w:val="clear" w:color="auto" w:fill="auto"/>
            <w:noWrap/>
            <w:vAlign w:val="bottom"/>
            <w:hideMark/>
          </w:tcPr>
          <w:p w14:paraId="18FC8BA3"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8</w:t>
            </w:r>
          </w:p>
        </w:tc>
        <w:tc>
          <w:tcPr>
            <w:tcW w:w="5245" w:type="dxa"/>
            <w:tcBorders>
              <w:top w:val="nil"/>
              <w:left w:val="nil"/>
              <w:bottom w:val="nil"/>
              <w:right w:val="nil"/>
            </w:tcBorders>
            <w:shd w:val="clear" w:color="auto" w:fill="auto"/>
            <w:noWrap/>
            <w:vAlign w:val="bottom"/>
            <w:hideMark/>
          </w:tcPr>
          <w:p w14:paraId="2B859FD8"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IL-27 Signaling Pathway</w:t>
            </w:r>
          </w:p>
        </w:tc>
        <w:tc>
          <w:tcPr>
            <w:tcW w:w="1559" w:type="dxa"/>
            <w:tcBorders>
              <w:top w:val="nil"/>
              <w:left w:val="nil"/>
              <w:bottom w:val="nil"/>
              <w:right w:val="nil"/>
            </w:tcBorders>
            <w:shd w:val="clear" w:color="auto" w:fill="auto"/>
            <w:noWrap/>
            <w:vAlign w:val="bottom"/>
            <w:hideMark/>
          </w:tcPr>
          <w:p w14:paraId="4051DAB7"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22.8</w:t>
            </w:r>
          </w:p>
        </w:tc>
        <w:tc>
          <w:tcPr>
            <w:tcW w:w="1134" w:type="dxa"/>
            <w:tcBorders>
              <w:top w:val="nil"/>
              <w:left w:val="nil"/>
              <w:bottom w:val="nil"/>
              <w:right w:val="nil"/>
            </w:tcBorders>
            <w:shd w:val="clear" w:color="auto" w:fill="auto"/>
            <w:noWrap/>
            <w:vAlign w:val="bottom"/>
            <w:hideMark/>
          </w:tcPr>
          <w:p w14:paraId="1F406FA1"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2.837</w:t>
            </w:r>
          </w:p>
        </w:tc>
      </w:tr>
      <w:tr w:rsidR="00781D9E" w:rsidRPr="00F738CD" w14:paraId="3014567D" w14:textId="77777777" w:rsidTr="00D9676B">
        <w:trPr>
          <w:trHeight w:val="264"/>
        </w:trPr>
        <w:tc>
          <w:tcPr>
            <w:tcW w:w="567" w:type="dxa"/>
            <w:tcBorders>
              <w:top w:val="nil"/>
              <w:left w:val="nil"/>
              <w:right w:val="nil"/>
            </w:tcBorders>
            <w:shd w:val="clear" w:color="auto" w:fill="auto"/>
            <w:noWrap/>
            <w:vAlign w:val="bottom"/>
            <w:hideMark/>
          </w:tcPr>
          <w:p w14:paraId="5F8D93F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9</w:t>
            </w:r>
          </w:p>
        </w:tc>
        <w:tc>
          <w:tcPr>
            <w:tcW w:w="5245" w:type="dxa"/>
            <w:tcBorders>
              <w:top w:val="nil"/>
              <w:left w:val="nil"/>
              <w:right w:val="nil"/>
            </w:tcBorders>
            <w:shd w:val="clear" w:color="auto" w:fill="auto"/>
            <w:noWrap/>
            <w:vAlign w:val="bottom"/>
            <w:hideMark/>
          </w:tcPr>
          <w:p w14:paraId="55714DAE"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Crosstalk between Dendritic Cells and Natural Killer Cells</w:t>
            </w:r>
          </w:p>
        </w:tc>
        <w:tc>
          <w:tcPr>
            <w:tcW w:w="1559" w:type="dxa"/>
            <w:tcBorders>
              <w:top w:val="nil"/>
              <w:left w:val="nil"/>
              <w:right w:val="nil"/>
            </w:tcBorders>
            <w:shd w:val="clear" w:color="auto" w:fill="auto"/>
            <w:noWrap/>
            <w:vAlign w:val="bottom"/>
            <w:hideMark/>
          </w:tcPr>
          <w:p w14:paraId="76BDF0D6"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22.8</w:t>
            </w:r>
          </w:p>
        </w:tc>
        <w:tc>
          <w:tcPr>
            <w:tcW w:w="1134" w:type="dxa"/>
            <w:tcBorders>
              <w:top w:val="nil"/>
              <w:left w:val="nil"/>
              <w:right w:val="nil"/>
            </w:tcBorders>
            <w:shd w:val="clear" w:color="auto" w:fill="auto"/>
            <w:noWrap/>
            <w:vAlign w:val="bottom"/>
            <w:hideMark/>
          </w:tcPr>
          <w:p w14:paraId="6FCD3FC5"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4.243</w:t>
            </w:r>
          </w:p>
        </w:tc>
      </w:tr>
      <w:tr w:rsidR="00781D9E" w:rsidRPr="00F738CD" w14:paraId="1D40B195" w14:textId="77777777" w:rsidTr="00D9676B">
        <w:trPr>
          <w:trHeight w:val="264"/>
        </w:trPr>
        <w:tc>
          <w:tcPr>
            <w:tcW w:w="567" w:type="dxa"/>
            <w:tcBorders>
              <w:top w:val="nil"/>
              <w:left w:val="nil"/>
              <w:bottom w:val="single" w:sz="4" w:space="0" w:color="auto"/>
              <w:right w:val="nil"/>
            </w:tcBorders>
            <w:shd w:val="clear" w:color="auto" w:fill="auto"/>
            <w:noWrap/>
            <w:vAlign w:val="bottom"/>
            <w:hideMark/>
          </w:tcPr>
          <w:p w14:paraId="1746BED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10</w:t>
            </w:r>
          </w:p>
        </w:tc>
        <w:tc>
          <w:tcPr>
            <w:tcW w:w="5245" w:type="dxa"/>
            <w:tcBorders>
              <w:top w:val="nil"/>
              <w:left w:val="nil"/>
              <w:bottom w:val="single" w:sz="4" w:space="0" w:color="auto"/>
              <w:right w:val="nil"/>
            </w:tcBorders>
            <w:shd w:val="clear" w:color="auto" w:fill="auto"/>
            <w:noWrap/>
            <w:vAlign w:val="bottom"/>
            <w:hideMark/>
          </w:tcPr>
          <w:p w14:paraId="1015331A"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Macrophage Alternative Activation Signaling Pathway</w:t>
            </w:r>
          </w:p>
        </w:tc>
        <w:tc>
          <w:tcPr>
            <w:tcW w:w="1559" w:type="dxa"/>
            <w:tcBorders>
              <w:top w:val="nil"/>
              <w:left w:val="nil"/>
              <w:bottom w:val="single" w:sz="4" w:space="0" w:color="auto"/>
              <w:right w:val="nil"/>
            </w:tcBorders>
            <w:shd w:val="clear" w:color="auto" w:fill="auto"/>
            <w:noWrap/>
            <w:vAlign w:val="bottom"/>
            <w:hideMark/>
          </w:tcPr>
          <w:p w14:paraId="185627D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21.8</w:t>
            </w:r>
          </w:p>
        </w:tc>
        <w:tc>
          <w:tcPr>
            <w:tcW w:w="1134" w:type="dxa"/>
            <w:tcBorders>
              <w:top w:val="nil"/>
              <w:left w:val="nil"/>
              <w:bottom w:val="single" w:sz="4" w:space="0" w:color="auto"/>
              <w:right w:val="nil"/>
            </w:tcBorders>
            <w:shd w:val="clear" w:color="auto" w:fill="auto"/>
            <w:noWrap/>
            <w:vAlign w:val="bottom"/>
            <w:hideMark/>
          </w:tcPr>
          <w:p w14:paraId="3C4424B3"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2.711</w:t>
            </w:r>
          </w:p>
        </w:tc>
      </w:tr>
    </w:tbl>
    <w:p w14:paraId="77957F7B" w14:textId="4D8F7EAD" w:rsidR="00781D9E" w:rsidRPr="00F738CD" w:rsidRDefault="00781D9E" w:rsidP="00781D9E">
      <w:pPr>
        <w:pStyle w:val="Paragraph"/>
        <w:spacing w:line="480" w:lineRule="auto"/>
        <w:jc w:val="both"/>
        <w:rPr>
          <w:sz w:val="18"/>
        </w:rPr>
      </w:pPr>
      <w:r w:rsidRPr="00F738CD">
        <w:rPr>
          <w:sz w:val="18"/>
        </w:rPr>
        <w:t xml:space="preserve">A positive z-score suggests that the pathway was upregulated and a negative one suggests that the pathway was downregulated. ND indicates </w:t>
      </w:r>
      <w:r w:rsidR="00CC7B71" w:rsidRPr="00F738CD">
        <w:rPr>
          <w:sz w:val="18"/>
        </w:rPr>
        <w:t xml:space="preserve">that the </w:t>
      </w:r>
      <w:r w:rsidRPr="00F738CD">
        <w:rPr>
          <w:sz w:val="18"/>
        </w:rPr>
        <w:t xml:space="preserve">direction of the pathway regulation </w:t>
      </w:r>
      <w:r w:rsidR="00CC7B71" w:rsidRPr="00F738CD">
        <w:rPr>
          <w:sz w:val="18"/>
        </w:rPr>
        <w:t>could not</w:t>
      </w:r>
      <w:r w:rsidRPr="00F738CD">
        <w:rPr>
          <w:sz w:val="18"/>
        </w:rPr>
        <w:t xml:space="preserve"> be determined.</w:t>
      </w:r>
    </w:p>
    <w:p w14:paraId="0F7F6CFB" w14:textId="77777777" w:rsidR="00716100" w:rsidRPr="00F738CD" w:rsidRDefault="00C6278F" w:rsidP="00781D9E">
      <w:pPr>
        <w:widowControl/>
        <w:spacing w:line="480" w:lineRule="auto"/>
        <w:rPr>
          <w:rFonts w:ascii="Times New Roman" w:eastAsia="ＭＳ 明朝" w:hAnsi="Times New Roman" w:cs="Times New Roman"/>
          <w:kern w:val="0"/>
          <w:sz w:val="18"/>
          <w:szCs w:val="24"/>
        </w:rPr>
      </w:pPr>
      <w:r w:rsidRPr="00F738CD">
        <w:rPr>
          <w:rFonts w:ascii="Times New Roman" w:eastAsia="ＭＳ 明朝" w:hAnsi="Times New Roman" w:cs="Times New Roman"/>
          <w:kern w:val="0"/>
          <w:sz w:val="18"/>
          <w:szCs w:val="24"/>
        </w:rPr>
        <w:t>DEG, differentially expressed gene</w:t>
      </w:r>
      <w:r w:rsidR="00EB74EB" w:rsidRPr="00F738CD">
        <w:rPr>
          <w:rFonts w:ascii="Times New Roman" w:eastAsia="ＭＳ 明朝" w:hAnsi="Times New Roman" w:cs="Times New Roman"/>
          <w:kern w:val="0"/>
          <w:sz w:val="18"/>
          <w:szCs w:val="24"/>
        </w:rPr>
        <w:t xml:space="preserve">; </w:t>
      </w:r>
      <w:r w:rsidRPr="00F738CD">
        <w:rPr>
          <w:rFonts w:ascii="Times New Roman" w:eastAsia="ＭＳ 明朝" w:hAnsi="Times New Roman" w:cs="Times New Roman"/>
          <w:kern w:val="0"/>
          <w:sz w:val="18"/>
          <w:szCs w:val="24"/>
        </w:rPr>
        <w:t>IL, interleukin; IPA, Ingenuity Pathway Analysis; ND, not determined</w:t>
      </w:r>
      <w:r w:rsidR="00101DF0" w:rsidRPr="00F738CD">
        <w:rPr>
          <w:rFonts w:ascii="Times New Roman" w:eastAsia="ＭＳ 明朝" w:hAnsi="Times New Roman" w:cs="Times New Roman"/>
          <w:kern w:val="0"/>
          <w:sz w:val="18"/>
          <w:szCs w:val="24"/>
        </w:rPr>
        <w:t xml:space="preserve">; PD-1, programmed </w:t>
      </w:r>
      <w:r w:rsidR="00D02D31" w:rsidRPr="00F738CD">
        <w:rPr>
          <w:rFonts w:ascii="Times New Roman" w:eastAsia="ＭＳ 明朝" w:hAnsi="Times New Roman" w:cs="Times New Roman"/>
          <w:kern w:val="0"/>
          <w:sz w:val="18"/>
          <w:szCs w:val="24"/>
        </w:rPr>
        <w:t xml:space="preserve">cell </w:t>
      </w:r>
      <w:r w:rsidR="00101DF0" w:rsidRPr="00F738CD">
        <w:rPr>
          <w:rFonts w:ascii="Times New Roman" w:eastAsia="ＭＳ 明朝" w:hAnsi="Times New Roman" w:cs="Times New Roman"/>
          <w:kern w:val="0"/>
          <w:sz w:val="18"/>
          <w:szCs w:val="24"/>
        </w:rPr>
        <w:t>death</w:t>
      </w:r>
      <w:r w:rsidR="00D02D31" w:rsidRPr="00F738CD">
        <w:rPr>
          <w:rFonts w:ascii="Times New Roman" w:eastAsia="ＭＳ 明朝" w:hAnsi="Times New Roman" w:cs="Times New Roman"/>
          <w:kern w:val="0"/>
          <w:sz w:val="18"/>
          <w:szCs w:val="24"/>
        </w:rPr>
        <w:t xml:space="preserve"> protein </w:t>
      </w:r>
      <w:r w:rsidR="00101DF0" w:rsidRPr="00F738CD">
        <w:rPr>
          <w:rFonts w:ascii="Times New Roman" w:eastAsia="ＭＳ 明朝" w:hAnsi="Times New Roman" w:cs="Times New Roman"/>
          <w:kern w:val="0"/>
          <w:sz w:val="18"/>
          <w:szCs w:val="24"/>
        </w:rPr>
        <w:t>1; PD-L1, programmed death</w:t>
      </w:r>
      <w:r w:rsidR="00D02D31" w:rsidRPr="00F738CD">
        <w:rPr>
          <w:rFonts w:ascii="Times New Roman" w:eastAsia="ＭＳ 明朝" w:hAnsi="Times New Roman" w:cs="Times New Roman"/>
          <w:kern w:val="0"/>
          <w:sz w:val="18"/>
          <w:szCs w:val="24"/>
        </w:rPr>
        <w:t>-</w:t>
      </w:r>
      <w:r w:rsidR="00101DF0" w:rsidRPr="00F738CD">
        <w:rPr>
          <w:rFonts w:ascii="Times New Roman" w:eastAsia="ＭＳ 明朝" w:hAnsi="Times New Roman" w:cs="Times New Roman"/>
          <w:kern w:val="0"/>
          <w:sz w:val="18"/>
          <w:szCs w:val="24"/>
        </w:rPr>
        <w:t>li</w:t>
      </w:r>
      <w:r w:rsidR="00D578B3" w:rsidRPr="00F738CD">
        <w:rPr>
          <w:rFonts w:ascii="Times New Roman" w:eastAsia="ＭＳ 明朝" w:hAnsi="Times New Roman" w:cs="Times New Roman"/>
          <w:kern w:val="0"/>
          <w:sz w:val="18"/>
          <w:szCs w:val="24"/>
        </w:rPr>
        <w:t>gan</w:t>
      </w:r>
      <w:r w:rsidR="00101DF0" w:rsidRPr="00F738CD">
        <w:rPr>
          <w:rFonts w:ascii="Times New Roman" w:eastAsia="ＭＳ 明朝" w:hAnsi="Times New Roman" w:cs="Times New Roman"/>
          <w:kern w:val="0"/>
          <w:sz w:val="18"/>
          <w:szCs w:val="24"/>
        </w:rPr>
        <w:t>d</w:t>
      </w:r>
      <w:r w:rsidR="00D02D31" w:rsidRPr="00F738CD">
        <w:rPr>
          <w:rFonts w:ascii="Times New Roman" w:eastAsia="ＭＳ 明朝" w:hAnsi="Times New Roman" w:cs="Times New Roman"/>
          <w:kern w:val="0"/>
          <w:sz w:val="18"/>
          <w:szCs w:val="24"/>
        </w:rPr>
        <w:t xml:space="preserve"> </w:t>
      </w:r>
      <w:r w:rsidR="00101DF0" w:rsidRPr="00F738CD">
        <w:rPr>
          <w:rFonts w:ascii="Times New Roman" w:eastAsia="ＭＳ 明朝" w:hAnsi="Times New Roman" w:cs="Times New Roman"/>
          <w:kern w:val="0"/>
          <w:sz w:val="18"/>
          <w:szCs w:val="24"/>
        </w:rPr>
        <w:t>1</w:t>
      </w:r>
      <w:r w:rsidR="00861937" w:rsidRPr="00F738CD">
        <w:rPr>
          <w:rFonts w:ascii="Times New Roman" w:eastAsia="ＭＳ 明朝" w:hAnsi="Times New Roman" w:cs="Times New Roman"/>
          <w:kern w:val="0"/>
          <w:sz w:val="18"/>
          <w:szCs w:val="24"/>
        </w:rPr>
        <w:t>; Th, T-helper cell.</w:t>
      </w:r>
    </w:p>
    <w:p w14:paraId="3D488692" w14:textId="75F9E97E" w:rsidR="00781D9E" w:rsidRPr="004250FA" w:rsidRDefault="00781D9E" w:rsidP="00781D9E">
      <w:pPr>
        <w:widowControl/>
        <w:spacing w:line="480" w:lineRule="auto"/>
        <w:rPr>
          <w:rFonts w:ascii="Arial" w:hAnsi="Arial" w:cs="Arial"/>
          <w:b/>
          <w:bCs/>
          <w:sz w:val="24"/>
          <w:szCs w:val="24"/>
        </w:rPr>
      </w:pPr>
      <w:r w:rsidRPr="004250FA">
        <w:rPr>
          <w:rFonts w:ascii="Arial" w:hAnsi="Arial" w:cs="Arial"/>
          <w:b/>
          <w:bCs/>
          <w:sz w:val="24"/>
          <w:szCs w:val="24"/>
        </w:rPr>
        <w:br w:type="page"/>
      </w:r>
    </w:p>
    <w:p w14:paraId="225F76AB" w14:textId="236A1C6F" w:rsidR="00781D9E" w:rsidRPr="00F738CD" w:rsidRDefault="00781D9E" w:rsidP="00781D9E">
      <w:pPr>
        <w:widowControl/>
        <w:spacing w:line="480" w:lineRule="auto"/>
        <w:rPr>
          <w:rFonts w:ascii="Times New Roman" w:hAnsi="Times New Roman" w:cs="Times New Roman"/>
          <w:b/>
          <w:bCs/>
          <w:sz w:val="24"/>
          <w:szCs w:val="24"/>
        </w:rPr>
      </w:pPr>
      <w:r w:rsidRPr="00F738CD">
        <w:rPr>
          <w:rFonts w:ascii="Times New Roman" w:hAnsi="Times New Roman" w:cs="Times New Roman"/>
          <w:b/>
          <w:bCs/>
          <w:sz w:val="24"/>
          <w:szCs w:val="24"/>
        </w:rPr>
        <w:lastRenderedPageBreak/>
        <w:t xml:space="preserve">Table </w:t>
      </w:r>
      <w:r w:rsidR="00F85810" w:rsidRPr="00F738CD">
        <w:rPr>
          <w:rFonts w:ascii="Times New Roman" w:hAnsi="Times New Roman" w:cs="Times New Roman"/>
          <w:b/>
          <w:bCs/>
          <w:sz w:val="24"/>
          <w:szCs w:val="24"/>
        </w:rPr>
        <w:t>S3</w:t>
      </w:r>
      <w:r w:rsidRPr="00F738CD">
        <w:rPr>
          <w:rFonts w:ascii="Times New Roman" w:hAnsi="Times New Roman" w:cs="Times New Roman"/>
          <w:b/>
          <w:bCs/>
          <w:sz w:val="24"/>
          <w:szCs w:val="24"/>
        </w:rPr>
        <w:t xml:space="preserve">. Top 10 IPA results using DEGs between </w:t>
      </w:r>
      <w:r w:rsidR="004B445B" w:rsidRPr="00F738CD">
        <w:rPr>
          <w:rFonts w:ascii="Times New Roman" w:hAnsi="Times New Roman" w:cs="Times New Roman"/>
          <w:b/>
          <w:bCs/>
          <w:sz w:val="24"/>
          <w:szCs w:val="24"/>
        </w:rPr>
        <w:t xml:space="preserve">the </w:t>
      </w:r>
      <w:r w:rsidRPr="00F738CD">
        <w:rPr>
          <w:rFonts w:ascii="Times New Roman" w:hAnsi="Times New Roman" w:cs="Times New Roman"/>
          <w:b/>
          <w:bCs/>
          <w:sz w:val="24"/>
          <w:szCs w:val="24"/>
        </w:rPr>
        <w:t>combination and control groups</w:t>
      </w:r>
      <w:r w:rsidR="0017145E" w:rsidRPr="00F738CD">
        <w:rPr>
          <w:rFonts w:ascii="Times New Roman" w:hAnsi="Times New Roman" w:cs="Times New Roman"/>
          <w:b/>
          <w:bCs/>
          <w:sz w:val="24"/>
          <w:szCs w:val="24"/>
        </w:rPr>
        <w:t>.</w:t>
      </w:r>
    </w:p>
    <w:p w14:paraId="4358399D" w14:textId="77777777" w:rsidR="00781D9E" w:rsidRPr="004250FA" w:rsidRDefault="00781D9E" w:rsidP="00781D9E">
      <w:pPr>
        <w:spacing w:line="480" w:lineRule="auto"/>
        <w:rPr>
          <w:rFonts w:ascii="Arial" w:hAnsi="Arial" w:cs="Arial"/>
        </w:rPr>
      </w:pPr>
    </w:p>
    <w:tbl>
      <w:tblPr>
        <w:tblW w:w="8505" w:type="dxa"/>
        <w:tblCellMar>
          <w:left w:w="99" w:type="dxa"/>
          <w:right w:w="99" w:type="dxa"/>
        </w:tblCellMar>
        <w:tblLook w:val="04A0" w:firstRow="1" w:lastRow="0" w:firstColumn="1" w:lastColumn="0" w:noHBand="0" w:noVBand="1"/>
      </w:tblPr>
      <w:tblGrid>
        <w:gridCol w:w="567"/>
        <w:gridCol w:w="5245"/>
        <w:gridCol w:w="1559"/>
        <w:gridCol w:w="1134"/>
      </w:tblGrid>
      <w:tr w:rsidR="00781D9E" w:rsidRPr="00F738CD" w14:paraId="4C2A32CA" w14:textId="77777777" w:rsidTr="00D9676B">
        <w:trPr>
          <w:trHeight w:val="264"/>
        </w:trPr>
        <w:tc>
          <w:tcPr>
            <w:tcW w:w="567" w:type="dxa"/>
            <w:tcBorders>
              <w:top w:val="nil"/>
              <w:left w:val="nil"/>
              <w:bottom w:val="single" w:sz="4" w:space="0" w:color="auto"/>
              <w:right w:val="nil"/>
            </w:tcBorders>
            <w:shd w:val="clear" w:color="auto" w:fill="auto"/>
            <w:noWrap/>
            <w:vAlign w:val="bottom"/>
            <w:hideMark/>
          </w:tcPr>
          <w:p w14:paraId="2AA71E6B" w14:textId="77777777"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No.</w:t>
            </w:r>
          </w:p>
        </w:tc>
        <w:tc>
          <w:tcPr>
            <w:tcW w:w="5245" w:type="dxa"/>
            <w:tcBorders>
              <w:top w:val="nil"/>
              <w:left w:val="nil"/>
              <w:bottom w:val="single" w:sz="4" w:space="0" w:color="auto"/>
              <w:right w:val="nil"/>
            </w:tcBorders>
            <w:shd w:val="clear" w:color="auto" w:fill="auto"/>
            <w:noWrap/>
            <w:vAlign w:val="bottom"/>
            <w:hideMark/>
          </w:tcPr>
          <w:p w14:paraId="6846B54D" w14:textId="063D59A8" w:rsidR="00781D9E" w:rsidRPr="00F738CD" w:rsidRDefault="00781D9E" w:rsidP="00D9676B">
            <w:pPr>
              <w:widowControl/>
              <w:spacing w:line="480" w:lineRule="auto"/>
              <w:jc w:val="left"/>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 xml:space="preserve">Ingenuity </w:t>
            </w:r>
            <w:r w:rsidR="00702C39" w:rsidRPr="00F738CD">
              <w:rPr>
                <w:rFonts w:ascii="Times New Roman" w:eastAsia="ＭＳ Ｐゴシック" w:hAnsi="Times New Roman" w:cs="Times New Roman"/>
                <w:b/>
                <w:bCs/>
                <w:kern w:val="0"/>
                <w:sz w:val="20"/>
                <w:szCs w:val="20"/>
                <w:lang w:bidi="th-TH"/>
              </w:rPr>
              <w:t>c</w:t>
            </w:r>
            <w:r w:rsidRPr="00F738CD">
              <w:rPr>
                <w:rFonts w:ascii="Times New Roman" w:eastAsia="ＭＳ Ｐゴシック" w:hAnsi="Times New Roman" w:cs="Times New Roman"/>
                <w:b/>
                <w:bCs/>
                <w:kern w:val="0"/>
                <w:sz w:val="20"/>
                <w:szCs w:val="20"/>
                <w:lang w:bidi="th-TH"/>
              </w:rPr>
              <w:t xml:space="preserve">anonical </w:t>
            </w:r>
            <w:r w:rsidR="00702C39" w:rsidRPr="00F738CD">
              <w:rPr>
                <w:rFonts w:ascii="Times New Roman" w:eastAsia="ＭＳ Ｐゴシック" w:hAnsi="Times New Roman" w:cs="Times New Roman"/>
                <w:b/>
                <w:bCs/>
                <w:kern w:val="0"/>
                <w:sz w:val="20"/>
                <w:szCs w:val="20"/>
                <w:lang w:bidi="th-TH"/>
              </w:rPr>
              <w:t>p</w:t>
            </w:r>
            <w:r w:rsidRPr="00F738CD">
              <w:rPr>
                <w:rFonts w:ascii="Times New Roman" w:eastAsia="ＭＳ Ｐゴシック" w:hAnsi="Times New Roman" w:cs="Times New Roman"/>
                <w:b/>
                <w:bCs/>
                <w:kern w:val="0"/>
                <w:sz w:val="20"/>
                <w:szCs w:val="20"/>
                <w:lang w:bidi="th-TH"/>
              </w:rPr>
              <w:t>athways</w:t>
            </w:r>
          </w:p>
        </w:tc>
        <w:tc>
          <w:tcPr>
            <w:tcW w:w="1559" w:type="dxa"/>
            <w:tcBorders>
              <w:top w:val="nil"/>
              <w:left w:val="nil"/>
              <w:bottom w:val="single" w:sz="4" w:space="0" w:color="auto"/>
              <w:right w:val="nil"/>
            </w:tcBorders>
            <w:shd w:val="clear" w:color="auto" w:fill="auto"/>
            <w:noWrap/>
            <w:vAlign w:val="bottom"/>
            <w:hideMark/>
          </w:tcPr>
          <w:p w14:paraId="7BA64148" w14:textId="30DBF8C6"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-log(</w:t>
            </w:r>
            <w:r w:rsidR="00702C39" w:rsidRPr="00F738CD">
              <w:rPr>
                <w:rFonts w:ascii="Times New Roman" w:eastAsia="ＭＳ Ｐゴシック" w:hAnsi="Times New Roman" w:cs="Times New Roman"/>
                <w:b/>
                <w:bCs/>
                <w:i/>
                <w:iCs/>
                <w:kern w:val="0"/>
                <w:sz w:val="20"/>
                <w:szCs w:val="20"/>
                <w:lang w:bidi="th-TH"/>
              </w:rPr>
              <w:t>P</w:t>
            </w:r>
            <w:r w:rsidRPr="00F738CD">
              <w:rPr>
                <w:rFonts w:ascii="Times New Roman" w:eastAsia="ＭＳ Ｐゴシック" w:hAnsi="Times New Roman" w:cs="Times New Roman"/>
                <w:b/>
                <w:bCs/>
                <w:kern w:val="0"/>
                <w:sz w:val="20"/>
                <w:szCs w:val="20"/>
                <w:lang w:bidi="th-TH"/>
              </w:rPr>
              <w:t>-value)</w:t>
            </w:r>
          </w:p>
        </w:tc>
        <w:tc>
          <w:tcPr>
            <w:tcW w:w="1134" w:type="dxa"/>
            <w:tcBorders>
              <w:top w:val="nil"/>
              <w:left w:val="nil"/>
              <w:bottom w:val="single" w:sz="4" w:space="0" w:color="auto"/>
              <w:right w:val="nil"/>
            </w:tcBorders>
            <w:shd w:val="clear" w:color="auto" w:fill="auto"/>
            <w:noWrap/>
            <w:vAlign w:val="bottom"/>
            <w:hideMark/>
          </w:tcPr>
          <w:p w14:paraId="34236017" w14:textId="77777777"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z-score</w:t>
            </w:r>
          </w:p>
        </w:tc>
      </w:tr>
      <w:tr w:rsidR="00781D9E" w:rsidRPr="00F738CD" w14:paraId="77FE970F" w14:textId="77777777" w:rsidTr="00D9676B">
        <w:trPr>
          <w:trHeight w:val="264"/>
        </w:trPr>
        <w:tc>
          <w:tcPr>
            <w:tcW w:w="567" w:type="dxa"/>
            <w:tcBorders>
              <w:top w:val="single" w:sz="4" w:space="0" w:color="auto"/>
              <w:left w:val="nil"/>
              <w:bottom w:val="nil"/>
              <w:right w:val="nil"/>
            </w:tcBorders>
            <w:shd w:val="clear" w:color="auto" w:fill="auto"/>
            <w:noWrap/>
            <w:vAlign w:val="bottom"/>
            <w:hideMark/>
          </w:tcPr>
          <w:p w14:paraId="09EB4075"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w:t>
            </w:r>
          </w:p>
        </w:tc>
        <w:tc>
          <w:tcPr>
            <w:tcW w:w="5245" w:type="dxa"/>
            <w:tcBorders>
              <w:top w:val="single" w:sz="4" w:space="0" w:color="auto"/>
              <w:left w:val="nil"/>
              <w:bottom w:val="nil"/>
              <w:right w:val="nil"/>
            </w:tcBorders>
            <w:shd w:val="clear" w:color="auto" w:fill="auto"/>
            <w:noWrap/>
            <w:vAlign w:val="bottom"/>
            <w:hideMark/>
          </w:tcPr>
          <w:p w14:paraId="21149083"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Pathogen Induced Cytokine Storm Signaling Pathway</w:t>
            </w:r>
          </w:p>
        </w:tc>
        <w:tc>
          <w:tcPr>
            <w:tcW w:w="1559" w:type="dxa"/>
            <w:tcBorders>
              <w:top w:val="single" w:sz="4" w:space="0" w:color="auto"/>
              <w:left w:val="nil"/>
              <w:bottom w:val="nil"/>
              <w:right w:val="nil"/>
            </w:tcBorders>
            <w:shd w:val="clear" w:color="auto" w:fill="auto"/>
            <w:noWrap/>
            <w:vAlign w:val="bottom"/>
            <w:hideMark/>
          </w:tcPr>
          <w:p w14:paraId="2CF8BA6C"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54.4</w:t>
            </w:r>
          </w:p>
        </w:tc>
        <w:tc>
          <w:tcPr>
            <w:tcW w:w="1134" w:type="dxa"/>
            <w:tcBorders>
              <w:top w:val="single" w:sz="4" w:space="0" w:color="auto"/>
              <w:left w:val="nil"/>
              <w:bottom w:val="nil"/>
              <w:right w:val="nil"/>
            </w:tcBorders>
            <w:shd w:val="clear" w:color="auto" w:fill="auto"/>
            <w:noWrap/>
            <w:vAlign w:val="bottom"/>
            <w:hideMark/>
          </w:tcPr>
          <w:p w14:paraId="5D1489FD"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7.421</w:t>
            </w:r>
          </w:p>
        </w:tc>
      </w:tr>
      <w:tr w:rsidR="00781D9E" w:rsidRPr="00F738CD" w14:paraId="08CC33FB" w14:textId="77777777" w:rsidTr="00D9676B">
        <w:trPr>
          <w:trHeight w:val="264"/>
        </w:trPr>
        <w:tc>
          <w:tcPr>
            <w:tcW w:w="567" w:type="dxa"/>
            <w:tcBorders>
              <w:top w:val="nil"/>
              <w:left w:val="nil"/>
              <w:bottom w:val="nil"/>
              <w:right w:val="nil"/>
            </w:tcBorders>
            <w:shd w:val="clear" w:color="auto" w:fill="auto"/>
            <w:noWrap/>
            <w:vAlign w:val="bottom"/>
            <w:hideMark/>
          </w:tcPr>
          <w:p w14:paraId="7CF606B8"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w:t>
            </w:r>
          </w:p>
        </w:tc>
        <w:tc>
          <w:tcPr>
            <w:tcW w:w="5245" w:type="dxa"/>
            <w:tcBorders>
              <w:top w:val="nil"/>
              <w:left w:val="nil"/>
              <w:bottom w:val="nil"/>
              <w:right w:val="nil"/>
            </w:tcBorders>
            <w:shd w:val="clear" w:color="auto" w:fill="auto"/>
            <w:noWrap/>
            <w:vAlign w:val="bottom"/>
            <w:hideMark/>
          </w:tcPr>
          <w:p w14:paraId="056CACD2"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Th1 and Th2 Activation Pathway</w:t>
            </w:r>
          </w:p>
        </w:tc>
        <w:tc>
          <w:tcPr>
            <w:tcW w:w="1559" w:type="dxa"/>
            <w:tcBorders>
              <w:top w:val="nil"/>
              <w:left w:val="nil"/>
              <w:bottom w:val="nil"/>
              <w:right w:val="nil"/>
            </w:tcBorders>
            <w:shd w:val="clear" w:color="auto" w:fill="auto"/>
            <w:noWrap/>
            <w:vAlign w:val="bottom"/>
            <w:hideMark/>
          </w:tcPr>
          <w:p w14:paraId="352E9E06"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53.3</w:t>
            </w:r>
          </w:p>
        </w:tc>
        <w:tc>
          <w:tcPr>
            <w:tcW w:w="1134" w:type="dxa"/>
            <w:tcBorders>
              <w:top w:val="nil"/>
              <w:left w:val="nil"/>
              <w:bottom w:val="nil"/>
              <w:right w:val="nil"/>
            </w:tcBorders>
            <w:shd w:val="clear" w:color="auto" w:fill="auto"/>
            <w:noWrap/>
            <w:vAlign w:val="bottom"/>
            <w:hideMark/>
          </w:tcPr>
          <w:p w14:paraId="58712CB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ND</w:t>
            </w:r>
          </w:p>
        </w:tc>
      </w:tr>
      <w:tr w:rsidR="00781D9E" w:rsidRPr="00F738CD" w14:paraId="44939C7B" w14:textId="77777777" w:rsidTr="00D9676B">
        <w:trPr>
          <w:trHeight w:val="264"/>
        </w:trPr>
        <w:tc>
          <w:tcPr>
            <w:tcW w:w="567" w:type="dxa"/>
            <w:tcBorders>
              <w:top w:val="nil"/>
              <w:left w:val="nil"/>
              <w:bottom w:val="nil"/>
              <w:right w:val="nil"/>
            </w:tcBorders>
            <w:shd w:val="clear" w:color="auto" w:fill="auto"/>
            <w:noWrap/>
            <w:vAlign w:val="bottom"/>
            <w:hideMark/>
          </w:tcPr>
          <w:p w14:paraId="1CF2E812"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w:t>
            </w:r>
          </w:p>
        </w:tc>
        <w:tc>
          <w:tcPr>
            <w:tcW w:w="5245" w:type="dxa"/>
            <w:tcBorders>
              <w:top w:val="nil"/>
              <w:left w:val="nil"/>
              <w:bottom w:val="nil"/>
              <w:right w:val="nil"/>
            </w:tcBorders>
            <w:shd w:val="clear" w:color="auto" w:fill="auto"/>
            <w:noWrap/>
            <w:vAlign w:val="bottom"/>
            <w:hideMark/>
          </w:tcPr>
          <w:p w14:paraId="2DBDC3BF"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Th1 Pathway</w:t>
            </w:r>
          </w:p>
        </w:tc>
        <w:tc>
          <w:tcPr>
            <w:tcW w:w="1559" w:type="dxa"/>
            <w:tcBorders>
              <w:top w:val="nil"/>
              <w:left w:val="nil"/>
              <w:bottom w:val="nil"/>
              <w:right w:val="nil"/>
            </w:tcBorders>
            <w:shd w:val="clear" w:color="auto" w:fill="auto"/>
            <w:noWrap/>
            <w:vAlign w:val="bottom"/>
            <w:hideMark/>
          </w:tcPr>
          <w:p w14:paraId="640B3B9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46.7</w:t>
            </w:r>
          </w:p>
        </w:tc>
        <w:tc>
          <w:tcPr>
            <w:tcW w:w="1134" w:type="dxa"/>
            <w:tcBorders>
              <w:top w:val="nil"/>
              <w:left w:val="nil"/>
              <w:bottom w:val="nil"/>
              <w:right w:val="nil"/>
            </w:tcBorders>
            <w:shd w:val="clear" w:color="auto" w:fill="auto"/>
            <w:noWrap/>
            <w:vAlign w:val="bottom"/>
            <w:hideMark/>
          </w:tcPr>
          <w:p w14:paraId="1DFB164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5.754</w:t>
            </w:r>
          </w:p>
        </w:tc>
      </w:tr>
      <w:tr w:rsidR="00781D9E" w:rsidRPr="00F738CD" w14:paraId="51C8E64F" w14:textId="77777777" w:rsidTr="00D9676B">
        <w:trPr>
          <w:trHeight w:val="264"/>
        </w:trPr>
        <w:tc>
          <w:tcPr>
            <w:tcW w:w="567" w:type="dxa"/>
            <w:tcBorders>
              <w:top w:val="nil"/>
              <w:left w:val="nil"/>
              <w:bottom w:val="nil"/>
              <w:right w:val="nil"/>
            </w:tcBorders>
            <w:shd w:val="clear" w:color="auto" w:fill="auto"/>
            <w:noWrap/>
            <w:vAlign w:val="bottom"/>
            <w:hideMark/>
          </w:tcPr>
          <w:p w14:paraId="6DE6F4F8"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w:t>
            </w:r>
          </w:p>
        </w:tc>
        <w:tc>
          <w:tcPr>
            <w:tcW w:w="5245" w:type="dxa"/>
            <w:tcBorders>
              <w:top w:val="nil"/>
              <w:left w:val="nil"/>
              <w:bottom w:val="nil"/>
              <w:right w:val="nil"/>
            </w:tcBorders>
            <w:shd w:val="clear" w:color="auto" w:fill="auto"/>
            <w:noWrap/>
            <w:vAlign w:val="bottom"/>
            <w:hideMark/>
          </w:tcPr>
          <w:p w14:paraId="5050C993"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Th2 Pathway</w:t>
            </w:r>
          </w:p>
        </w:tc>
        <w:tc>
          <w:tcPr>
            <w:tcW w:w="1559" w:type="dxa"/>
            <w:tcBorders>
              <w:top w:val="nil"/>
              <w:left w:val="nil"/>
              <w:bottom w:val="nil"/>
              <w:right w:val="nil"/>
            </w:tcBorders>
            <w:shd w:val="clear" w:color="auto" w:fill="auto"/>
            <w:noWrap/>
            <w:vAlign w:val="bottom"/>
            <w:hideMark/>
          </w:tcPr>
          <w:p w14:paraId="4651F36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39.6</w:t>
            </w:r>
          </w:p>
        </w:tc>
        <w:tc>
          <w:tcPr>
            <w:tcW w:w="1134" w:type="dxa"/>
            <w:tcBorders>
              <w:top w:val="nil"/>
              <w:left w:val="nil"/>
              <w:bottom w:val="nil"/>
              <w:right w:val="nil"/>
            </w:tcBorders>
            <w:shd w:val="clear" w:color="auto" w:fill="auto"/>
            <w:noWrap/>
            <w:vAlign w:val="bottom"/>
            <w:hideMark/>
          </w:tcPr>
          <w:p w14:paraId="50F4936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3.889</w:t>
            </w:r>
          </w:p>
        </w:tc>
      </w:tr>
      <w:tr w:rsidR="00781D9E" w:rsidRPr="00F738CD" w14:paraId="0C7C14F6" w14:textId="77777777" w:rsidTr="00D9676B">
        <w:trPr>
          <w:trHeight w:val="264"/>
        </w:trPr>
        <w:tc>
          <w:tcPr>
            <w:tcW w:w="567" w:type="dxa"/>
            <w:tcBorders>
              <w:top w:val="nil"/>
              <w:left w:val="nil"/>
              <w:bottom w:val="nil"/>
              <w:right w:val="nil"/>
            </w:tcBorders>
            <w:shd w:val="clear" w:color="auto" w:fill="auto"/>
            <w:noWrap/>
            <w:vAlign w:val="bottom"/>
            <w:hideMark/>
          </w:tcPr>
          <w:p w14:paraId="23384E8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5</w:t>
            </w:r>
          </w:p>
        </w:tc>
        <w:tc>
          <w:tcPr>
            <w:tcW w:w="5245" w:type="dxa"/>
            <w:tcBorders>
              <w:top w:val="nil"/>
              <w:left w:val="nil"/>
              <w:bottom w:val="nil"/>
              <w:right w:val="nil"/>
            </w:tcBorders>
            <w:shd w:val="clear" w:color="auto" w:fill="auto"/>
            <w:noWrap/>
            <w:vAlign w:val="bottom"/>
            <w:hideMark/>
          </w:tcPr>
          <w:p w14:paraId="42284A42"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Neuroinflammation Signaling Pathway</w:t>
            </w:r>
          </w:p>
        </w:tc>
        <w:tc>
          <w:tcPr>
            <w:tcW w:w="1559" w:type="dxa"/>
            <w:tcBorders>
              <w:top w:val="nil"/>
              <w:left w:val="nil"/>
              <w:bottom w:val="nil"/>
              <w:right w:val="nil"/>
            </w:tcBorders>
            <w:shd w:val="clear" w:color="auto" w:fill="auto"/>
            <w:noWrap/>
            <w:vAlign w:val="bottom"/>
            <w:hideMark/>
          </w:tcPr>
          <w:p w14:paraId="1EB5A3F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37.5</w:t>
            </w:r>
          </w:p>
        </w:tc>
        <w:tc>
          <w:tcPr>
            <w:tcW w:w="1134" w:type="dxa"/>
            <w:tcBorders>
              <w:top w:val="nil"/>
              <w:left w:val="nil"/>
              <w:bottom w:val="nil"/>
              <w:right w:val="nil"/>
            </w:tcBorders>
            <w:shd w:val="clear" w:color="auto" w:fill="auto"/>
            <w:noWrap/>
            <w:vAlign w:val="bottom"/>
            <w:hideMark/>
          </w:tcPr>
          <w:p w14:paraId="395EFF7C"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6.091</w:t>
            </w:r>
          </w:p>
        </w:tc>
      </w:tr>
      <w:tr w:rsidR="00781D9E" w:rsidRPr="00F738CD" w14:paraId="6D05EF52" w14:textId="77777777" w:rsidTr="00D9676B">
        <w:trPr>
          <w:trHeight w:val="264"/>
        </w:trPr>
        <w:tc>
          <w:tcPr>
            <w:tcW w:w="567" w:type="dxa"/>
            <w:tcBorders>
              <w:top w:val="nil"/>
              <w:left w:val="nil"/>
              <w:bottom w:val="nil"/>
              <w:right w:val="nil"/>
            </w:tcBorders>
            <w:shd w:val="clear" w:color="auto" w:fill="auto"/>
            <w:noWrap/>
            <w:vAlign w:val="bottom"/>
            <w:hideMark/>
          </w:tcPr>
          <w:p w14:paraId="0F3CDDD6"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6</w:t>
            </w:r>
          </w:p>
        </w:tc>
        <w:tc>
          <w:tcPr>
            <w:tcW w:w="5245" w:type="dxa"/>
            <w:tcBorders>
              <w:top w:val="nil"/>
              <w:left w:val="nil"/>
              <w:bottom w:val="nil"/>
              <w:right w:val="nil"/>
            </w:tcBorders>
            <w:shd w:val="clear" w:color="auto" w:fill="auto"/>
            <w:noWrap/>
            <w:vAlign w:val="bottom"/>
            <w:hideMark/>
          </w:tcPr>
          <w:p w14:paraId="2D17249F"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Macrophage Alternative Activation Signaling Pathway</w:t>
            </w:r>
          </w:p>
        </w:tc>
        <w:tc>
          <w:tcPr>
            <w:tcW w:w="1559" w:type="dxa"/>
            <w:tcBorders>
              <w:top w:val="nil"/>
              <w:left w:val="nil"/>
              <w:bottom w:val="nil"/>
              <w:right w:val="nil"/>
            </w:tcBorders>
            <w:shd w:val="clear" w:color="auto" w:fill="auto"/>
            <w:noWrap/>
            <w:vAlign w:val="bottom"/>
            <w:hideMark/>
          </w:tcPr>
          <w:p w14:paraId="6BE4C558"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34.2</w:t>
            </w:r>
          </w:p>
        </w:tc>
        <w:tc>
          <w:tcPr>
            <w:tcW w:w="1134" w:type="dxa"/>
            <w:tcBorders>
              <w:top w:val="nil"/>
              <w:left w:val="nil"/>
              <w:bottom w:val="nil"/>
              <w:right w:val="nil"/>
            </w:tcBorders>
            <w:shd w:val="clear" w:color="auto" w:fill="auto"/>
            <w:noWrap/>
            <w:vAlign w:val="bottom"/>
            <w:hideMark/>
          </w:tcPr>
          <w:p w14:paraId="4273BC27"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3.55</w:t>
            </w:r>
          </w:p>
        </w:tc>
      </w:tr>
      <w:tr w:rsidR="00781D9E" w:rsidRPr="00F738CD" w14:paraId="7220BB57" w14:textId="77777777" w:rsidTr="00D9676B">
        <w:trPr>
          <w:trHeight w:val="264"/>
        </w:trPr>
        <w:tc>
          <w:tcPr>
            <w:tcW w:w="567" w:type="dxa"/>
            <w:tcBorders>
              <w:top w:val="nil"/>
              <w:left w:val="nil"/>
              <w:bottom w:val="nil"/>
              <w:right w:val="nil"/>
            </w:tcBorders>
            <w:shd w:val="clear" w:color="auto" w:fill="auto"/>
            <w:noWrap/>
            <w:vAlign w:val="bottom"/>
            <w:hideMark/>
          </w:tcPr>
          <w:p w14:paraId="17BAFDC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7</w:t>
            </w:r>
          </w:p>
        </w:tc>
        <w:tc>
          <w:tcPr>
            <w:tcW w:w="5245" w:type="dxa"/>
            <w:tcBorders>
              <w:top w:val="nil"/>
              <w:left w:val="nil"/>
              <w:bottom w:val="nil"/>
              <w:right w:val="nil"/>
            </w:tcBorders>
            <w:shd w:val="clear" w:color="auto" w:fill="auto"/>
            <w:noWrap/>
            <w:vAlign w:val="bottom"/>
            <w:hideMark/>
          </w:tcPr>
          <w:p w14:paraId="7BA56405"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Macrophage Classical Activation Signaling Pathway</w:t>
            </w:r>
          </w:p>
        </w:tc>
        <w:tc>
          <w:tcPr>
            <w:tcW w:w="1559" w:type="dxa"/>
            <w:tcBorders>
              <w:top w:val="nil"/>
              <w:left w:val="nil"/>
              <w:bottom w:val="nil"/>
              <w:right w:val="nil"/>
            </w:tcBorders>
            <w:shd w:val="clear" w:color="auto" w:fill="auto"/>
            <w:noWrap/>
            <w:vAlign w:val="bottom"/>
            <w:hideMark/>
          </w:tcPr>
          <w:p w14:paraId="12FB19A4"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32.8</w:t>
            </w:r>
          </w:p>
        </w:tc>
        <w:tc>
          <w:tcPr>
            <w:tcW w:w="1134" w:type="dxa"/>
            <w:tcBorders>
              <w:top w:val="nil"/>
              <w:left w:val="nil"/>
              <w:bottom w:val="nil"/>
              <w:right w:val="nil"/>
            </w:tcBorders>
            <w:shd w:val="clear" w:color="auto" w:fill="auto"/>
            <w:noWrap/>
            <w:vAlign w:val="bottom"/>
            <w:hideMark/>
          </w:tcPr>
          <w:p w14:paraId="46136BF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4.802</w:t>
            </w:r>
          </w:p>
        </w:tc>
      </w:tr>
      <w:tr w:rsidR="00781D9E" w:rsidRPr="00F738CD" w14:paraId="188A4074" w14:textId="77777777" w:rsidTr="00D9676B">
        <w:trPr>
          <w:trHeight w:val="264"/>
        </w:trPr>
        <w:tc>
          <w:tcPr>
            <w:tcW w:w="567" w:type="dxa"/>
            <w:tcBorders>
              <w:top w:val="nil"/>
              <w:left w:val="nil"/>
              <w:bottom w:val="nil"/>
              <w:right w:val="nil"/>
            </w:tcBorders>
            <w:shd w:val="clear" w:color="auto" w:fill="auto"/>
            <w:noWrap/>
            <w:vAlign w:val="bottom"/>
            <w:hideMark/>
          </w:tcPr>
          <w:p w14:paraId="6CBFDAA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8</w:t>
            </w:r>
          </w:p>
        </w:tc>
        <w:tc>
          <w:tcPr>
            <w:tcW w:w="5245" w:type="dxa"/>
            <w:tcBorders>
              <w:top w:val="nil"/>
              <w:left w:val="nil"/>
              <w:bottom w:val="nil"/>
              <w:right w:val="nil"/>
            </w:tcBorders>
            <w:shd w:val="clear" w:color="auto" w:fill="auto"/>
            <w:noWrap/>
            <w:vAlign w:val="bottom"/>
            <w:hideMark/>
          </w:tcPr>
          <w:p w14:paraId="173562F0"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Granulocyte Adhesion and Diapedesis</w:t>
            </w:r>
          </w:p>
        </w:tc>
        <w:tc>
          <w:tcPr>
            <w:tcW w:w="1559" w:type="dxa"/>
            <w:tcBorders>
              <w:top w:val="nil"/>
              <w:left w:val="nil"/>
              <w:bottom w:val="nil"/>
              <w:right w:val="nil"/>
            </w:tcBorders>
            <w:shd w:val="clear" w:color="auto" w:fill="auto"/>
            <w:noWrap/>
            <w:vAlign w:val="bottom"/>
            <w:hideMark/>
          </w:tcPr>
          <w:p w14:paraId="7621524C"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32.8</w:t>
            </w:r>
          </w:p>
        </w:tc>
        <w:tc>
          <w:tcPr>
            <w:tcW w:w="1134" w:type="dxa"/>
            <w:tcBorders>
              <w:top w:val="nil"/>
              <w:left w:val="nil"/>
              <w:bottom w:val="nil"/>
              <w:right w:val="nil"/>
            </w:tcBorders>
            <w:shd w:val="clear" w:color="auto" w:fill="auto"/>
            <w:noWrap/>
            <w:vAlign w:val="bottom"/>
            <w:hideMark/>
          </w:tcPr>
          <w:p w14:paraId="775F27E4"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ND</w:t>
            </w:r>
          </w:p>
        </w:tc>
      </w:tr>
      <w:tr w:rsidR="00781D9E" w:rsidRPr="00F738CD" w14:paraId="41A10CBA" w14:textId="77777777" w:rsidTr="00D9676B">
        <w:trPr>
          <w:trHeight w:val="264"/>
        </w:trPr>
        <w:tc>
          <w:tcPr>
            <w:tcW w:w="567" w:type="dxa"/>
            <w:tcBorders>
              <w:top w:val="nil"/>
              <w:left w:val="nil"/>
              <w:right w:val="nil"/>
            </w:tcBorders>
            <w:shd w:val="clear" w:color="auto" w:fill="auto"/>
            <w:noWrap/>
            <w:vAlign w:val="bottom"/>
            <w:hideMark/>
          </w:tcPr>
          <w:p w14:paraId="0AD767E7"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9</w:t>
            </w:r>
          </w:p>
        </w:tc>
        <w:tc>
          <w:tcPr>
            <w:tcW w:w="5245" w:type="dxa"/>
            <w:tcBorders>
              <w:top w:val="nil"/>
              <w:left w:val="nil"/>
              <w:right w:val="nil"/>
            </w:tcBorders>
            <w:shd w:val="clear" w:color="auto" w:fill="auto"/>
            <w:noWrap/>
            <w:vAlign w:val="bottom"/>
            <w:hideMark/>
          </w:tcPr>
          <w:p w14:paraId="04B9C085"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IL-27 Signaling Pathway</w:t>
            </w:r>
          </w:p>
        </w:tc>
        <w:tc>
          <w:tcPr>
            <w:tcW w:w="1559" w:type="dxa"/>
            <w:tcBorders>
              <w:top w:val="nil"/>
              <w:left w:val="nil"/>
              <w:right w:val="nil"/>
            </w:tcBorders>
            <w:shd w:val="clear" w:color="auto" w:fill="auto"/>
            <w:noWrap/>
            <w:vAlign w:val="bottom"/>
            <w:hideMark/>
          </w:tcPr>
          <w:p w14:paraId="651B594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29.6</w:t>
            </w:r>
          </w:p>
        </w:tc>
        <w:tc>
          <w:tcPr>
            <w:tcW w:w="1134" w:type="dxa"/>
            <w:tcBorders>
              <w:top w:val="nil"/>
              <w:left w:val="nil"/>
              <w:right w:val="nil"/>
            </w:tcBorders>
            <w:shd w:val="clear" w:color="auto" w:fill="auto"/>
            <w:noWrap/>
            <w:vAlign w:val="bottom"/>
            <w:hideMark/>
          </w:tcPr>
          <w:p w14:paraId="653BC929"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3.78</w:t>
            </w:r>
          </w:p>
        </w:tc>
      </w:tr>
      <w:tr w:rsidR="00781D9E" w:rsidRPr="00F738CD" w14:paraId="13E1D6D4" w14:textId="77777777" w:rsidTr="00D9676B">
        <w:trPr>
          <w:trHeight w:val="264"/>
        </w:trPr>
        <w:tc>
          <w:tcPr>
            <w:tcW w:w="567" w:type="dxa"/>
            <w:tcBorders>
              <w:top w:val="nil"/>
              <w:left w:val="nil"/>
              <w:bottom w:val="single" w:sz="4" w:space="0" w:color="auto"/>
              <w:right w:val="nil"/>
            </w:tcBorders>
            <w:shd w:val="clear" w:color="auto" w:fill="auto"/>
            <w:noWrap/>
            <w:vAlign w:val="bottom"/>
            <w:hideMark/>
          </w:tcPr>
          <w:p w14:paraId="5A720573"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10</w:t>
            </w:r>
          </w:p>
        </w:tc>
        <w:tc>
          <w:tcPr>
            <w:tcW w:w="5245" w:type="dxa"/>
            <w:tcBorders>
              <w:top w:val="nil"/>
              <w:left w:val="nil"/>
              <w:bottom w:val="single" w:sz="4" w:space="0" w:color="auto"/>
              <w:right w:val="nil"/>
            </w:tcBorders>
            <w:shd w:val="clear" w:color="auto" w:fill="auto"/>
            <w:noWrap/>
            <w:vAlign w:val="bottom"/>
            <w:hideMark/>
          </w:tcPr>
          <w:p w14:paraId="6347EA5C"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Crosstalk between Dendritic Cells and Natural Killer Cells</w:t>
            </w:r>
          </w:p>
        </w:tc>
        <w:tc>
          <w:tcPr>
            <w:tcW w:w="1559" w:type="dxa"/>
            <w:tcBorders>
              <w:top w:val="nil"/>
              <w:left w:val="nil"/>
              <w:bottom w:val="single" w:sz="4" w:space="0" w:color="auto"/>
              <w:right w:val="nil"/>
            </w:tcBorders>
            <w:shd w:val="clear" w:color="auto" w:fill="auto"/>
            <w:noWrap/>
            <w:vAlign w:val="bottom"/>
            <w:hideMark/>
          </w:tcPr>
          <w:p w14:paraId="58F6C69A"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29.2</w:t>
            </w:r>
          </w:p>
        </w:tc>
        <w:tc>
          <w:tcPr>
            <w:tcW w:w="1134" w:type="dxa"/>
            <w:tcBorders>
              <w:top w:val="nil"/>
              <w:left w:val="nil"/>
              <w:bottom w:val="single" w:sz="4" w:space="0" w:color="auto"/>
              <w:right w:val="nil"/>
            </w:tcBorders>
            <w:shd w:val="clear" w:color="auto" w:fill="auto"/>
            <w:noWrap/>
            <w:vAlign w:val="bottom"/>
            <w:hideMark/>
          </w:tcPr>
          <w:p w14:paraId="0E2DF377"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4.796</w:t>
            </w:r>
          </w:p>
        </w:tc>
      </w:tr>
    </w:tbl>
    <w:p w14:paraId="15A58E9A" w14:textId="02309B72" w:rsidR="00781D9E" w:rsidRPr="00F738CD" w:rsidRDefault="00781D9E" w:rsidP="00781D9E">
      <w:pPr>
        <w:pStyle w:val="Paragraph"/>
        <w:spacing w:line="480" w:lineRule="auto"/>
        <w:jc w:val="both"/>
        <w:rPr>
          <w:sz w:val="18"/>
        </w:rPr>
      </w:pPr>
      <w:r w:rsidRPr="00F738CD">
        <w:rPr>
          <w:sz w:val="18"/>
        </w:rPr>
        <w:t xml:space="preserve">A positive z-score suggests that the pathway was upregulated and a negative one suggests that the pathway was downregulated. ND indicates </w:t>
      </w:r>
      <w:r w:rsidR="00504EFB" w:rsidRPr="00F738CD">
        <w:rPr>
          <w:sz w:val="18"/>
        </w:rPr>
        <w:t xml:space="preserve">that the </w:t>
      </w:r>
      <w:r w:rsidRPr="00F738CD">
        <w:rPr>
          <w:sz w:val="18"/>
        </w:rPr>
        <w:t xml:space="preserve">direction of the pathway regulation </w:t>
      </w:r>
      <w:r w:rsidR="00504EFB" w:rsidRPr="00F738CD">
        <w:rPr>
          <w:sz w:val="18"/>
        </w:rPr>
        <w:t>could not</w:t>
      </w:r>
      <w:r w:rsidRPr="00F738CD">
        <w:rPr>
          <w:sz w:val="18"/>
        </w:rPr>
        <w:t xml:space="preserve"> be determined.</w:t>
      </w:r>
    </w:p>
    <w:p w14:paraId="6AF95266" w14:textId="2AE8711E" w:rsidR="00D578B3" w:rsidRPr="00F738CD" w:rsidRDefault="00D578B3" w:rsidP="00781D9E">
      <w:pPr>
        <w:pStyle w:val="Paragraph"/>
        <w:spacing w:line="480" w:lineRule="auto"/>
        <w:jc w:val="both"/>
        <w:rPr>
          <w:sz w:val="18"/>
        </w:rPr>
      </w:pPr>
      <w:r w:rsidRPr="00F738CD">
        <w:rPr>
          <w:sz w:val="18"/>
        </w:rPr>
        <w:t>DEG, differentially expressed gene; IL, interleukin; IPA, Ingenuity Pathway Analysis; ND, not determined; Th, T-helper cell.</w:t>
      </w:r>
    </w:p>
    <w:p w14:paraId="0B5C7567" w14:textId="77777777" w:rsidR="00781D9E" w:rsidRPr="004250FA" w:rsidRDefault="00781D9E" w:rsidP="00781D9E">
      <w:pPr>
        <w:widowControl/>
        <w:spacing w:line="480" w:lineRule="auto"/>
        <w:rPr>
          <w:rFonts w:ascii="Arial" w:hAnsi="Arial" w:cs="Arial"/>
          <w:b/>
          <w:bCs/>
          <w:sz w:val="24"/>
          <w:szCs w:val="24"/>
        </w:rPr>
      </w:pPr>
      <w:r w:rsidRPr="004250FA">
        <w:rPr>
          <w:rFonts w:ascii="Arial" w:hAnsi="Arial" w:cs="Arial"/>
          <w:b/>
          <w:bCs/>
          <w:sz w:val="24"/>
          <w:szCs w:val="24"/>
        </w:rPr>
        <w:br w:type="page"/>
      </w:r>
    </w:p>
    <w:p w14:paraId="7510A085" w14:textId="0962D34B" w:rsidR="00781D9E" w:rsidRPr="00F738CD" w:rsidRDefault="00781D9E" w:rsidP="00781D9E">
      <w:pPr>
        <w:widowControl/>
        <w:spacing w:line="480" w:lineRule="auto"/>
        <w:rPr>
          <w:rFonts w:ascii="Times New Roman" w:hAnsi="Times New Roman" w:cs="Times New Roman"/>
          <w:b/>
          <w:bCs/>
          <w:sz w:val="24"/>
          <w:szCs w:val="24"/>
        </w:rPr>
      </w:pPr>
      <w:r w:rsidRPr="00F738CD">
        <w:rPr>
          <w:rFonts w:ascii="Times New Roman" w:hAnsi="Times New Roman" w:cs="Times New Roman"/>
          <w:b/>
          <w:bCs/>
          <w:sz w:val="24"/>
          <w:szCs w:val="24"/>
        </w:rPr>
        <w:lastRenderedPageBreak/>
        <w:t xml:space="preserve">Table </w:t>
      </w:r>
      <w:r w:rsidR="00F85810" w:rsidRPr="00F738CD">
        <w:rPr>
          <w:rFonts w:ascii="Times New Roman" w:hAnsi="Times New Roman" w:cs="Times New Roman"/>
          <w:b/>
          <w:bCs/>
          <w:sz w:val="24"/>
          <w:szCs w:val="24"/>
        </w:rPr>
        <w:t>S4</w:t>
      </w:r>
      <w:r w:rsidRPr="00F738CD">
        <w:rPr>
          <w:rFonts w:ascii="Times New Roman" w:hAnsi="Times New Roman" w:cs="Times New Roman"/>
          <w:b/>
          <w:bCs/>
          <w:sz w:val="24"/>
          <w:szCs w:val="24"/>
        </w:rPr>
        <w:t xml:space="preserve">. </w:t>
      </w:r>
      <w:bookmarkStart w:id="1" w:name="OLE_LINK1"/>
      <w:r w:rsidRPr="00F738CD">
        <w:rPr>
          <w:rFonts w:ascii="Times New Roman" w:hAnsi="Times New Roman" w:cs="Times New Roman"/>
          <w:b/>
          <w:bCs/>
          <w:sz w:val="24"/>
          <w:szCs w:val="24"/>
        </w:rPr>
        <w:t xml:space="preserve">Top 10 IPA results using DEGs </w:t>
      </w:r>
      <w:r w:rsidR="00C92062">
        <w:rPr>
          <w:rFonts w:ascii="Times New Roman" w:hAnsi="Times New Roman" w:cs="Times New Roman" w:hint="eastAsia"/>
          <w:b/>
          <w:bCs/>
          <w:sz w:val="24"/>
          <w:szCs w:val="24"/>
        </w:rPr>
        <w:t xml:space="preserve">identified both </w:t>
      </w:r>
      <w:r w:rsidR="00F123C6" w:rsidRPr="00F738CD">
        <w:rPr>
          <w:rFonts w:ascii="Times New Roman" w:hAnsi="Times New Roman" w:cs="Times New Roman"/>
          <w:b/>
          <w:bCs/>
          <w:sz w:val="24"/>
          <w:szCs w:val="24"/>
        </w:rPr>
        <w:t xml:space="preserve">the </w:t>
      </w:r>
      <w:r w:rsidRPr="00F738CD">
        <w:rPr>
          <w:rFonts w:ascii="Times New Roman" w:hAnsi="Times New Roman" w:cs="Times New Roman"/>
          <w:b/>
          <w:bCs/>
          <w:sz w:val="24"/>
          <w:szCs w:val="24"/>
        </w:rPr>
        <w:t xml:space="preserve">combination </w:t>
      </w:r>
      <w:r w:rsidR="00C92062">
        <w:rPr>
          <w:rFonts w:ascii="Times New Roman" w:hAnsi="Times New Roman" w:cs="Times New Roman" w:hint="eastAsia"/>
          <w:b/>
          <w:bCs/>
          <w:sz w:val="24"/>
          <w:szCs w:val="24"/>
        </w:rPr>
        <w:t>vs control and combination vs</w:t>
      </w:r>
      <w:r w:rsidRPr="00F738CD">
        <w:rPr>
          <w:rFonts w:ascii="Times New Roman" w:hAnsi="Times New Roman" w:cs="Times New Roman"/>
          <w:b/>
          <w:bCs/>
          <w:sz w:val="24"/>
          <w:szCs w:val="24"/>
        </w:rPr>
        <w:t xml:space="preserve"> anti</w:t>
      </w:r>
      <w:r w:rsidR="00F123C6" w:rsidRPr="00F738CD">
        <w:rPr>
          <w:rFonts w:ascii="Times New Roman" w:hAnsi="Times New Roman" w:cs="Times New Roman"/>
          <w:b/>
          <w:bCs/>
          <w:sz w:val="24"/>
          <w:szCs w:val="24"/>
        </w:rPr>
        <w:t>–</w:t>
      </w:r>
      <w:r w:rsidRPr="00F738CD">
        <w:rPr>
          <w:rFonts w:ascii="Times New Roman" w:hAnsi="Times New Roman" w:cs="Times New Roman"/>
          <w:b/>
          <w:bCs/>
          <w:sz w:val="24"/>
          <w:szCs w:val="24"/>
        </w:rPr>
        <w:t>PD-L1 groups</w:t>
      </w:r>
      <w:r w:rsidR="0017145E" w:rsidRPr="00F738CD">
        <w:rPr>
          <w:rFonts w:ascii="Times New Roman" w:hAnsi="Times New Roman" w:cs="Times New Roman"/>
          <w:b/>
          <w:bCs/>
          <w:sz w:val="24"/>
          <w:szCs w:val="24"/>
        </w:rPr>
        <w:t>.</w:t>
      </w:r>
      <w:bookmarkEnd w:id="1"/>
    </w:p>
    <w:p w14:paraId="19EAFFB0" w14:textId="77777777" w:rsidR="00781D9E" w:rsidRPr="004250FA" w:rsidRDefault="00781D9E" w:rsidP="00781D9E">
      <w:pPr>
        <w:spacing w:line="480" w:lineRule="auto"/>
        <w:rPr>
          <w:rFonts w:ascii="Arial" w:hAnsi="Arial" w:cs="Arial"/>
        </w:rPr>
      </w:pPr>
    </w:p>
    <w:tbl>
      <w:tblPr>
        <w:tblW w:w="8516" w:type="dxa"/>
        <w:tblCellMar>
          <w:left w:w="99" w:type="dxa"/>
          <w:right w:w="99" w:type="dxa"/>
        </w:tblCellMar>
        <w:tblLook w:val="04A0" w:firstRow="1" w:lastRow="0" w:firstColumn="1" w:lastColumn="0" w:noHBand="0" w:noVBand="1"/>
      </w:tblPr>
      <w:tblGrid>
        <w:gridCol w:w="521"/>
        <w:gridCol w:w="5444"/>
        <w:gridCol w:w="1559"/>
        <w:gridCol w:w="992"/>
      </w:tblGrid>
      <w:tr w:rsidR="00781D9E" w:rsidRPr="00F738CD" w14:paraId="25912A07" w14:textId="77777777" w:rsidTr="00D9676B">
        <w:trPr>
          <w:trHeight w:val="264"/>
        </w:trPr>
        <w:tc>
          <w:tcPr>
            <w:tcW w:w="521" w:type="dxa"/>
            <w:tcBorders>
              <w:top w:val="nil"/>
              <w:left w:val="nil"/>
              <w:bottom w:val="single" w:sz="4" w:space="0" w:color="auto"/>
              <w:right w:val="nil"/>
            </w:tcBorders>
            <w:shd w:val="clear" w:color="auto" w:fill="auto"/>
            <w:noWrap/>
            <w:vAlign w:val="bottom"/>
            <w:hideMark/>
          </w:tcPr>
          <w:p w14:paraId="675FAFAB" w14:textId="77777777"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No.</w:t>
            </w:r>
          </w:p>
        </w:tc>
        <w:tc>
          <w:tcPr>
            <w:tcW w:w="5444" w:type="dxa"/>
            <w:tcBorders>
              <w:top w:val="nil"/>
              <w:left w:val="nil"/>
              <w:bottom w:val="single" w:sz="4" w:space="0" w:color="auto"/>
              <w:right w:val="nil"/>
            </w:tcBorders>
            <w:shd w:val="clear" w:color="auto" w:fill="auto"/>
            <w:noWrap/>
            <w:vAlign w:val="bottom"/>
            <w:hideMark/>
          </w:tcPr>
          <w:p w14:paraId="5CE31DD1" w14:textId="1C3AB7D8" w:rsidR="00781D9E" w:rsidRPr="00F738CD" w:rsidRDefault="00781D9E" w:rsidP="00D9676B">
            <w:pPr>
              <w:widowControl/>
              <w:spacing w:line="480" w:lineRule="auto"/>
              <w:jc w:val="left"/>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 xml:space="preserve">Ingenuity </w:t>
            </w:r>
            <w:r w:rsidR="00897B43" w:rsidRPr="00F738CD">
              <w:rPr>
                <w:rFonts w:ascii="Times New Roman" w:eastAsia="ＭＳ Ｐゴシック" w:hAnsi="Times New Roman" w:cs="Times New Roman"/>
                <w:b/>
                <w:bCs/>
                <w:kern w:val="0"/>
                <w:sz w:val="20"/>
                <w:szCs w:val="20"/>
                <w:lang w:bidi="th-TH"/>
              </w:rPr>
              <w:t>c</w:t>
            </w:r>
            <w:r w:rsidRPr="00F738CD">
              <w:rPr>
                <w:rFonts w:ascii="Times New Roman" w:eastAsia="ＭＳ Ｐゴシック" w:hAnsi="Times New Roman" w:cs="Times New Roman"/>
                <w:b/>
                <w:bCs/>
                <w:kern w:val="0"/>
                <w:sz w:val="20"/>
                <w:szCs w:val="20"/>
                <w:lang w:bidi="th-TH"/>
              </w:rPr>
              <w:t xml:space="preserve">anonical </w:t>
            </w:r>
            <w:r w:rsidR="00897B43" w:rsidRPr="00F738CD">
              <w:rPr>
                <w:rFonts w:ascii="Times New Roman" w:eastAsia="ＭＳ Ｐゴシック" w:hAnsi="Times New Roman" w:cs="Times New Roman"/>
                <w:b/>
                <w:bCs/>
                <w:kern w:val="0"/>
                <w:sz w:val="20"/>
                <w:szCs w:val="20"/>
                <w:lang w:bidi="th-TH"/>
              </w:rPr>
              <w:t>p</w:t>
            </w:r>
            <w:r w:rsidRPr="00F738CD">
              <w:rPr>
                <w:rFonts w:ascii="Times New Roman" w:eastAsia="ＭＳ Ｐゴシック" w:hAnsi="Times New Roman" w:cs="Times New Roman"/>
                <w:b/>
                <w:bCs/>
                <w:kern w:val="0"/>
                <w:sz w:val="20"/>
                <w:szCs w:val="20"/>
                <w:lang w:bidi="th-TH"/>
              </w:rPr>
              <w:t>athways</w:t>
            </w:r>
          </w:p>
        </w:tc>
        <w:tc>
          <w:tcPr>
            <w:tcW w:w="1559" w:type="dxa"/>
            <w:tcBorders>
              <w:top w:val="nil"/>
              <w:left w:val="nil"/>
              <w:bottom w:val="single" w:sz="4" w:space="0" w:color="auto"/>
              <w:right w:val="nil"/>
            </w:tcBorders>
            <w:shd w:val="clear" w:color="auto" w:fill="auto"/>
            <w:noWrap/>
            <w:vAlign w:val="bottom"/>
            <w:hideMark/>
          </w:tcPr>
          <w:p w14:paraId="0FFBCDF2" w14:textId="4D9B796A"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-log(</w:t>
            </w:r>
            <w:r w:rsidR="00897B43" w:rsidRPr="00F738CD">
              <w:rPr>
                <w:rFonts w:ascii="Times New Roman" w:eastAsia="ＭＳ Ｐゴシック" w:hAnsi="Times New Roman" w:cs="Times New Roman"/>
                <w:b/>
                <w:bCs/>
                <w:i/>
                <w:iCs/>
                <w:kern w:val="0"/>
                <w:sz w:val="20"/>
                <w:szCs w:val="20"/>
                <w:lang w:bidi="th-TH"/>
              </w:rPr>
              <w:t>P</w:t>
            </w:r>
            <w:r w:rsidRPr="00F738CD">
              <w:rPr>
                <w:rFonts w:ascii="Times New Roman" w:eastAsia="ＭＳ Ｐゴシック" w:hAnsi="Times New Roman" w:cs="Times New Roman"/>
                <w:b/>
                <w:bCs/>
                <w:kern w:val="0"/>
                <w:sz w:val="20"/>
                <w:szCs w:val="20"/>
                <w:lang w:bidi="th-TH"/>
              </w:rPr>
              <w:t>-value)</w:t>
            </w:r>
          </w:p>
        </w:tc>
        <w:tc>
          <w:tcPr>
            <w:tcW w:w="992" w:type="dxa"/>
            <w:tcBorders>
              <w:top w:val="nil"/>
              <w:left w:val="nil"/>
              <w:bottom w:val="single" w:sz="4" w:space="0" w:color="auto"/>
              <w:right w:val="nil"/>
            </w:tcBorders>
            <w:shd w:val="clear" w:color="auto" w:fill="auto"/>
            <w:noWrap/>
            <w:vAlign w:val="bottom"/>
            <w:hideMark/>
          </w:tcPr>
          <w:p w14:paraId="4A18696C" w14:textId="77777777" w:rsidR="00781D9E" w:rsidRPr="00F738CD" w:rsidRDefault="00781D9E" w:rsidP="00D9676B">
            <w:pPr>
              <w:widowControl/>
              <w:spacing w:line="480" w:lineRule="auto"/>
              <w:jc w:val="center"/>
              <w:rPr>
                <w:rFonts w:ascii="Times New Roman" w:eastAsia="ＭＳ Ｐゴシック" w:hAnsi="Times New Roman" w:cs="Times New Roman"/>
                <w:b/>
                <w:bCs/>
                <w:kern w:val="0"/>
                <w:sz w:val="20"/>
                <w:szCs w:val="20"/>
                <w:lang w:bidi="th-TH"/>
              </w:rPr>
            </w:pPr>
            <w:r w:rsidRPr="00F738CD">
              <w:rPr>
                <w:rFonts w:ascii="Times New Roman" w:eastAsia="ＭＳ Ｐゴシック" w:hAnsi="Times New Roman" w:cs="Times New Roman"/>
                <w:b/>
                <w:bCs/>
                <w:kern w:val="0"/>
                <w:sz w:val="20"/>
                <w:szCs w:val="20"/>
                <w:lang w:bidi="th-TH"/>
              </w:rPr>
              <w:t>z-score</w:t>
            </w:r>
          </w:p>
        </w:tc>
      </w:tr>
      <w:tr w:rsidR="00781D9E" w:rsidRPr="00F738CD" w14:paraId="20F18209" w14:textId="77777777" w:rsidTr="00D9676B">
        <w:trPr>
          <w:trHeight w:val="264"/>
        </w:trPr>
        <w:tc>
          <w:tcPr>
            <w:tcW w:w="521" w:type="dxa"/>
            <w:tcBorders>
              <w:top w:val="single" w:sz="4" w:space="0" w:color="auto"/>
              <w:left w:val="nil"/>
              <w:bottom w:val="nil"/>
              <w:right w:val="nil"/>
            </w:tcBorders>
            <w:shd w:val="clear" w:color="auto" w:fill="auto"/>
            <w:noWrap/>
            <w:vAlign w:val="bottom"/>
            <w:hideMark/>
          </w:tcPr>
          <w:p w14:paraId="4D06278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w:t>
            </w:r>
          </w:p>
        </w:tc>
        <w:tc>
          <w:tcPr>
            <w:tcW w:w="5444" w:type="dxa"/>
            <w:tcBorders>
              <w:top w:val="single" w:sz="4" w:space="0" w:color="auto"/>
              <w:left w:val="nil"/>
              <w:bottom w:val="nil"/>
              <w:right w:val="nil"/>
            </w:tcBorders>
            <w:shd w:val="clear" w:color="auto" w:fill="auto"/>
            <w:noWrap/>
            <w:vAlign w:val="bottom"/>
            <w:hideMark/>
          </w:tcPr>
          <w:p w14:paraId="00286AB3"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Neuroinflammation Signaling Pathway</w:t>
            </w:r>
          </w:p>
        </w:tc>
        <w:tc>
          <w:tcPr>
            <w:tcW w:w="1559" w:type="dxa"/>
            <w:tcBorders>
              <w:top w:val="single" w:sz="4" w:space="0" w:color="auto"/>
              <w:left w:val="nil"/>
              <w:bottom w:val="nil"/>
              <w:right w:val="nil"/>
            </w:tcBorders>
            <w:shd w:val="clear" w:color="auto" w:fill="auto"/>
            <w:noWrap/>
            <w:vAlign w:val="bottom"/>
            <w:hideMark/>
          </w:tcPr>
          <w:p w14:paraId="29920F06"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18.4</w:t>
            </w:r>
          </w:p>
        </w:tc>
        <w:tc>
          <w:tcPr>
            <w:tcW w:w="992" w:type="dxa"/>
            <w:tcBorders>
              <w:top w:val="single" w:sz="4" w:space="0" w:color="auto"/>
              <w:left w:val="nil"/>
              <w:bottom w:val="nil"/>
              <w:right w:val="nil"/>
            </w:tcBorders>
            <w:shd w:val="clear" w:color="auto" w:fill="auto"/>
            <w:noWrap/>
            <w:vAlign w:val="bottom"/>
            <w:hideMark/>
          </w:tcPr>
          <w:p w14:paraId="63572349"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3.9</w:t>
            </w:r>
          </w:p>
        </w:tc>
      </w:tr>
      <w:tr w:rsidR="00781D9E" w:rsidRPr="00F738CD" w14:paraId="689D751D" w14:textId="77777777" w:rsidTr="00D9676B">
        <w:trPr>
          <w:trHeight w:val="264"/>
        </w:trPr>
        <w:tc>
          <w:tcPr>
            <w:tcW w:w="521" w:type="dxa"/>
            <w:tcBorders>
              <w:top w:val="nil"/>
              <w:left w:val="nil"/>
              <w:bottom w:val="nil"/>
              <w:right w:val="nil"/>
            </w:tcBorders>
            <w:shd w:val="clear" w:color="auto" w:fill="auto"/>
            <w:noWrap/>
            <w:vAlign w:val="bottom"/>
            <w:hideMark/>
          </w:tcPr>
          <w:p w14:paraId="6C1656ED"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w:t>
            </w:r>
          </w:p>
        </w:tc>
        <w:tc>
          <w:tcPr>
            <w:tcW w:w="5444" w:type="dxa"/>
            <w:tcBorders>
              <w:top w:val="nil"/>
              <w:left w:val="nil"/>
              <w:bottom w:val="nil"/>
              <w:right w:val="nil"/>
            </w:tcBorders>
            <w:shd w:val="clear" w:color="auto" w:fill="auto"/>
            <w:noWrap/>
            <w:vAlign w:val="bottom"/>
            <w:hideMark/>
          </w:tcPr>
          <w:p w14:paraId="3011C320"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Neutrophil Extracellular Trap Signaling Pathway</w:t>
            </w:r>
          </w:p>
        </w:tc>
        <w:tc>
          <w:tcPr>
            <w:tcW w:w="1559" w:type="dxa"/>
            <w:tcBorders>
              <w:top w:val="nil"/>
              <w:left w:val="nil"/>
              <w:bottom w:val="nil"/>
              <w:right w:val="nil"/>
            </w:tcBorders>
            <w:shd w:val="clear" w:color="auto" w:fill="auto"/>
            <w:noWrap/>
            <w:vAlign w:val="bottom"/>
            <w:hideMark/>
          </w:tcPr>
          <w:p w14:paraId="3477745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17.6</w:t>
            </w:r>
          </w:p>
        </w:tc>
        <w:tc>
          <w:tcPr>
            <w:tcW w:w="992" w:type="dxa"/>
            <w:tcBorders>
              <w:top w:val="nil"/>
              <w:left w:val="nil"/>
              <w:bottom w:val="nil"/>
              <w:right w:val="nil"/>
            </w:tcBorders>
            <w:shd w:val="clear" w:color="auto" w:fill="auto"/>
            <w:noWrap/>
            <w:vAlign w:val="bottom"/>
            <w:hideMark/>
          </w:tcPr>
          <w:p w14:paraId="65B840D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2.837</w:t>
            </w:r>
          </w:p>
        </w:tc>
      </w:tr>
      <w:tr w:rsidR="00781D9E" w:rsidRPr="00F738CD" w14:paraId="154F9284" w14:textId="77777777" w:rsidTr="00D9676B">
        <w:trPr>
          <w:trHeight w:val="264"/>
        </w:trPr>
        <w:tc>
          <w:tcPr>
            <w:tcW w:w="521" w:type="dxa"/>
            <w:tcBorders>
              <w:top w:val="nil"/>
              <w:left w:val="nil"/>
              <w:bottom w:val="nil"/>
              <w:right w:val="nil"/>
            </w:tcBorders>
            <w:shd w:val="clear" w:color="auto" w:fill="auto"/>
            <w:noWrap/>
            <w:vAlign w:val="bottom"/>
            <w:hideMark/>
          </w:tcPr>
          <w:p w14:paraId="7BA2CC06"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w:t>
            </w:r>
          </w:p>
        </w:tc>
        <w:tc>
          <w:tcPr>
            <w:tcW w:w="5444" w:type="dxa"/>
            <w:tcBorders>
              <w:top w:val="nil"/>
              <w:left w:val="nil"/>
              <w:bottom w:val="nil"/>
              <w:right w:val="nil"/>
            </w:tcBorders>
            <w:shd w:val="clear" w:color="auto" w:fill="auto"/>
            <w:noWrap/>
            <w:vAlign w:val="bottom"/>
            <w:hideMark/>
          </w:tcPr>
          <w:p w14:paraId="2F79F100"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Pathogen Induced Cytokine Storm Signaling Pathway</w:t>
            </w:r>
          </w:p>
        </w:tc>
        <w:tc>
          <w:tcPr>
            <w:tcW w:w="1559" w:type="dxa"/>
            <w:tcBorders>
              <w:top w:val="nil"/>
              <w:left w:val="nil"/>
              <w:bottom w:val="nil"/>
              <w:right w:val="nil"/>
            </w:tcBorders>
            <w:shd w:val="clear" w:color="auto" w:fill="auto"/>
            <w:noWrap/>
            <w:vAlign w:val="bottom"/>
            <w:hideMark/>
          </w:tcPr>
          <w:p w14:paraId="741F5959"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17</w:t>
            </w:r>
          </w:p>
        </w:tc>
        <w:tc>
          <w:tcPr>
            <w:tcW w:w="992" w:type="dxa"/>
            <w:tcBorders>
              <w:top w:val="nil"/>
              <w:left w:val="nil"/>
              <w:bottom w:val="nil"/>
              <w:right w:val="nil"/>
            </w:tcBorders>
            <w:shd w:val="clear" w:color="auto" w:fill="auto"/>
            <w:noWrap/>
            <w:vAlign w:val="bottom"/>
            <w:hideMark/>
          </w:tcPr>
          <w:p w14:paraId="71B3AF0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4.472</w:t>
            </w:r>
          </w:p>
        </w:tc>
      </w:tr>
      <w:tr w:rsidR="00781D9E" w:rsidRPr="00F738CD" w14:paraId="3C27BD11" w14:textId="77777777" w:rsidTr="00D9676B">
        <w:trPr>
          <w:trHeight w:val="264"/>
        </w:trPr>
        <w:tc>
          <w:tcPr>
            <w:tcW w:w="521" w:type="dxa"/>
            <w:tcBorders>
              <w:top w:val="nil"/>
              <w:left w:val="nil"/>
              <w:bottom w:val="nil"/>
              <w:right w:val="nil"/>
            </w:tcBorders>
            <w:shd w:val="clear" w:color="auto" w:fill="auto"/>
            <w:noWrap/>
            <w:vAlign w:val="bottom"/>
            <w:hideMark/>
          </w:tcPr>
          <w:p w14:paraId="28B4911F"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w:t>
            </w:r>
          </w:p>
        </w:tc>
        <w:tc>
          <w:tcPr>
            <w:tcW w:w="5444" w:type="dxa"/>
            <w:tcBorders>
              <w:top w:val="nil"/>
              <w:left w:val="nil"/>
              <w:bottom w:val="nil"/>
              <w:right w:val="nil"/>
            </w:tcBorders>
            <w:shd w:val="clear" w:color="auto" w:fill="auto"/>
            <w:noWrap/>
            <w:vAlign w:val="bottom"/>
            <w:hideMark/>
          </w:tcPr>
          <w:p w14:paraId="32300A76"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Neutrophil degranulation</w:t>
            </w:r>
          </w:p>
        </w:tc>
        <w:tc>
          <w:tcPr>
            <w:tcW w:w="1559" w:type="dxa"/>
            <w:tcBorders>
              <w:top w:val="nil"/>
              <w:left w:val="nil"/>
              <w:bottom w:val="nil"/>
              <w:right w:val="nil"/>
            </w:tcBorders>
            <w:shd w:val="clear" w:color="auto" w:fill="auto"/>
            <w:noWrap/>
            <w:vAlign w:val="bottom"/>
            <w:hideMark/>
          </w:tcPr>
          <w:p w14:paraId="780E0D2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16.1</w:t>
            </w:r>
          </w:p>
        </w:tc>
        <w:tc>
          <w:tcPr>
            <w:tcW w:w="992" w:type="dxa"/>
            <w:tcBorders>
              <w:top w:val="nil"/>
              <w:left w:val="nil"/>
              <w:bottom w:val="nil"/>
              <w:right w:val="nil"/>
            </w:tcBorders>
            <w:shd w:val="clear" w:color="auto" w:fill="auto"/>
            <w:noWrap/>
            <w:vAlign w:val="bottom"/>
            <w:hideMark/>
          </w:tcPr>
          <w:p w14:paraId="4E1CA661"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4.583</w:t>
            </w:r>
          </w:p>
        </w:tc>
      </w:tr>
      <w:tr w:rsidR="00781D9E" w:rsidRPr="00F738CD" w14:paraId="63A765A0" w14:textId="77777777" w:rsidTr="00D9676B">
        <w:trPr>
          <w:trHeight w:val="264"/>
        </w:trPr>
        <w:tc>
          <w:tcPr>
            <w:tcW w:w="521" w:type="dxa"/>
            <w:tcBorders>
              <w:top w:val="nil"/>
              <w:left w:val="nil"/>
              <w:bottom w:val="nil"/>
              <w:right w:val="nil"/>
            </w:tcBorders>
            <w:shd w:val="clear" w:color="auto" w:fill="auto"/>
            <w:noWrap/>
            <w:vAlign w:val="bottom"/>
            <w:hideMark/>
          </w:tcPr>
          <w:p w14:paraId="5B8D093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5</w:t>
            </w:r>
          </w:p>
        </w:tc>
        <w:tc>
          <w:tcPr>
            <w:tcW w:w="5444" w:type="dxa"/>
            <w:tcBorders>
              <w:top w:val="nil"/>
              <w:left w:val="nil"/>
              <w:bottom w:val="nil"/>
              <w:right w:val="nil"/>
            </w:tcBorders>
            <w:shd w:val="clear" w:color="auto" w:fill="auto"/>
            <w:noWrap/>
            <w:vAlign w:val="bottom"/>
            <w:hideMark/>
          </w:tcPr>
          <w:p w14:paraId="4CA88815"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Granulocyte Adhesion and Diapedesis</w:t>
            </w:r>
          </w:p>
        </w:tc>
        <w:tc>
          <w:tcPr>
            <w:tcW w:w="1559" w:type="dxa"/>
            <w:tcBorders>
              <w:top w:val="nil"/>
              <w:left w:val="nil"/>
              <w:bottom w:val="nil"/>
              <w:right w:val="nil"/>
            </w:tcBorders>
            <w:shd w:val="clear" w:color="auto" w:fill="auto"/>
            <w:noWrap/>
            <w:vAlign w:val="bottom"/>
            <w:hideMark/>
          </w:tcPr>
          <w:p w14:paraId="7879716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15.3</w:t>
            </w:r>
          </w:p>
        </w:tc>
        <w:tc>
          <w:tcPr>
            <w:tcW w:w="992" w:type="dxa"/>
            <w:tcBorders>
              <w:top w:val="nil"/>
              <w:left w:val="nil"/>
              <w:bottom w:val="nil"/>
              <w:right w:val="nil"/>
            </w:tcBorders>
            <w:shd w:val="clear" w:color="auto" w:fill="auto"/>
            <w:noWrap/>
            <w:vAlign w:val="bottom"/>
            <w:hideMark/>
          </w:tcPr>
          <w:p w14:paraId="6601871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ND</w:t>
            </w:r>
          </w:p>
        </w:tc>
      </w:tr>
      <w:tr w:rsidR="00781D9E" w:rsidRPr="00F738CD" w14:paraId="6E5ECC00" w14:textId="77777777" w:rsidTr="00D9676B">
        <w:trPr>
          <w:trHeight w:val="264"/>
        </w:trPr>
        <w:tc>
          <w:tcPr>
            <w:tcW w:w="521" w:type="dxa"/>
            <w:tcBorders>
              <w:top w:val="nil"/>
              <w:left w:val="nil"/>
              <w:bottom w:val="nil"/>
              <w:right w:val="nil"/>
            </w:tcBorders>
            <w:shd w:val="clear" w:color="auto" w:fill="auto"/>
            <w:noWrap/>
            <w:vAlign w:val="bottom"/>
            <w:hideMark/>
          </w:tcPr>
          <w:p w14:paraId="27F28BC9"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6</w:t>
            </w:r>
          </w:p>
        </w:tc>
        <w:tc>
          <w:tcPr>
            <w:tcW w:w="5444" w:type="dxa"/>
            <w:tcBorders>
              <w:top w:val="nil"/>
              <w:left w:val="nil"/>
              <w:bottom w:val="nil"/>
              <w:right w:val="nil"/>
            </w:tcBorders>
            <w:shd w:val="clear" w:color="auto" w:fill="auto"/>
            <w:noWrap/>
            <w:vAlign w:val="bottom"/>
            <w:hideMark/>
          </w:tcPr>
          <w:p w14:paraId="1EE95DA3"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Role of Pattern Recognition Receptors in Recognition of Bacteria and Viruses</w:t>
            </w:r>
          </w:p>
        </w:tc>
        <w:tc>
          <w:tcPr>
            <w:tcW w:w="1559" w:type="dxa"/>
            <w:tcBorders>
              <w:top w:val="nil"/>
              <w:left w:val="nil"/>
              <w:bottom w:val="nil"/>
              <w:right w:val="nil"/>
            </w:tcBorders>
            <w:shd w:val="clear" w:color="auto" w:fill="auto"/>
            <w:noWrap/>
            <w:vAlign w:val="bottom"/>
            <w:hideMark/>
          </w:tcPr>
          <w:p w14:paraId="79B9F1DB"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15</w:t>
            </w:r>
          </w:p>
        </w:tc>
        <w:tc>
          <w:tcPr>
            <w:tcW w:w="992" w:type="dxa"/>
            <w:tcBorders>
              <w:top w:val="nil"/>
              <w:left w:val="nil"/>
              <w:bottom w:val="nil"/>
              <w:right w:val="nil"/>
            </w:tcBorders>
            <w:shd w:val="clear" w:color="auto" w:fill="auto"/>
            <w:noWrap/>
            <w:vAlign w:val="bottom"/>
            <w:hideMark/>
          </w:tcPr>
          <w:p w14:paraId="6D804EE0"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w:t>
            </w:r>
          </w:p>
        </w:tc>
      </w:tr>
      <w:tr w:rsidR="00781D9E" w:rsidRPr="00F738CD" w14:paraId="2ECE0306" w14:textId="77777777" w:rsidTr="00D9676B">
        <w:trPr>
          <w:trHeight w:val="264"/>
        </w:trPr>
        <w:tc>
          <w:tcPr>
            <w:tcW w:w="521" w:type="dxa"/>
            <w:tcBorders>
              <w:top w:val="nil"/>
              <w:left w:val="nil"/>
              <w:bottom w:val="nil"/>
              <w:right w:val="nil"/>
            </w:tcBorders>
            <w:shd w:val="clear" w:color="auto" w:fill="auto"/>
            <w:noWrap/>
            <w:vAlign w:val="bottom"/>
            <w:hideMark/>
          </w:tcPr>
          <w:p w14:paraId="45C51A1B"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7</w:t>
            </w:r>
          </w:p>
        </w:tc>
        <w:tc>
          <w:tcPr>
            <w:tcW w:w="5444" w:type="dxa"/>
            <w:tcBorders>
              <w:top w:val="nil"/>
              <w:left w:val="nil"/>
              <w:bottom w:val="nil"/>
              <w:right w:val="nil"/>
            </w:tcBorders>
            <w:shd w:val="clear" w:color="auto" w:fill="auto"/>
            <w:noWrap/>
            <w:vAlign w:val="bottom"/>
            <w:hideMark/>
          </w:tcPr>
          <w:p w14:paraId="35874C42"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IL-12 Signaling and Production in Macrophages</w:t>
            </w:r>
          </w:p>
        </w:tc>
        <w:tc>
          <w:tcPr>
            <w:tcW w:w="1559" w:type="dxa"/>
            <w:tcBorders>
              <w:top w:val="nil"/>
              <w:left w:val="nil"/>
              <w:bottom w:val="nil"/>
              <w:right w:val="nil"/>
            </w:tcBorders>
            <w:shd w:val="clear" w:color="auto" w:fill="auto"/>
            <w:noWrap/>
            <w:vAlign w:val="bottom"/>
            <w:hideMark/>
          </w:tcPr>
          <w:p w14:paraId="228560A3"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13.8</w:t>
            </w:r>
          </w:p>
        </w:tc>
        <w:tc>
          <w:tcPr>
            <w:tcW w:w="992" w:type="dxa"/>
            <w:tcBorders>
              <w:top w:val="nil"/>
              <w:left w:val="nil"/>
              <w:bottom w:val="nil"/>
              <w:right w:val="nil"/>
            </w:tcBorders>
            <w:shd w:val="clear" w:color="auto" w:fill="auto"/>
            <w:noWrap/>
            <w:vAlign w:val="bottom"/>
            <w:hideMark/>
          </w:tcPr>
          <w:p w14:paraId="71D90CD4"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-0.775</w:t>
            </w:r>
          </w:p>
        </w:tc>
      </w:tr>
      <w:tr w:rsidR="00781D9E" w:rsidRPr="00F738CD" w14:paraId="65AA828D" w14:textId="77777777" w:rsidTr="00D9676B">
        <w:trPr>
          <w:trHeight w:val="264"/>
        </w:trPr>
        <w:tc>
          <w:tcPr>
            <w:tcW w:w="521" w:type="dxa"/>
            <w:tcBorders>
              <w:top w:val="nil"/>
              <w:left w:val="nil"/>
              <w:bottom w:val="nil"/>
              <w:right w:val="nil"/>
            </w:tcBorders>
            <w:shd w:val="clear" w:color="auto" w:fill="auto"/>
            <w:noWrap/>
            <w:vAlign w:val="bottom"/>
            <w:hideMark/>
          </w:tcPr>
          <w:p w14:paraId="3056C723"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8</w:t>
            </w:r>
          </w:p>
        </w:tc>
        <w:tc>
          <w:tcPr>
            <w:tcW w:w="5444" w:type="dxa"/>
            <w:tcBorders>
              <w:top w:val="nil"/>
              <w:left w:val="nil"/>
              <w:bottom w:val="nil"/>
              <w:right w:val="nil"/>
            </w:tcBorders>
            <w:shd w:val="clear" w:color="auto" w:fill="auto"/>
            <w:noWrap/>
            <w:vAlign w:val="bottom"/>
            <w:hideMark/>
          </w:tcPr>
          <w:p w14:paraId="0C2247E9"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Phagosome Formation</w:t>
            </w:r>
          </w:p>
        </w:tc>
        <w:tc>
          <w:tcPr>
            <w:tcW w:w="1559" w:type="dxa"/>
            <w:tcBorders>
              <w:top w:val="nil"/>
              <w:left w:val="nil"/>
              <w:bottom w:val="nil"/>
              <w:right w:val="nil"/>
            </w:tcBorders>
            <w:shd w:val="clear" w:color="auto" w:fill="auto"/>
            <w:noWrap/>
            <w:vAlign w:val="bottom"/>
            <w:hideMark/>
          </w:tcPr>
          <w:p w14:paraId="1A2D5FFB"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12.9</w:t>
            </w:r>
          </w:p>
        </w:tc>
        <w:tc>
          <w:tcPr>
            <w:tcW w:w="992" w:type="dxa"/>
            <w:tcBorders>
              <w:top w:val="nil"/>
              <w:left w:val="nil"/>
              <w:bottom w:val="nil"/>
              <w:right w:val="nil"/>
            </w:tcBorders>
            <w:shd w:val="clear" w:color="auto" w:fill="auto"/>
            <w:noWrap/>
            <w:vAlign w:val="bottom"/>
            <w:hideMark/>
          </w:tcPr>
          <w:p w14:paraId="59C7EBB6"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4.583</w:t>
            </w:r>
          </w:p>
        </w:tc>
      </w:tr>
      <w:tr w:rsidR="00781D9E" w:rsidRPr="00F738CD" w14:paraId="4421F555" w14:textId="77777777" w:rsidTr="00D9676B">
        <w:trPr>
          <w:trHeight w:val="264"/>
        </w:trPr>
        <w:tc>
          <w:tcPr>
            <w:tcW w:w="521" w:type="dxa"/>
            <w:tcBorders>
              <w:top w:val="nil"/>
              <w:left w:val="nil"/>
              <w:right w:val="nil"/>
            </w:tcBorders>
            <w:shd w:val="clear" w:color="auto" w:fill="auto"/>
            <w:noWrap/>
            <w:vAlign w:val="bottom"/>
            <w:hideMark/>
          </w:tcPr>
          <w:p w14:paraId="595F4878"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9</w:t>
            </w:r>
          </w:p>
        </w:tc>
        <w:tc>
          <w:tcPr>
            <w:tcW w:w="5444" w:type="dxa"/>
            <w:tcBorders>
              <w:top w:val="nil"/>
              <w:left w:val="nil"/>
              <w:right w:val="nil"/>
            </w:tcBorders>
            <w:shd w:val="clear" w:color="auto" w:fill="auto"/>
            <w:noWrap/>
            <w:vAlign w:val="bottom"/>
            <w:hideMark/>
          </w:tcPr>
          <w:p w14:paraId="376BF6FD"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Macrophage Alternative Activation Signaling Pathway</w:t>
            </w:r>
          </w:p>
        </w:tc>
        <w:tc>
          <w:tcPr>
            <w:tcW w:w="1559" w:type="dxa"/>
            <w:tcBorders>
              <w:top w:val="nil"/>
              <w:left w:val="nil"/>
              <w:right w:val="nil"/>
            </w:tcBorders>
            <w:shd w:val="clear" w:color="auto" w:fill="auto"/>
            <w:noWrap/>
            <w:vAlign w:val="bottom"/>
            <w:hideMark/>
          </w:tcPr>
          <w:p w14:paraId="43EF281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12.4</w:t>
            </w:r>
          </w:p>
        </w:tc>
        <w:tc>
          <w:tcPr>
            <w:tcW w:w="992" w:type="dxa"/>
            <w:tcBorders>
              <w:top w:val="nil"/>
              <w:left w:val="nil"/>
              <w:right w:val="nil"/>
            </w:tcBorders>
            <w:shd w:val="clear" w:color="auto" w:fill="auto"/>
            <w:noWrap/>
            <w:vAlign w:val="bottom"/>
            <w:hideMark/>
          </w:tcPr>
          <w:p w14:paraId="48E2E96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2.496</w:t>
            </w:r>
          </w:p>
        </w:tc>
      </w:tr>
      <w:tr w:rsidR="00781D9E" w:rsidRPr="00F738CD" w14:paraId="442C9C9F" w14:textId="77777777" w:rsidTr="00D9676B">
        <w:trPr>
          <w:trHeight w:val="264"/>
        </w:trPr>
        <w:tc>
          <w:tcPr>
            <w:tcW w:w="521" w:type="dxa"/>
            <w:tcBorders>
              <w:top w:val="nil"/>
              <w:left w:val="nil"/>
              <w:bottom w:val="single" w:sz="4" w:space="0" w:color="auto"/>
              <w:right w:val="nil"/>
            </w:tcBorders>
            <w:shd w:val="clear" w:color="auto" w:fill="auto"/>
            <w:noWrap/>
            <w:vAlign w:val="bottom"/>
            <w:hideMark/>
          </w:tcPr>
          <w:p w14:paraId="65CD8595"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10</w:t>
            </w:r>
          </w:p>
        </w:tc>
        <w:tc>
          <w:tcPr>
            <w:tcW w:w="5444" w:type="dxa"/>
            <w:tcBorders>
              <w:top w:val="nil"/>
              <w:left w:val="nil"/>
              <w:bottom w:val="single" w:sz="4" w:space="0" w:color="auto"/>
              <w:right w:val="nil"/>
            </w:tcBorders>
            <w:shd w:val="clear" w:color="auto" w:fill="auto"/>
            <w:noWrap/>
            <w:vAlign w:val="bottom"/>
            <w:hideMark/>
          </w:tcPr>
          <w:p w14:paraId="188A9ED1" w14:textId="77777777" w:rsidR="00781D9E" w:rsidRPr="00F738CD" w:rsidRDefault="00781D9E" w:rsidP="00D9676B">
            <w:pPr>
              <w:widowControl/>
              <w:spacing w:line="480" w:lineRule="auto"/>
              <w:jc w:val="left"/>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Role of Osteoclasts in Rheumatoid Arthritis Signaling Pathway</w:t>
            </w:r>
          </w:p>
        </w:tc>
        <w:tc>
          <w:tcPr>
            <w:tcW w:w="1559" w:type="dxa"/>
            <w:tcBorders>
              <w:top w:val="nil"/>
              <w:left w:val="nil"/>
              <w:bottom w:val="single" w:sz="4" w:space="0" w:color="auto"/>
              <w:right w:val="nil"/>
            </w:tcBorders>
            <w:shd w:val="clear" w:color="auto" w:fill="auto"/>
            <w:noWrap/>
            <w:vAlign w:val="bottom"/>
            <w:hideMark/>
          </w:tcPr>
          <w:p w14:paraId="18FB6ACE"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12.1</w:t>
            </w:r>
          </w:p>
        </w:tc>
        <w:tc>
          <w:tcPr>
            <w:tcW w:w="992" w:type="dxa"/>
            <w:tcBorders>
              <w:top w:val="nil"/>
              <w:left w:val="nil"/>
              <w:bottom w:val="single" w:sz="4" w:space="0" w:color="auto"/>
              <w:right w:val="nil"/>
            </w:tcBorders>
            <w:shd w:val="clear" w:color="auto" w:fill="auto"/>
            <w:noWrap/>
            <w:vAlign w:val="bottom"/>
            <w:hideMark/>
          </w:tcPr>
          <w:p w14:paraId="003D2121" w14:textId="77777777" w:rsidR="00781D9E" w:rsidRPr="00F738CD" w:rsidRDefault="00781D9E" w:rsidP="00D9676B">
            <w:pPr>
              <w:widowControl/>
              <w:spacing w:line="480" w:lineRule="auto"/>
              <w:jc w:val="center"/>
              <w:rPr>
                <w:rFonts w:ascii="Times New Roman" w:eastAsia="ＭＳ Ｐゴシック" w:hAnsi="Times New Roman" w:cs="Times New Roman"/>
                <w:kern w:val="0"/>
                <w:sz w:val="20"/>
                <w:szCs w:val="20"/>
                <w:lang w:bidi="th-TH"/>
              </w:rPr>
            </w:pPr>
            <w:r w:rsidRPr="00F738CD">
              <w:rPr>
                <w:rFonts w:ascii="Times New Roman" w:eastAsia="ＭＳ Ｐゴシック" w:hAnsi="Times New Roman" w:cs="Times New Roman"/>
                <w:kern w:val="0"/>
                <w:sz w:val="20"/>
                <w:szCs w:val="20"/>
                <w:lang w:bidi="th-TH"/>
              </w:rPr>
              <w:t>3.207</w:t>
            </w:r>
          </w:p>
        </w:tc>
      </w:tr>
    </w:tbl>
    <w:p w14:paraId="7E814AFD" w14:textId="3D98BC94" w:rsidR="00781D9E" w:rsidRPr="00F738CD" w:rsidRDefault="00781D9E" w:rsidP="00781D9E">
      <w:pPr>
        <w:pStyle w:val="Paragraph"/>
        <w:spacing w:line="480" w:lineRule="auto"/>
        <w:jc w:val="both"/>
        <w:rPr>
          <w:sz w:val="18"/>
        </w:rPr>
      </w:pPr>
      <w:r w:rsidRPr="00F738CD">
        <w:rPr>
          <w:sz w:val="18"/>
        </w:rPr>
        <w:t xml:space="preserve">A positive z-score suggests that the pathway was upregulated and a negative one suggests that the pathway was downregulated. ND indicates </w:t>
      </w:r>
      <w:r w:rsidR="00FD4E3F" w:rsidRPr="00F738CD">
        <w:rPr>
          <w:sz w:val="18"/>
        </w:rPr>
        <w:t xml:space="preserve">that the </w:t>
      </w:r>
      <w:r w:rsidRPr="00F738CD">
        <w:rPr>
          <w:sz w:val="18"/>
        </w:rPr>
        <w:t xml:space="preserve">direction of the pathway regulation </w:t>
      </w:r>
      <w:r w:rsidR="00FD4E3F" w:rsidRPr="00F738CD">
        <w:rPr>
          <w:sz w:val="18"/>
        </w:rPr>
        <w:t>could not</w:t>
      </w:r>
      <w:r w:rsidRPr="00F738CD">
        <w:rPr>
          <w:sz w:val="18"/>
        </w:rPr>
        <w:t xml:space="preserve"> be determined.</w:t>
      </w:r>
    </w:p>
    <w:p w14:paraId="598BD871" w14:textId="19D11318" w:rsidR="009E7D20" w:rsidRPr="00F738CD" w:rsidRDefault="00897B43" w:rsidP="00F85810">
      <w:pPr>
        <w:spacing w:line="480" w:lineRule="auto"/>
        <w:rPr>
          <w:rFonts w:ascii="Times New Roman" w:hAnsi="Times New Roman" w:cs="Times New Roman"/>
        </w:rPr>
      </w:pPr>
      <w:r w:rsidRPr="00F738CD">
        <w:rPr>
          <w:rFonts w:ascii="Times New Roman" w:eastAsia="ＭＳ 明朝" w:hAnsi="Times New Roman" w:cs="Times New Roman"/>
          <w:kern w:val="0"/>
          <w:sz w:val="18"/>
          <w:szCs w:val="24"/>
        </w:rPr>
        <w:t>DEG, differentially expressed gene; IL, interleukin; IPA, Ingenuity Pathway Analysis; ND, not determined; PD-L1, programmed death</w:t>
      </w:r>
      <w:r w:rsidR="00D02D31" w:rsidRPr="00F738CD">
        <w:rPr>
          <w:rFonts w:ascii="Times New Roman" w:eastAsia="ＭＳ 明朝" w:hAnsi="Times New Roman" w:cs="Times New Roman"/>
          <w:kern w:val="0"/>
          <w:sz w:val="18"/>
          <w:szCs w:val="24"/>
        </w:rPr>
        <w:t>-</w:t>
      </w:r>
      <w:r w:rsidRPr="00F738CD">
        <w:rPr>
          <w:rFonts w:ascii="Times New Roman" w:eastAsia="ＭＳ 明朝" w:hAnsi="Times New Roman" w:cs="Times New Roman"/>
          <w:kern w:val="0"/>
          <w:sz w:val="18"/>
          <w:szCs w:val="24"/>
        </w:rPr>
        <w:t>ligand</w:t>
      </w:r>
      <w:r w:rsidR="00D02D31" w:rsidRPr="00F738CD">
        <w:rPr>
          <w:rFonts w:ascii="Times New Roman" w:eastAsia="ＭＳ 明朝" w:hAnsi="Times New Roman" w:cs="Times New Roman"/>
          <w:kern w:val="0"/>
          <w:sz w:val="18"/>
          <w:szCs w:val="24"/>
        </w:rPr>
        <w:t xml:space="preserve"> </w:t>
      </w:r>
      <w:r w:rsidRPr="00F738CD">
        <w:rPr>
          <w:rFonts w:ascii="Times New Roman" w:eastAsia="ＭＳ 明朝" w:hAnsi="Times New Roman" w:cs="Times New Roman"/>
          <w:kern w:val="0"/>
          <w:sz w:val="18"/>
          <w:szCs w:val="24"/>
        </w:rPr>
        <w:t>1</w:t>
      </w:r>
      <w:r w:rsidR="00FD4E3F" w:rsidRPr="00F738CD">
        <w:rPr>
          <w:rFonts w:ascii="Times New Roman" w:eastAsia="ＭＳ 明朝" w:hAnsi="Times New Roman" w:cs="Times New Roman"/>
          <w:kern w:val="0"/>
          <w:sz w:val="18"/>
          <w:szCs w:val="24"/>
        </w:rPr>
        <w:t>.</w:t>
      </w:r>
    </w:p>
    <w:bookmarkEnd w:id="0"/>
    <w:p w14:paraId="78BD6BDE" w14:textId="4489F603" w:rsidR="00540CB8" w:rsidRDefault="00540CB8">
      <w:pPr>
        <w:widowControl/>
        <w:jc w:val="left"/>
        <w:rPr>
          <w:rFonts w:ascii="Arial" w:hAnsi="Arial" w:cs="Arial"/>
        </w:rPr>
      </w:pPr>
      <w:r>
        <w:rPr>
          <w:rFonts w:ascii="Arial" w:hAnsi="Arial" w:cs="Arial"/>
        </w:rPr>
        <w:br w:type="page"/>
      </w:r>
    </w:p>
    <w:p w14:paraId="10755378" w14:textId="27526D36" w:rsidR="00540CB8" w:rsidRPr="00D42E52" w:rsidRDefault="00540CB8" w:rsidP="00540CB8">
      <w:pPr>
        <w:widowControl/>
        <w:spacing w:line="480" w:lineRule="auto"/>
        <w:rPr>
          <w:rFonts w:ascii="Times New Roman" w:eastAsia="Meiryo UI" w:hAnsi="Times New Roman" w:cs="Times New Roman"/>
          <w:b/>
          <w:bCs/>
          <w:sz w:val="24"/>
          <w:szCs w:val="24"/>
        </w:rPr>
      </w:pPr>
      <w:r w:rsidRPr="00D42E52">
        <w:rPr>
          <w:rFonts w:ascii="Times New Roman" w:eastAsia="Meiryo UI" w:hAnsi="Times New Roman" w:cs="Times New Roman"/>
          <w:b/>
          <w:bCs/>
          <w:sz w:val="24"/>
          <w:szCs w:val="24"/>
        </w:rPr>
        <w:lastRenderedPageBreak/>
        <w:t>Supplementary</w:t>
      </w:r>
      <w:r w:rsidRPr="00D42E52">
        <w:rPr>
          <w:rFonts w:ascii="Times New Roman" w:eastAsia="Meiryo UI" w:hAnsi="Times New Roman" w:cs="Times New Roman" w:hint="eastAsia"/>
          <w:b/>
          <w:bCs/>
          <w:sz w:val="24"/>
          <w:szCs w:val="24"/>
        </w:rPr>
        <w:t xml:space="preserve"> </w:t>
      </w:r>
      <w:r w:rsidRPr="00D42E52">
        <w:rPr>
          <w:rFonts w:ascii="Times New Roman" w:eastAsia="Meiryo UI" w:hAnsi="Times New Roman" w:cs="Times New Roman"/>
          <w:b/>
          <w:bCs/>
          <w:sz w:val="24"/>
          <w:szCs w:val="24"/>
        </w:rPr>
        <w:t>F</w:t>
      </w:r>
      <w:r w:rsidRPr="00D42E52">
        <w:rPr>
          <w:rFonts w:ascii="Times New Roman" w:eastAsia="Meiryo UI" w:hAnsi="Times New Roman" w:cs="Times New Roman" w:hint="eastAsia"/>
          <w:b/>
          <w:bCs/>
          <w:sz w:val="24"/>
          <w:szCs w:val="24"/>
        </w:rPr>
        <w:t>igure</w:t>
      </w:r>
      <w:r w:rsidR="009D2E34">
        <w:rPr>
          <w:rFonts w:ascii="Times New Roman" w:eastAsia="Meiryo UI" w:hAnsi="Times New Roman" w:cs="Times New Roman" w:hint="eastAsia"/>
          <w:b/>
          <w:bCs/>
          <w:sz w:val="24"/>
          <w:szCs w:val="24"/>
        </w:rPr>
        <w:t>s</w:t>
      </w:r>
    </w:p>
    <w:p w14:paraId="4DD63802" w14:textId="7D80A241" w:rsidR="000E64FB" w:rsidRPr="00067DAC" w:rsidRDefault="000E64FB" w:rsidP="000E64FB">
      <w:pPr>
        <w:pStyle w:val="TableFooterText"/>
        <w:spacing w:line="480" w:lineRule="auto"/>
        <w:ind w:left="0" w:firstLine="0"/>
        <w:jc w:val="both"/>
        <w:rPr>
          <w:sz w:val="21"/>
          <w:szCs w:val="21"/>
        </w:rPr>
      </w:pPr>
      <w:r w:rsidRPr="00D42E52">
        <w:rPr>
          <w:b/>
          <w:bCs/>
          <w:sz w:val="21"/>
          <w:szCs w:val="21"/>
        </w:rPr>
        <w:t xml:space="preserve">Figure </w:t>
      </w:r>
      <w:r w:rsidRPr="00D42E52">
        <w:rPr>
          <w:rFonts w:hint="eastAsia"/>
          <w:b/>
          <w:bCs/>
          <w:sz w:val="21"/>
          <w:szCs w:val="21"/>
        </w:rPr>
        <w:t>S</w:t>
      </w:r>
      <w:r w:rsidRPr="00D42E52">
        <w:rPr>
          <w:b/>
          <w:bCs/>
          <w:sz w:val="21"/>
          <w:szCs w:val="21"/>
        </w:rPr>
        <w:t>1. Effect of KHK2</w:t>
      </w:r>
      <w:r w:rsidRPr="00067DAC">
        <w:rPr>
          <w:b/>
          <w:bCs/>
          <w:sz w:val="21"/>
          <w:szCs w:val="21"/>
        </w:rPr>
        <w:t xml:space="preserve">455, </w:t>
      </w:r>
      <w:r w:rsidR="003C4BBE" w:rsidRPr="00067DAC">
        <w:rPr>
          <w:rFonts w:hint="eastAsia"/>
          <w:b/>
          <w:bCs/>
          <w:sz w:val="21"/>
          <w:szCs w:val="21"/>
        </w:rPr>
        <w:t>anti</w:t>
      </w:r>
      <w:r w:rsidR="003C4BBE" w:rsidRPr="00067DAC">
        <w:rPr>
          <w:b/>
          <w:bCs/>
          <w:sz w:val="20"/>
        </w:rPr>
        <w:t>–</w:t>
      </w:r>
      <w:r w:rsidR="003C4BBE" w:rsidRPr="00067DAC">
        <w:rPr>
          <w:rFonts w:hint="eastAsia"/>
          <w:b/>
          <w:bCs/>
          <w:sz w:val="20"/>
        </w:rPr>
        <w:t>CTLA-4 antibody</w:t>
      </w:r>
      <w:r w:rsidRPr="00067DAC">
        <w:rPr>
          <w:b/>
          <w:bCs/>
          <w:sz w:val="21"/>
          <w:szCs w:val="21"/>
        </w:rPr>
        <w:t xml:space="preserve">, and their combination on the growth of </w:t>
      </w:r>
      <w:r w:rsidRPr="00067DAC">
        <w:rPr>
          <w:rFonts w:hint="eastAsia"/>
          <w:b/>
          <w:bCs/>
          <w:sz w:val="21"/>
          <w:szCs w:val="21"/>
        </w:rPr>
        <w:t>mouse model bearing Pan02</w:t>
      </w:r>
      <w:r w:rsidR="00D92921" w:rsidRPr="00067DAC">
        <w:rPr>
          <w:rFonts w:hint="eastAsia"/>
          <w:b/>
          <w:bCs/>
          <w:sz w:val="21"/>
          <w:szCs w:val="21"/>
        </w:rPr>
        <w:t xml:space="preserve"> and</w:t>
      </w:r>
      <w:r w:rsidRPr="00067DAC">
        <w:rPr>
          <w:rFonts w:hint="eastAsia"/>
          <w:b/>
          <w:bCs/>
          <w:sz w:val="21"/>
          <w:szCs w:val="21"/>
        </w:rPr>
        <w:t xml:space="preserve"> 4T1-Luc</w:t>
      </w:r>
      <w:r w:rsidR="0017145E" w:rsidRPr="00067DAC">
        <w:rPr>
          <w:rFonts w:hint="eastAsia"/>
          <w:b/>
          <w:bCs/>
          <w:sz w:val="21"/>
          <w:szCs w:val="21"/>
        </w:rPr>
        <w:t>.</w:t>
      </w:r>
    </w:p>
    <w:p w14:paraId="5B4CC324" w14:textId="49DA6405" w:rsidR="0030394F" w:rsidRPr="00067DAC" w:rsidRDefault="00EA3427" w:rsidP="0030394F">
      <w:pPr>
        <w:pStyle w:val="TableFooterText"/>
        <w:spacing w:line="480" w:lineRule="auto"/>
        <w:ind w:left="0" w:firstLine="0"/>
        <w:jc w:val="both"/>
        <w:rPr>
          <w:sz w:val="20"/>
        </w:rPr>
      </w:pPr>
      <w:r w:rsidRPr="00067DAC">
        <w:rPr>
          <w:sz w:val="20"/>
        </w:rPr>
        <w:t xml:space="preserve">Tumor </w:t>
      </w:r>
      <w:r w:rsidRPr="00067DAC">
        <w:rPr>
          <w:rFonts w:hint="eastAsia"/>
          <w:sz w:val="20"/>
        </w:rPr>
        <w:t xml:space="preserve">growth curves in </w:t>
      </w:r>
      <w:r w:rsidRPr="00067DAC">
        <w:rPr>
          <w:sz w:val="20"/>
        </w:rPr>
        <w:t>each</w:t>
      </w:r>
      <w:r w:rsidRPr="00067DAC">
        <w:rPr>
          <w:rFonts w:hint="eastAsia"/>
          <w:sz w:val="20"/>
        </w:rPr>
        <w:t xml:space="preserve"> group</w:t>
      </w:r>
      <w:r w:rsidRPr="00067DAC">
        <w:rPr>
          <w:sz w:val="20"/>
        </w:rPr>
        <w:t>.</w:t>
      </w:r>
      <w:r w:rsidRPr="00067DAC">
        <w:rPr>
          <w:rFonts w:hint="eastAsia"/>
          <w:sz w:val="20"/>
        </w:rPr>
        <w:t xml:space="preserve"> </w:t>
      </w:r>
      <w:r w:rsidR="00822206" w:rsidRPr="00067DAC">
        <w:rPr>
          <w:sz w:val="20"/>
        </w:rPr>
        <w:t>Day 0 was defined as the first day of treatment.</w:t>
      </w:r>
      <w:r w:rsidR="00822206" w:rsidRPr="00067DAC">
        <w:rPr>
          <w:rFonts w:eastAsia="游ゴシック" w:hint="eastAsia"/>
          <w:sz w:val="20"/>
        </w:rPr>
        <w:t xml:space="preserve"> </w:t>
      </w:r>
      <w:r w:rsidRPr="00067DAC">
        <w:rPr>
          <w:sz w:val="20"/>
        </w:rPr>
        <w:t>Each plot represents the mean ± standard error of the tumor volume (mm</w:t>
      </w:r>
      <w:r w:rsidRPr="00067DAC">
        <w:rPr>
          <w:sz w:val="20"/>
          <w:vertAlign w:val="superscript"/>
        </w:rPr>
        <w:t>3</w:t>
      </w:r>
      <w:r w:rsidRPr="00067DAC">
        <w:rPr>
          <w:sz w:val="20"/>
        </w:rPr>
        <w:t>)</w:t>
      </w:r>
      <w:r w:rsidRPr="00067DAC">
        <w:rPr>
          <w:rFonts w:hint="eastAsia"/>
          <w:sz w:val="20"/>
        </w:rPr>
        <w:t xml:space="preserve"> </w:t>
      </w:r>
      <w:r w:rsidR="0030394F" w:rsidRPr="00067DAC">
        <w:rPr>
          <w:rFonts w:hint="eastAsia"/>
          <w:sz w:val="20"/>
        </w:rPr>
        <w:t xml:space="preserve">(A) The control group was administered MC400, and KHK2455 groups were administered KHK2455 </w:t>
      </w:r>
      <w:r w:rsidR="0030394F" w:rsidRPr="00067DAC">
        <w:rPr>
          <w:sz w:val="20"/>
        </w:rPr>
        <w:t>at a</w:t>
      </w:r>
      <w:r w:rsidR="0030394F" w:rsidRPr="00067DAC">
        <w:rPr>
          <w:rFonts w:hint="eastAsia"/>
          <w:sz w:val="20"/>
        </w:rPr>
        <w:t xml:space="preserve"> </w:t>
      </w:r>
      <w:r w:rsidR="0030394F" w:rsidRPr="00067DAC">
        <w:rPr>
          <w:sz w:val="20"/>
        </w:rPr>
        <w:t xml:space="preserve">dose of </w:t>
      </w:r>
      <w:r w:rsidR="0030394F" w:rsidRPr="00067DAC">
        <w:rPr>
          <w:rFonts w:hint="eastAsia"/>
          <w:sz w:val="20"/>
        </w:rPr>
        <w:t xml:space="preserve">1mg/kg or </w:t>
      </w:r>
      <w:r w:rsidR="0030394F" w:rsidRPr="00067DAC">
        <w:rPr>
          <w:sz w:val="20"/>
        </w:rPr>
        <w:t>10 mg/kg</w:t>
      </w:r>
      <w:r w:rsidRPr="00067DAC">
        <w:rPr>
          <w:rFonts w:hint="eastAsia"/>
          <w:sz w:val="20"/>
        </w:rPr>
        <w:t xml:space="preserve"> </w:t>
      </w:r>
      <w:r w:rsidRPr="00067DAC">
        <w:rPr>
          <w:sz w:val="20"/>
        </w:rPr>
        <w:t>(n</w:t>
      </w:r>
      <w:r w:rsidRPr="00067DAC">
        <w:rPr>
          <w:rFonts w:hint="eastAsia"/>
          <w:sz w:val="20"/>
        </w:rPr>
        <w:t xml:space="preserve"> </w:t>
      </w:r>
      <w:r w:rsidRPr="00067DAC">
        <w:rPr>
          <w:sz w:val="20"/>
        </w:rPr>
        <w:t>=</w:t>
      </w:r>
      <w:r w:rsidRPr="00067DAC">
        <w:rPr>
          <w:rFonts w:hint="eastAsia"/>
          <w:sz w:val="20"/>
        </w:rPr>
        <w:t xml:space="preserve"> </w:t>
      </w:r>
      <w:r w:rsidRPr="00067DAC">
        <w:rPr>
          <w:sz w:val="20"/>
        </w:rPr>
        <w:t>1</w:t>
      </w:r>
      <w:r w:rsidRPr="00067DAC">
        <w:rPr>
          <w:rFonts w:hint="eastAsia"/>
          <w:sz w:val="20"/>
        </w:rPr>
        <w:t>0</w:t>
      </w:r>
      <w:r w:rsidRPr="00067DAC">
        <w:rPr>
          <w:sz w:val="20"/>
        </w:rPr>
        <w:t>/group)</w:t>
      </w:r>
      <w:r w:rsidR="0030394F" w:rsidRPr="00067DAC">
        <w:rPr>
          <w:rFonts w:hint="eastAsia"/>
          <w:sz w:val="20"/>
        </w:rPr>
        <w:t xml:space="preserve">. (B) The control group </w:t>
      </w:r>
      <w:r w:rsidR="0030394F" w:rsidRPr="00067DAC">
        <w:rPr>
          <w:sz w:val="20"/>
        </w:rPr>
        <w:t xml:space="preserve">was administered both </w:t>
      </w:r>
      <w:r w:rsidR="0030394F" w:rsidRPr="00067DAC">
        <w:rPr>
          <w:rFonts w:hint="eastAsia"/>
          <w:sz w:val="20"/>
        </w:rPr>
        <w:t xml:space="preserve">0.1 v/v% </w:t>
      </w:r>
      <w:r w:rsidR="0030394F" w:rsidRPr="00067DAC">
        <w:rPr>
          <w:sz w:val="20"/>
        </w:rPr>
        <w:t>ethanol and the isotype control antibody, the KHK2455 group was administered both KHK2455 and the isotype control antibody, the anti–</w:t>
      </w:r>
      <w:r w:rsidR="0030394F" w:rsidRPr="00067DAC">
        <w:rPr>
          <w:rFonts w:hint="eastAsia"/>
          <w:sz w:val="20"/>
        </w:rPr>
        <w:t>CTLA-4</w:t>
      </w:r>
      <w:r w:rsidR="0030394F" w:rsidRPr="00067DAC">
        <w:rPr>
          <w:sz w:val="20"/>
        </w:rPr>
        <w:t xml:space="preserve"> group was administered both </w:t>
      </w:r>
      <w:r w:rsidR="0030394F" w:rsidRPr="00067DAC">
        <w:rPr>
          <w:rFonts w:hint="eastAsia"/>
          <w:sz w:val="20"/>
        </w:rPr>
        <w:t xml:space="preserve">0.1 v/v% </w:t>
      </w:r>
      <w:r w:rsidR="0030394F" w:rsidRPr="00067DAC">
        <w:rPr>
          <w:sz w:val="20"/>
        </w:rPr>
        <w:t>ethanol and anti–</w:t>
      </w:r>
      <w:r w:rsidR="0030394F" w:rsidRPr="00067DAC">
        <w:rPr>
          <w:rFonts w:hint="eastAsia"/>
          <w:sz w:val="20"/>
        </w:rPr>
        <w:t>CTLA-4</w:t>
      </w:r>
      <w:r w:rsidR="0030394F" w:rsidRPr="00067DAC">
        <w:rPr>
          <w:sz w:val="20"/>
        </w:rPr>
        <w:t xml:space="preserve"> antibody, and the combination group was administered both KHK2455 and anti–</w:t>
      </w:r>
      <w:r w:rsidR="0030394F" w:rsidRPr="00067DAC">
        <w:rPr>
          <w:rFonts w:hint="eastAsia"/>
          <w:sz w:val="20"/>
        </w:rPr>
        <w:t>CTLA-4</w:t>
      </w:r>
      <w:r w:rsidR="0030394F" w:rsidRPr="00067DAC">
        <w:rPr>
          <w:sz w:val="20"/>
        </w:rPr>
        <w:t xml:space="preserve"> antibody</w:t>
      </w:r>
      <w:r w:rsidRPr="00067DAC">
        <w:rPr>
          <w:rFonts w:hint="eastAsia"/>
          <w:sz w:val="20"/>
        </w:rPr>
        <w:t xml:space="preserve"> </w:t>
      </w:r>
      <w:r w:rsidRPr="00067DAC">
        <w:rPr>
          <w:sz w:val="20"/>
        </w:rPr>
        <w:t>(n</w:t>
      </w:r>
      <w:r w:rsidRPr="00067DAC">
        <w:rPr>
          <w:rFonts w:hint="eastAsia"/>
          <w:sz w:val="20"/>
        </w:rPr>
        <w:t xml:space="preserve"> </w:t>
      </w:r>
      <w:r w:rsidRPr="00067DAC">
        <w:rPr>
          <w:sz w:val="20"/>
        </w:rPr>
        <w:t>=</w:t>
      </w:r>
      <w:r w:rsidRPr="00067DAC">
        <w:rPr>
          <w:rFonts w:hint="eastAsia"/>
          <w:sz w:val="20"/>
        </w:rPr>
        <w:t xml:space="preserve"> 20</w:t>
      </w:r>
      <w:r w:rsidRPr="00067DAC">
        <w:rPr>
          <w:sz w:val="20"/>
        </w:rPr>
        <w:t>/group)</w:t>
      </w:r>
      <w:r w:rsidR="0030394F" w:rsidRPr="00067DAC">
        <w:rPr>
          <w:sz w:val="20"/>
        </w:rPr>
        <w:t>.</w:t>
      </w:r>
      <w:r w:rsidR="000E64FB" w:rsidRPr="00067DAC">
        <w:rPr>
          <w:sz w:val="20"/>
        </w:rPr>
        <w:t xml:space="preserve"> </w:t>
      </w:r>
      <w:r w:rsidR="003C4BBE" w:rsidRPr="00067DAC">
        <w:rPr>
          <w:sz w:val="20"/>
        </w:rPr>
        <w:t xml:space="preserve">Differences in tumor volume between groups were assessed using the Wilcoxon rank-sum test, </w:t>
      </w:r>
      <w:bookmarkStart w:id="2" w:name="_Hlk211516559"/>
      <w:r w:rsidR="00B9759D" w:rsidRPr="00067DAC">
        <w:rPr>
          <w:rFonts w:hint="eastAsia"/>
          <w:sz w:val="20"/>
        </w:rPr>
        <w:t xml:space="preserve">and </w:t>
      </w:r>
      <w:r w:rsidR="003C4BBE" w:rsidRPr="00067DAC">
        <w:rPr>
          <w:i/>
          <w:iCs/>
          <w:sz w:val="20"/>
        </w:rPr>
        <w:t>P</w:t>
      </w:r>
      <w:r w:rsidR="003C4BBE" w:rsidRPr="00067DAC">
        <w:rPr>
          <w:sz w:val="20"/>
        </w:rPr>
        <w:t xml:space="preserve">-values </w:t>
      </w:r>
      <w:r w:rsidR="00B9759D" w:rsidRPr="00067DAC">
        <w:rPr>
          <w:rFonts w:hint="eastAsia"/>
          <w:sz w:val="20"/>
        </w:rPr>
        <w:t xml:space="preserve">were adjusted </w:t>
      </w:r>
      <w:r w:rsidR="003C4BBE" w:rsidRPr="00067DAC">
        <w:rPr>
          <w:sz w:val="20"/>
        </w:rPr>
        <w:t>for multiple comparisons</w:t>
      </w:r>
      <w:r w:rsidR="00B9759D" w:rsidRPr="00067DAC">
        <w:rPr>
          <w:rFonts w:hint="eastAsia"/>
          <w:sz w:val="20"/>
        </w:rPr>
        <w:t xml:space="preserve"> by Holm</w:t>
      </w:r>
      <w:r w:rsidR="00B9759D" w:rsidRPr="00067DAC">
        <w:rPr>
          <w:sz w:val="20"/>
        </w:rPr>
        <w:t>’</w:t>
      </w:r>
      <w:r w:rsidR="00B9759D" w:rsidRPr="00067DAC">
        <w:rPr>
          <w:rFonts w:hint="eastAsia"/>
          <w:sz w:val="20"/>
        </w:rPr>
        <w:t>s method</w:t>
      </w:r>
      <w:r w:rsidR="003C4BBE" w:rsidRPr="00067DAC">
        <w:rPr>
          <w:sz w:val="20"/>
        </w:rPr>
        <w:t>.</w:t>
      </w:r>
      <w:bookmarkEnd w:id="2"/>
      <w:r w:rsidR="00E12F02" w:rsidRPr="00067DAC">
        <w:rPr>
          <w:rFonts w:hint="eastAsia"/>
          <w:sz w:val="20"/>
        </w:rPr>
        <w:t xml:space="preserve"> </w:t>
      </w:r>
      <w:r w:rsidR="00B9759D" w:rsidRPr="00067DAC">
        <w:rPr>
          <w:rFonts w:hint="eastAsia"/>
          <w:sz w:val="20"/>
        </w:rPr>
        <w:t xml:space="preserve">*, ** indicate statistical significance at </w:t>
      </w:r>
      <w:r w:rsidR="00B9759D" w:rsidRPr="00067DAC">
        <w:rPr>
          <w:rFonts w:hint="eastAsia"/>
          <w:i/>
          <w:iCs/>
          <w:sz w:val="20"/>
        </w:rPr>
        <w:t>P</w:t>
      </w:r>
      <w:r w:rsidR="00B9759D" w:rsidRPr="00067DAC">
        <w:rPr>
          <w:rFonts w:hint="eastAsia"/>
          <w:sz w:val="20"/>
        </w:rPr>
        <w:t xml:space="preserve"> &lt; 0.05 and </w:t>
      </w:r>
      <w:r w:rsidR="00B9759D" w:rsidRPr="00067DAC">
        <w:rPr>
          <w:rFonts w:hint="eastAsia"/>
          <w:i/>
          <w:iCs/>
          <w:sz w:val="20"/>
        </w:rPr>
        <w:t>P</w:t>
      </w:r>
      <w:r w:rsidR="00B9759D" w:rsidRPr="00067DAC">
        <w:rPr>
          <w:rFonts w:hint="eastAsia"/>
          <w:sz w:val="20"/>
        </w:rPr>
        <w:t xml:space="preserve"> &lt; 0.01, respectively.</w:t>
      </w:r>
    </w:p>
    <w:p w14:paraId="2219D46B" w14:textId="45FB7D89" w:rsidR="00446AF8" w:rsidRPr="00067DAC" w:rsidRDefault="000E64FB" w:rsidP="00446AF8">
      <w:pPr>
        <w:pStyle w:val="TableFooterText"/>
        <w:spacing w:line="480" w:lineRule="auto"/>
        <w:ind w:left="400" w:hangingChars="200" w:hanging="400"/>
        <w:rPr>
          <w:rFonts w:eastAsia="Meiryo UI"/>
          <w:sz w:val="20"/>
        </w:rPr>
      </w:pPr>
      <w:r w:rsidRPr="00067DAC">
        <w:rPr>
          <w:rFonts w:eastAsia="Meiryo UI"/>
          <w:sz w:val="20"/>
        </w:rPr>
        <w:t xml:space="preserve">MC400, methylcellulose 400; </w:t>
      </w:r>
      <w:r w:rsidR="0030394F" w:rsidRPr="00067DAC">
        <w:rPr>
          <w:rFonts w:eastAsia="Meiryo UI" w:hint="eastAsia"/>
          <w:sz w:val="20"/>
        </w:rPr>
        <w:t xml:space="preserve">CTLA-4, cytotoxic T-lymphocyte-associated protein </w:t>
      </w:r>
      <w:r w:rsidR="00D42E52" w:rsidRPr="00067DAC">
        <w:rPr>
          <w:rFonts w:eastAsia="Meiryo UI"/>
          <w:sz w:val="20"/>
        </w:rPr>
        <w:t>4.</w:t>
      </w:r>
      <w:r w:rsidR="00446AF8" w:rsidRPr="00067DAC">
        <w:rPr>
          <w:rFonts w:eastAsia="Meiryo UI" w:hint="eastAsia"/>
          <w:sz w:val="20"/>
        </w:rPr>
        <w:t xml:space="preserve"> </w:t>
      </w:r>
    </w:p>
    <w:p w14:paraId="151A68AB" w14:textId="77777777" w:rsidR="002A6452" w:rsidRPr="00B225BB" w:rsidRDefault="002A6452" w:rsidP="002A6452">
      <w:pPr>
        <w:widowControl/>
        <w:spacing w:line="480" w:lineRule="auto"/>
        <w:jc w:val="center"/>
        <w:rPr>
          <w:rFonts w:ascii="Times New Roman" w:eastAsia="Meiryo UI" w:hAnsi="Times New Roman" w:cs="Times New Roman"/>
          <w:b/>
          <w:bCs/>
          <w:szCs w:val="21"/>
        </w:rPr>
      </w:pPr>
      <w:r w:rsidRPr="00B225BB">
        <w:rPr>
          <w:rFonts w:ascii="Times New Roman" w:eastAsia="Meiryo UI" w:hAnsi="Times New Roman" w:cs="Times New Roman"/>
          <w:b/>
          <w:bCs/>
          <w:noProof/>
          <w:szCs w:val="21"/>
          <w:lang w:val="en-IN" w:eastAsia="en-IN"/>
        </w:rPr>
        <w:lastRenderedPageBreak/>
        <w:drawing>
          <wp:anchor distT="0" distB="0" distL="114300" distR="114300" simplePos="0" relativeHeight="251661312" behindDoc="1" locked="0" layoutInCell="1" allowOverlap="1" wp14:anchorId="312E2856" wp14:editId="52CE3845">
            <wp:simplePos x="0" y="0"/>
            <wp:positionH relativeFrom="margin">
              <wp:posOffset>-86360</wp:posOffset>
            </wp:positionH>
            <wp:positionV relativeFrom="paragraph">
              <wp:posOffset>505460</wp:posOffset>
            </wp:positionV>
            <wp:extent cx="5644515" cy="2353310"/>
            <wp:effectExtent l="0" t="0" r="0" b="8890"/>
            <wp:wrapTight wrapText="bothSides">
              <wp:wrapPolygon edited="0">
                <wp:start x="0" y="0"/>
                <wp:lineTo x="0" y="21507"/>
                <wp:lineTo x="21505" y="21507"/>
                <wp:lineTo x="21505" y="0"/>
                <wp:lineTo x="0" y="0"/>
              </wp:wrapPolygon>
            </wp:wrapTight>
            <wp:docPr id="195235125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4515" cy="235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25BB">
        <w:rPr>
          <w:rFonts w:ascii="Times New Roman" w:eastAsia="Meiryo UI" w:hAnsi="Times New Roman" w:cs="Times New Roman" w:hint="eastAsia"/>
          <w:b/>
          <w:bCs/>
          <w:szCs w:val="21"/>
        </w:rPr>
        <w:t>Figure S1</w:t>
      </w:r>
    </w:p>
    <w:p w14:paraId="112DBF46" w14:textId="77777777" w:rsidR="002A6452" w:rsidRPr="00D42E52" w:rsidRDefault="002A6452" w:rsidP="00446AF8">
      <w:pPr>
        <w:pStyle w:val="TableFooterText"/>
        <w:spacing w:line="480" w:lineRule="auto"/>
        <w:ind w:left="400" w:hangingChars="200" w:hanging="400"/>
        <w:rPr>
          <w:rFonts w:eastAsia="Meiryo UI"/>
          <w:sz w:val="20"/>
        </w:rPr>
      </w:pPr>
    </w:p>
    <w:p w14:paraId="6FA0A3C5" w14:textId="77777777" w:rsidR="00446AF8" w:rsidRDefault="00446AF8" w:rsidP="000E64FB">
      <w:pPr>
        <w:widowControl/>
        <w:spacing w:line="480" w:lineRule="auto"/>
        <w:rPr>
          <w:rFonts w:ascii="Times New Roman" w:eastAsia="Meiryo UI" w:hAnsi="Times New Roman" w:cs="Times New Roman"/>
          <w:sz w:val="20"/>
          <w:szCs w:val="20"/>
        </w:rPr>
      </w:pPr>
    </w:p>
    <w:p w14:paraId="5C6E8BDB" w14:textId="77777777" w:rsidR="00467502" w:rsidRPr="00D42E52" w:rsidRDefault="00467502" w:rsidP="00467502">
      <w:pPr>
        <w:widowControl/>
        <w:spacing w:line="480" w:lineRule="auto"/>
        <w:rPr>
          <w:rFonts w:ascii="Times New Roman" w:hAnsi="Times New Roman" w:cs="Times New Roman"/>
          <w:b/>
          <w:bCs/>
          <w:szCs w:val="21"/>
        </w:rPr>
      </w:pPr>
      <w:r w:rsidRPr="00D42E52">
        <w:rPr>
          <w:rFonts w:ascii="Times New Roman" w:eastAsia="Meiryo UI" w:hAnsi="Times New Roman" w:cs="Times New Roman"/>
          <w:b/>
          <w:bCs/>
          <w:szCs w:val="21"/>
        </w:rPr>
        <w:t xml:space="preserve">Figure </w:t>
      </w:r>
      <w:r w:rsidRPr="004926EF">
        <w:rPr>
          <w:rFonts w:ascii="Times New Roman" w:eastAsia="Meiryo UI" w:hAnsi="Times New Roman" w:cs="Times New Roman"/>
          <w:b/>
          <w:bCs/>
          <w:szCs w:val="21"/>
        </w:rPr>
        <w:t>S</w:t>
      </w:r>
      <w:r w:rsidRPr="004926EF">
        <w:rPr>
          <w:rFonts w:ascii="Times New Roman" w:eastAsia="Meiryo UI" w:hAnsi="Times New Roman" w:cs="Times New Roman" w:hint="eastAsia"/>
          <w:b/>
          <w:bCs/>
          <w:szCs w:val="21"/>
        </w:rPr>
        <w:t>2</w:t>
      </w:r>
      <w:r w:rsidRPr="00D42E52">
        <w:rPr>
          <w:rFonts w:ascii="Times New Roman" w:eastAsia="Meiryo UI" w:hAnsi="Times New Roman" w:cs="Times New Roman"/>
          <w:b/>
          <w:bCs/>
          <w:szCs w:val="21"/>
        </w:rPr>
        <w:t>. IDO1 inhibitory activity of KHK2455 in C57BL/6J mice treated with IFN-</w:t>
      </w:r>
      <w:r w:rsidRPr="00D42E52">
        <w:rPr>
          <w:rFonts w:ascii="Times New Roman" w:eastAsia="Meiryo UI" w:hAnsi="Times New Roman" w:cs="Times New Roman"/>
          <w:szCs w:val="21"/>
        </w:rPr>
        <w:t xml:space="preserve">γ, and </w:t>
      </w:r>
      <w:proofErr w:type="spellStart"/>
      <w:r w:rsidRPr="00D42E52">
        <w:rPr>
          <w:rFonts w:ascii="Times New Roman" w:eastAsia="Meiryo UI" w:hAnsi="Times New Roman" w:cs="Times New Roman"/>
          <w:b/>
          <w:bCs/>
          <w:szCs w:val="21"/>
        </w:rPr>
        <w:t>Ifng</w:t>
      </w:r>
      <w:proofErr w:type="spellEnd"/>
      <w:r w:rsidRPr="00D42E52">
        <w:rPr>
          <w:rFonts w:ascii="Times New Roman" w:eastAsia="Meiryo UI" w:hAnsi="Times New Roman" w:cs="Times New Roman"/>
          <w:b/>
          <w:bCs/>
          <w:szCs w:val="21"/>
        </w:rPr>
        <w:t xml:space="preserve"> gene expression in mouse tumors treated with </w:t>
      </w:r>
      <w:r w:rsidRPr="00D42E52">
        <w:rPr>
          <w:rFonts w:ascii="Times New Roman" w:hAnsi="Times New Roman" w:cs="Times New Roman"/>
          <w:b/>
          <w:bCs/>
          <w:szCs w:val="24"/>
        </w:rPr>
        <w:t>KHK2455, anti–PD-L1 antibody, or their combination.</w:t>
      </w:r>
    </w:p>
    <w:p w14:paraId="17F82F0C" w14:textId="12C4A7AD" w:rsidR="00467502" w:rsidRPr="00D42E52" w:rsidRDefault="00467502" w:rsidP="00467502">
      <w:pPr>
        <w:widowControl/>
        <w:spacing w:line="480" w:lineRule="auto"/>
        <w:rPr>
          <w:rFonts w:ascii="Times New Roman" w:hAnsi="Times New Roman" w:cs="Times New Roman"/>
          <w:sz w:val="20"/>
        </w:rPr>
      </w:pPr>
      <w:r w:rsidRPr="00D42E52">
        <w:rPr>
          <w:rFonts w:ascii="Times New Roman" w:hAnsi="Times New Roman" w:cs="Times New Roman"/>
          <w:sz w:val="20"/>
        </w:rPr>
        <w:t xml:space="preserve">(A) </w:t>
      </w:r>
      <w:proofErr w:type="spellStart"/>
      <w:r w:rsidR="00E90BCD" w:rsidRPr="00D42E52">
        <w:rPr>
          <w:rFonts w:ascii="Times New Roman" w:hAnsi="Times New Roman" w:cs="Times New Roman"/>
          <w:sz w:val="20"/>
        </w:rPr>
        <w:t>Kyn</w:t>
      </w:r>
      <w:proofErr w:type="spellEnd"/>
      <w:r w:rsidR="00E90BCD" w:rsidRPr="00D42E52">
        <w:rPr>
          <w:rFonts w:ascii="Times New Roman" w:hAnsi="Times New Roman" w:cs="Times New Roman"/>
          <w:sz w:val="20"/>
        </w:rPr>
        <w:t xml:space="preserve"> concentration in plasma was measured. </w:t>
      </w:r>
      <w:r w:rsidRPr="00D42E52">
        <w:rPr>
          <w:rFonts w:ascii="Times New Roman" w:hAnsi="Times New Roman" w:cs="Times New Roman"/>
          <w:sz w:val="20"/>
        </w:rPr>
        <w:t xml:space="preserve">The control group was administered </w:t>
      </w:r>
      <w:r w:rsidRPr="00D42E52">
        <w:rPr>
          <w:rFonts w:ascii="Times New Roman" w:eastAsia="Meiryo UI" w:hAnsi="Times New Roman" w:cs="Times New Roman"/>
          <w:sz w:val="20"/>
          <w:szCs w:val="20"/>
        </w:rPr>
        <w:t xml:space="preserve">MC400, the IFN-γ group was administered IFN-γ, and KHK2455 + IFN-γ groups were administered both KHK2455 (0.01 – 10 mg/kg) and IFN-γ. </w:t>
      </w:r>
      <w:r w:rsidRPr="00D42E52">
        <w:rPr>
          <w:rFonts w:ascii="Times New Roman" w:hAnsi="Times New Roman" w:cs="Times New Roman"/>
          <w:sz w:val="20"/>
        </w:rPr>
        <w:t>The dots represent individual plasma specimens, and the bars indicate the mean values (n = 4/group).</w:t>
      </w:r>
      <w:r w:rsidRPr="00D42E52">
        <w:rPr>
          <w:rFonts w:ascii="Times New Roman" w:hAnsi="Times New Roman" w:cs="Times New Roman" w:hint="eastAsia"/>
          <w:sz w:val="20"/>
          <w:szCs w:val="20"/>
        </w:rPr>
        <w:t xml:space="preserve"> (</w:t>
      </w:r>
      <w:r w:rsidRPr="00D42E52">
        <w:rPr>
          <w:rFonts w:ascii="Times New Roman" w:hAnsi="Times New Roman" w:cs="Times New Roman"/>
          <w:sz w:val="20"/>
          <w:szCs w:val="20"/>
        </w:rPr>
        <w:t xml:space="preserve">B) </w:t>
      </w:r>
      <w:proofErr w:type="spellStart"/>
      <w:r w:rsidR="00E90BCD" w:rsidRPr="00E90BCD">
        <w:rPr>
          <w:rFonts w:ascii="Times New Roman" w:hAnsi="Times New Roman" w:cs="Times New Roman" w:hint="eastAsia"/>
          <w:i/>
          <w:iCs/>
          <w:sz w:val="20"/>
          <w:szCs w:val="20"/>
        </w:rPr>
        <w:t>Ifng</w:t>
      </w:r>
      <w:proofErr w:type="spellEnd"/>
      <w:r w:rsidR="00E90BCD">
        <w:rPr>
          <w:rFonts w:ascii="Times New Roman" w:hAnsi="Times New Roman" w:cs="Times New Roman" w:hint="eastAsia"/>
          <w:sz w:val="20"/>
          <w:szCs w:val="20"/>
        </w:rPr>
        <w:t xml:space="preserve"> gene expression in tumors. </w:t>
      </w:r>
      <w:r w:rsidRPr="00D42E52">
        <w:rPr>
          <w:rFonts w:ascii="Times New Roman" w:hAnsi="Times New Roman" w:cs="Times New Roman"/>
          <w:sz w:val="20"/>
        </w:rPr>
        <w:t>The dots represent individual tumors, and the bars indicate the mean values (n</w:t>
      </w:r>
      <w:r w:rsidRPr="00D42E52">
        <w:rPr>
          <w:rFonts w:ascii="Times New Roman" w:hAnsi="Times New Roman" w:cs="Times New Roman" w:hint="eastAsia"/>
          <w:sz w:val="20"/>
        </w:rPr>
        <w:t xml:space="preserve"> </w:t>
      </w:r>
      <w:r w:rsidRPr="00D42E52">
        <w:rPr>
          <w:rFonts w:ascii="Times New Roman" w:hAnsi="Times New Roman" w:cs="Times New Roman"/>
          <w:sz w:val="20"/>
        </w:rPr>
        <w:t>=</w:t>
      </w:r>
      <w:r w:rsidRPr="00D42E52">
        <w:rPr>
          <w:rFonts w:ascii="Times New Roman" w:hAnsi="Times New Roman" w:cs="Times New Roman" w:hint="eastAsia"/>
          <w:sz w:val="20"/>
        </w:rPr>
        <w:t xml:space="preserve"> </w:t>
      </w:r>
      <w:r w:rsidRPr="00D42E52">
        <w:rPr>
          <w:rFonts w:ascii="Times New Roman" w:hAnsi="Times New Roman" w:cs="Times New Roman"/>
          <w:sz w:val="20"/>
        </w:rPr>
        <w:t>7/group).</w:t>
      </w:r>
    </w:p>
    <w:p w14:paraId="273194B6" w14:textId="77777777" w:rsidR="00467502" w:rsidRPr="00D42E52" w:rsidRDefault="00467502" w:rsidP="00467502">
      <w:pPr>
        <w:widowControl/>
        <w:spacing w:line="480" w:lineRule="auto"/>
        <w:rPr>
          <w:rFonts w:ascii="Times New Roman" w:hAnsi="Times New Roman" w:cs="Times New Roman"/>
          <w:sz w:val="20"/>
          <w:szCs w:val="20"/>
        </w:rPr>
      </w:pPr>
      <w:proofErr w:type="spellStart"/>
      <w:r w:rsidRPr="00D42E52">
        <w:rPr>
          <w:rFonts w:ascii="Times New Roman" w:hAnsi="Times New Roman" w:cs="Times New Roman"/>
          <w:sz w:val="20"/>
        </w:rPr>
        <w:t>Ifng</w:t>
      </w:r>
      <w:proofErr w:type="spellEnd"/>
      <w:r w:rsidRPr="00D42E52">
        <w:rPr>
          <w:rFonts w:ascii="Times New Roman" w:hAnsi="Times New Roman" w:cs="Times New Roman"/>
          <w:sz w:val="20"/>
        </w:rPr>
        <w:t xml:space="preserve">, interferon gamma; </w:t>
      </w:r>
      <w:proofErr w:type="spellStart"/>
      <w:r w:rsidRPr="00D42E52">
        <w:rPr>
          <w:rFonts w:ascii="Times New Roman" w:hAnsi="Times New Roman" w:cs="Times New Roman"/>
          <w:sz w:val="20"/>
        </w:rPr>
        <w:t>Kyn</w:t>
      </w:r>
      <w:proofErr w:type="spellEnd"/>
      <w:r w:rsidRPr="00D42E52">
        <w:rPr>
          <w:rFonts w:ascii="Times New Roman" w:hAnsi="Times New Roman" w:cs="Times New Roman"/>
          <w:sz w:val="20"/>
        </w:rPr>
        <w:t xml:space="preserve">, kynurenine; </w:t>
      </w:r>
      <w:r w:rsidRPr="00D42E52">
        <w:rPr>
          <w:rFonts w:ascii="Times New Roman" w:eastAsia="Meiryo UI" w:hAnsi="Times New Roman" w:cs="Times New Roman"/>
          <w:sz w:val="20"/>
          <w:szCs w:val="20"/>
        </w:rPr>
        <w:t>MC400, methylcellulose 400;</w:t>
      </w:r>
      <w:r w:rsidRPr="00D42E52">
        <w:rPr>
          <w:rFonts w:ascii="Times New Roman" w:eastAsia="Meiryo UI" w:hAnsi="Times New Roman" w:cs="Times New Roman" w:hint="eastAsia"/>
          <w:sz w:val="20"/>
          <w:szCs w:val="20"/>
        </w:rPr>
        <w:t xml:space="preserve"> </w:t>
      </w:r>
      <w:r w:rsidRPr="00D42E52">
        <w:rPr>
          <w:rFonts w:ascii="Times New Roman" w:hAnsi="Times New Roman" w:cs="Times New Roman"/>
          <w:sz w:val="20"/>
        </w:rPr>
        <w:t>PD-L1, programmed death-ligand 1</w:t>
      </w:r>
      <w:r w:rsidRPr="00D42E52">
        <w:rPr>
          <w:rFonts w:ascii="Times New Roman" w:hAnsi="Times New Roman" w:cs="Times New Roman" w:hint="eastAsia"/>
          <w:sz w:val="20"/>
        </w:rPr>
        <w:t>.</w:t>
      </w:r>
    </w:p>
    <w:p w14:paraId="412018DD" w14:textId="77777777" w:rsidR="005D0CBE" w:rsidRPr="00CE5F0D" w:rsidRDefault="005D0CBE" w:rsidP="005D0CBE">
      <w:pPr>
        <w:widowControl/>
        <w:ind w:firstLineChars="1000" w:firstLine="2101"/>
        <w:rPr>
          <w:b/>
          <w:bCs/>
          <w:noProof/>
          <w:color w:val="000000" w:themeColor="text1"/>
          <w:szCs w:val="21"/>
        </w:rPr>
      </w:pPr>
      <w:r w:rsidRPr="00CE5F0D">
        <w:rPr>
          <w:rFonts w:ascii="Times New Roman" w:hAnsi="Times New Roman" w:cs="Times New Roman"/>
          <w:b/>
          <w:bCs/>
          <w:noProof/>
          <w:color w:val="000000" w:themeColor="text1"/>
        </w:rPr>
        <w:lastRenderedPageBreak/>
        <w:t xml:space="preserve">Figure </w:t>
      </w:r>
      <w:r w:rsidRPr="00CE5F0D">
        <w:rPr>
          <w:rFonts w:ascii="Times New Roman" w:hAnsi="Times New Roman" w:cs="Times New Roman" w:hint="eastAsia"/>
          <w:b/>
          <w:bCs/>
          <w:noProof/>
          <w:color w:val="000000" w:themeColor="text1"/>
        </w:rPr>
        <w:t>S</w:t>
      </w:r>
      <w:r w:rsidRPr="00CE5F0D">
        <w:rPr>
          <w:rFonts w:ascii="Times New Roman" w:hAnsi="Times New Roman" w:cs="Times New Roman"/>
          <w:b/>
          <w:bCs/>
          <w:noProof/>
          <w:color w:val="000000" w:themeColor="text1"/>
        </w:rPr>
        <w:t>2</w:t>
      </w:r>
    </w:p>
    <w:p w14:paraId="07669AB3" w14:textId="77777777" w:rsidR="005D0CBE" w:rsidRPr="00CE5F0D" w:rsidRDefault="005D0CBE" w:rsidP="005D0CBE">
      <w:pPr>
        <w:widowControl/>
        <w:spacing w:line="480" w:lineRule="auto"/>
        <w:rPr>
          <w:rFonts w:ascii="Times New Roman" w:eastAsia="Meiryo UI" w:hAnsi="Times New Roman" w:cs="Times New Roman"/>
          <w:b/>
          <w:bCs/>
          <w:color w:val="000000" w:themeColor="text1"/>
          <w:sz w:val="22"/>
        </w:rPr>
      </w:pPr>
      <w:r w:rsidRPr="00CE5F0D">
        <w:rPr>
          <w:rFonts w:ascii="Times New Roman" w:eastAsia="Meiryo UI" w:hAnsi="Times New Roman" w:cs="Times New Roman"/>
          <w:noProof/>
          <w:color w:val="000000" w:themeColor="text1"/>
          <w:sz w:val="20"/>
          <w:szCs w:val="20"/>
          <w:lang w:val="en-IN" w:eastAsia="en-IN"/>
        </w:rPr>
        <w:drawing>
          <wp:inline distT="0" distB="0" distL="0" distR="0" wp14:anchorId="0649724A" wp14:editId="03B72DDD">
            <wp:extent cx="3695700" cy="2821085"/>
            <wp:effectExtent l="0" t="0" r="0" b="0"/>
            <wp:docPr id="174239363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1820" cy="2825757"/>
                    </a:xfrm>
                    <a:prstGeom prst="rect">
                      <a:avLst/>
                    </a:prstGeom>
                    <a:noFill/>
                    <a:ln>
                      <a:noFill/>
                    </a:ln>
                  </pic:spPr>
                </pic:pic>
              </a:graphicData>
            </a:graphic>
          </wp:inline>
        </w:drawing>
      </w:r>
    </w:p>
    <w:p w14:paraId="7F1EBDB7" w14:textId="77777777" w:rsidR="00467502" w:rsidRDefault="00467502" w:rsidP="000E64FB">
      <w:pPr>
        <w:widowControl/>
        <w:spacing w:line="480" w:lineRule="auto"/>
        <w:rPr>
          <w:rFonts w:ascii="Times New Roman" w:eastAsia="Meiryo UI" w:hAnsi="Times New Roman" w:cs="Times New Roman"/>
          <w:sz w:val="20"/>
          <w:szCs w:val="20"/>
        </w:rPr>
      </w:pPr>
    </w:p>
    <w:p w14:paraId="2F71A79F" w14:textId="77777777" w:rsidR="005D0CBE" w:rsidRPr="00467502" w:rsidRDefault="005D0CBE" w:rsidP="000E64FB">
      <w:pPr>
        <w:widowControl/>
        <w:spacing w:line="480" w:lineRule="auto"/>
        <w:rPr>
          <w:rFonts w:ascii="Times New Roman" w:eastAsia="Meiryo UI" w:hAnsi="Times New Roman" w:cs="Times New Roman" w:hint="eastAsia"/>
          <w:sz w:val="20"/>
          <w:szCs w:val="20"/>
        </w:rPr>
      </w:pPr>
    </w:p>
    <w:p w14:paraId="43D1BC85" w14:textId="6F00919B" w:rsidR="0017145E" w:rsidRPr="00D42E52" w:rsidRDefault="000E64FB" w:rsidP="000E64FB">
      <w:pPr>
        <w:pStyle w:val="TableFooterText"/>
        <w:spacing w:line="480" w:lineRule="auto"/>
        <w:ind w:left="0" w:firstLine="0"/>
        <w:jc w:val="both"/>
        <w:rPr>
          <w:rFonts w:eastAsia="Meiryo UI"/>
          <w:sz w:val="21"/>
          <w:szCs w:val="21"/>
        </w:rPr>
      </w:pPr>
      <w:r w:rsidRPr="00D42E52">
        <w:rPr>
          <w:rFonts w:eastAsia="Meiryo UI"/>
          <w:b/>
          <w:bCs/>
          <w:sz w:val="21"/>
          <w:szCs w:val="21"/>
        </w:rPr>
        <w:t>Figur</w:t>
      </w:r>
      <w:r w:rsidRPr="004926EF">
        <w:rPr>
          <w:rFonts w:eastAsia="Meiryo UI"/>
          <w:b/>
          <w:bCs/>
          <w:sz w:val="21"/>
          <w:szCs w:val="21"/>
        </w:rPr>
        <w:t xml:space="preserve">e </w:t>
      </w:r>
      <w:r w:rsidR="0017145E" w:rsidRPr="004926EF">
        <w:rPr>
          <w:rFonts w:eastAsia="Meiryo UI" w:hint="eastAsia"/>
          <w:b/>
          <w:bCs/>
          <w:sz w:val="21"/>
          <w:szCs w:val="21"/>
        </w:rPr>
        <w:t>S</w:t>
      </w:r>
      <w:r w:rsidR="00467502" w:rsidRPr="004926EF">
        <w:rPr>
          <w:rFonts w:eastAsia="Meiryo UI" w:hint="eastAsia"/>
          <w:b/>
          <w:bCs/>
          <w:sz w:val="21"/>
          <w:szCs w:val="21"/>
        </w:rPr>
        <w:t>3</w:t>
      </w:r>
      <w:r w:rsidRPr="004926EF">
        <w:rPr>
          <w:rFonts w:eastAsia="Meiryo UI"/>
          <w:b/>
          <w:bCs/>
          <w:sz w:val="21"/>
          <w:szCs w:val="21"/>
        </w:rPr>
        <w:t xml:space="preserve">. </w:t>
      </w:r>
      <w:r w:rsidR="0017145E" w:rsidRPr="004926EF">
        <w:rPr>
          <w:rFonts w:eastAsia="Meiryo UI" w:hint="eastAsia"/>
          <w:b/>
          <w:bCs/>
          <w:sz w:val="21"/>
          <w:szCs w:val="21"/>
        </w:rPr>
        <w:t>Indi</w:t>
      </w:r>
      <w:r w:rsidR="0017145E" w:rsidRPr="00D42E52">
        <w:rPr>
          <w:rFonts w:eastAsia="Meiryo UI" w:hint="eastAsia"/>
          <w:b/>
          <w:bCs/>
          <w:sz w:val="21"/>
          <w:szCs w:val="21"/>
        </w:rPr>
        <w:t>vidual tumor volume change of B16.F</w:t>
      </w:r>
      <w:proofErr w:type="gramStart"/>
      <w:r w:rsidR="0017145E" w:rsidRPr="00D42E52">
        <w:rPr>
          <w:rFonts w:eastAsia="Meiryo UI" w:hint="eastAsia"/>
          <w:b/>
          <w:bCs/>
          <w:sz w:val="21"/>
          <w:szCs w:val="21"/>
        </w:rPr>
        <w:t>10.Luc.NY</w:t>
      </w:r>
      <w:proofErr w:type="gramEnd"/>
      <w:r w:rsidR="0017145E" w:rsidRPr="00D42E52">
        <w:rPr>
          <w:rFonts w:eastAsia="Meiryo UI" w:hint="eastAsia"/>
          <w:b/>
          <w:bCs/>
          <w:sz w:val="21"/>
          <w:szCs w:val="21"/>
        </w:rPr>
        <w:t>-ESO-1 melanoma in C57BL/6J mice.</w:t>
      </w:r>
    </w:p>
    <w:p w14:paraId="0C1CC4AA" w14:textId="684F3987" w:rsidR="000E64FB" w:rsidRPr="00D42E52" w:rsidRDefault="00446AF8" w:rsidP="00446AF8">
      <w:pPr>
        <w:pStyle w:val="TableFooterText"/>
        <w:spacing w:line="480" w:lineRule="auto"/>
        <w:ind w:left="0" w:firstLine="0"/>
        <w:jc w:val="both"/>
        <w:rPr>
          <w:rFonts w:eastAsia="游明朝"/>
          <w:sz w:val="20"/>
          <w:shd w:val="clear" w:color="auto" w:fill="FFFFFF"/>
        </w:rPr>
      </w:pPr>
      <w:r w:rsidRPr="00D42E52">
        <w:rPr>
          <w:rFonts w:hint="eastAsia"/>
          <w:sz w:val="20"/>
        </w:rPr>
        <w:t>(A) Each</w:t>
      </w:r>
      <w:r w:rsidRPr="00D42E52">
        <w:rPr>
          <w:sz w:val="20"/>
        </w:rPr>
        <w:t xml:space="preserve"> </w:t>
      </w:r>
      <w:r w:rsidRPr="00D42E52">
        <w:rPr>
          <w:rFonts w:hint="eastAsia"/>
          <w:sz w:val="20"/>
        </w:rPr>
        <w:t>line</w:t>
      </w:r>
      <w:r w:rsidRPr="00D42E52">
        <w:rPr>
          <w:sz w:val="20"/>
        </w:rPr>
        <w:t xml:space="preserve"> represent</w:t>
      </w:r>
      <w:r w:rsidRPr="00D42E52">
        <w:rPr>
          <w:rFonts w:hint="eastAsia"/>
          <w:sz w:val="20"/>
        </w:rPr>
        <w:t>s</w:t>
      </w:r>
      <w:r w:rsidRPr="00D42E52">
        <w:rPr>
          <w:sz w:val="20"/>
        </w:rPr>
        <w:t xml:space="preserve"> </w:t>
      </w:r>
      <w:r w:rsidR="00761BA7" w:rsidRPr="00D42E52">
        <w:rPr>
          <w:rFonts w:hint="eastAsia"/>
          <w:sz w:val="20"/>
        </w:rPr>
        <w:t xml:space="preserve">the </w:t>
      </w:r>
      <w:r w:rsidRPr="00D42E52">
        <w:rPr>
          <w:sz w:val="20"/>
        </w:rPr>
        <w:t>tumor</w:t>
      </w:r>
      <w:r w:rsidRPr="00D42E52">
        <w:rPr>
          <w:rFonts w:hint="eastAsia"/>
          <w:sz w:val="20"/>
        </w:rPr>
        <w:t xml:space="preserve"> volume change</w:t>
      </w:r>
      <w:r w:rsidR="00761BA7" w:rsidRPr="00D42E52">
        <w:rPr>
          <w:rFonts w:hint="eastAsia"/>
          <w:sz w:val="20"/>
        </w:rPr>
        <w:t xml:space="preserve"> of an individual mouse</w:t>
      </w:r>
      <w:r w:rsidRPr="00D42E52">
        <w:rPr>
          <w:sz w:val="20"/>
        </w:rPr>
        <w:t xml:space="preserve"> (n</w:t>
      </w:r>
      <w:r w:rsidRPr="00D42E52">
        <w:rPr>
          <w:rFonts w:hint="eastAsia"/>
          <w:sz w:val="20"/>
        </w:rPr>
        <w:t xml:space="preserve"> </w:t>
      </w:r>
      <w:r w:rsidRPr="00D42E52">
        <w:rPr>
          <w:sz w:val="20"/>
        </w:rPr>
        <w:t>=</w:t>
      </w:r>
      <w:r w:rsidRPr="00D42E52">
        <w:rPr>
          <w:rFonts w:hint="eastAsia"/>
          <w:sz w:val="20"/>
        </w:rPr>
        <w:t xml:space="preserve"> </w:t>
      </w:r>
      <w:r w:rsidRPr="00D42E52">
        <w:rPr>
          <w:sz w:val="20"/>
        </w:rPr>
        <w:t>15/group).</w:t>
      </w:r>
      <w:r w:rsidRPr="00D42E52">
        <w:rPr>
          <w:rFonts w:hint="eastAsia"/>
          <w:sz w:val="20"/>
        </w:rPr>
        <w:t xml:space="preserve"> (B) </w:t>
      </w:r>
      <w:r w:rsidR="00761BA7" w:rsidRPr="00D42E52">
        <w:rPr>
          <w:rFonts w:hint="eastAsia"/>
          <w:sz w:val="20"/>
        </w:rPr>
        <w:t xml:space="preserve">Mice with available </w:t>
      </w:r>
      <w:r w:rsidRPr="00D42E52">
        <w:rPr>
          <w:rFonts w:eastAsia="游明朝"/>
          <w:sz w:val="20"/>
          <w:shd w:val="clear" w:color="auto" w:fill="FFFFFF"/>
        </w:rPr>
        <w:t xml:space="preserve">gene expression data </w:t>
      </w:r>
      <w:r w:rsidR="00761BA7" w:rsidRPr="00D42E52">
        <w:rPr>
          <w:rFonts w:eastAsia="游明朝" w:hint="eastAsia"/>
          <w:sz w:val="20"/>
          <w:shd w:val="clear" w:color="auto" w:fill="FFFFFF"/>
        </w:rPr>
        <w:t>were</w:t>
      </w:r>
      <w:r w:rsidRPr="00D42E52">
        <w:rPr>
          <w:rFonts w:eastAsia="游明朝" w:hint="eastAsia"/>
          <w:sz w:val="20"/>
          <w:shd w:val="clear" w:color="auto" w:fill="FFFFFF"/>
        </w:rPr>
        <w:t xml:space="preserve"> </w:t>
      </w:r>
      <w:r w:rsidR="00761BA7" w:rsidRPr="00D42E52">
        <w:rPr>
          <w:rFonts w:eastAsia="游明朝" w:hint="eastAsia"/>
          <w:sz w:val="20"/>
          <w:shd w:val="clear" w:color="auto" w:fill="FFFFFF"/>
        </w:rPr>
        <w:t>classified</w:t>
      </w:r>
      <w:r w:rsidRPr="00D42E52">
        <w:rPr>
          <w:rFonts w:eastAsia="游明朝" w:hint="eastAsia"/>
          <w:sz w:val="20"/>
          <w:shd w:val="clear" w:color="auto" w:fill="FFFFFF"/>
        </w:rPr>
        <w:t xml:space="preserve"> into </w:t>
      </w:r>
      <w:r w:rsidRPr="00D42E52">
        <w:rPr>
          <w:rFonts w:eastAsia="游明朝"/>
          <w:sz w:val="20"/>
          <w:shd w:val="clear" w:color="auto" w:fill="FFFFFF"/>
        </w:rPr>
        <w:t>responder and non-responder subgroups within each treatment group</w:t>
      </w:r>
      <w:r w:rsidRPr="00D42E52">
        <w:rPr>
          <w:rFonts w:eastAsia="游明朝" w:hint="eastAsia"/>
          <w:sz w:val="20"/>
          <w:shd w:val="clear" w:color="auto" w:fill="FFFFFF"/>
        </w:rPr>
        <w:t>.</w:t>
      </w:r>
      <w:r w:rsidR="00BF4099" w:rsidRPr="00D42E52">
        <w:rPr>
          <w:rFonts w:eastAsia="游明朝" w:hint="eastAsia"/>
          <w:sz w:val="20"/>
          <w:shd w:val="clear" w:color="auto" w:fill="FFFFFF"/>
        </w:rPr>
        <w:t xml:space="preserve"> </w:t>
      </w:r>
      <w:r w:rsidR="00BF4099" w:rsidRPr="00D42E52">
        <w:rPr>
          <w:rFonts w:eastAsia="Meiryo UI" w:hint="eastAsia"/>
          <w:sz w:val="20"/>
        </w:rPr>
        <w:t>Bl</w:t>
      </w:r>
      <w:r w:rsidR="00B22461" w:rsidRPr="00D42E52">
        <w:rPr>
          <w:rFonts w:eastAsia="Meiryo UI" w:hint="eastAsia"/>
          <w:sz w:val="20"/>
        </w:rPr>
        <w:t>a</w:t>
      </w:r>
      <w:r w:rsidR="00BF4099" w:rsidRPr="00D42E52">
        <w:rPr>
          <w:rFonts w:eastAsia="Meiryo UI" w:hint="eastAsia"/>
          <w:sz w:val="20"/>
        </w:rPr>
        <w:t>ck and gray lines represent responders and non-responders, respectively.</w:t>
      </w:r>
    </w:p>
    <w:p w14:paraId="47EA1A8A" w14:textId="1D609CD7" w:rsidR="0035422C" w:rsidRPr="00D42E52" w:rsidRDefault="0035422C" w:rsidP="0035422C">
      <w:pPr>
        <w:pStyle w:val="TableFooterText"/>
        <w:spacing w:line="480" w:lineRule="auto"/>
        <w:ind w:left="400" w:hangingChars="200" w:hanging="400"/>
        <w:rPr>
          <w:rFonts w:eastAsia="Meiryo UI"/>
          <w:sz w:val="20"/>
        </w:rPr>
      </w:pPr>
      <w:r w:rsidRPr="00D42E52">
        <w:rPr>
          <w:rFonts w:eastAsia="Meiryo UI" w:hint="eastAsia"/>
          <w:sz w:val="20"/>
        </w:rPr>
        <w:t xml:space="preserve">Combo, combination; </w:t>
      </w:r>
      <w:r w:rsidRPr="00D42E52">
        <w:rPr>
          <w:rFonts w:eastAsia="Meiryo UI"/>
          <w:sz w:val="20"/>
        </w:rPr>
        <w:t>PD-L1</w:t>
      </w:r>
      <w:r w:rsidRPr="00D42E52">
        <w:rPr>
          <w:rFonts w:eastAsia="Meiryo UI" w:hint="eastAsia"/>
          <w:sz w:val="20"/>
        </w:rPr>
        <w:t xml:space="preserve">, </w:t>
      </w:r>
      <w:r w:rsidRPr="00D42E52">
        <w:rPr>
          <w:rFonts w:eastAsia="Meiryo UI"/>
          <w:sz w:val="20"/>
        </w:rPr>
        <w:t>programmed</w:t>
      </w:r>
      <w:r w:rsidRPr="00D42E52">
        <w:rPr>
          <w:rFonts w:eastAsia="Meiryo UI" w:hint="eastAsia"/>
          <w:sz w:val="20"/>
        </w:rPr>
        <w:t xml:space="preserve"> </w:t>
      </w:r>
      <w:r w:rsidRPr="00D42E52">
        <w:rPr>
          <w:rFonts w:eastAsia="Meiryo UI"/>
          <w:sz w:val="20"/>
        </w:rPr>
        <w:t>death-ligand 1</w:t>
      </w:r>
      <w:r w:rsidRPr="00D42E52">
        <w:rPr>
          <w:rFonts w:eastAsia="Meiryo UI" w:hint="eastAsia"/>
          <w:sz w:val="20"/>
        </w:rPr>
        <w:t xml:space="preserve">. </w:t>
      </w:r>
    </w:p>
    <w:p w14:paraId="3B5E02D7" w14:textId="77777777" w:rsidR="00363339" w:rsidRPr="00CE5F0D" w:rsidRDefault="00363339" w:rsidP="00363339">
      <w:pPr>
        <w:widowControl/>
        <w:spacing w:line="480" w:lineRule="auto"/>
        <w:jc w:val="center"/>
        <w:rPr>
          <w:rFonts w:ascii="Times New Roman" w:eastAsia="Meiryo UI" w:hAnsi="Times New Roman" w:cs="Times New Roman"/>
          <w:b/>
          <w:bCs/>
          <w:color w:val="000000" w:themeColor="text1"/>
          <w:sz w:val="20"/>
          <w:szCs w:val="20"/>
        </w:rPr>
      </w:pPr>
      <w:r w:rsidRPr="00CE5F0D">
        <w:rPr>
          <w:rFonts w:ascii="Times New Roman" w:eastAsia="Meiryo UI" w:hAnsi="Times New Roman" w:cs="Times New Roman"/>
          <w:b/>
          <w:bCs/>
          <w:noProof/>
          <w:color w:val="000000" w:themeColor="text1"/>
          <w:sz w:val="20"/>
          <w:szCs w:val="20"/>
          <w:lang w:val="en-IN" w:eastAsia="en-IN"/>
        </w:rPr>
        <w:lastRenderedPageBreak/>
        <w:drawing>
          <wp:anchor distT="0" distB="0" distL="114300" distR="114300" simplePos="0" relativeHeight="251659264" behindDoc="0" locked="0" layoutInCell="1" allowOverlap="1" wp14:anchorId="2E120C92" wp14:editId="0578FD1B">
            <wp:simplePos x="0" y="0"/>
            <wp:positionH relativeFrom="margin">
              <wp:align>center</wp:align>
            </wp:positionH>
            <wp:positionV relativeFrom="paragraph">
              <wp:posOffset>466725</wp:posOffset>
            </wp:positionV>
            <wp:extent cx="6120130" cy="2898535"/>
            <wp:effectExtent l="0" t="0" r="0" b="0"/>
            <wp:wrapSquare wrapText="bothSides"/>
            <wp:docPr id="48148662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2898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5F0D">
        <w:rPr>
          <w:rFonts w:ascii="Times New Roman" w:eastAsia="Meiryo UI" w:hAnsi="Times New Roman" w:cs="Times New Roman" w:hint="eastAsia"/>
          <w:b/>
          <w:bCs/>
          <w:color w:val="000000" w:themeColor="text1"/>
          <w:sz w:val="20"/>
          <w:szCs w:val="20"/>
        </w:rPr>
        <w:t>Figure S3</w:t>
      </w:r>
    </w:p>
    <w:p w14:paraId="40B7FE17" w14:textId="77777777" w:rsidR="00446AF8" w:rsidRDefault="00446AF8" w:rsidP="000E64FB">
      <w:pPr>
        <w:pStyle w:val="TableFooterText"/>
        <w:spacing w:line="480" w:lineRule="auto"/>
        <w:ind w:left="0" w:firstLine="0"/>
        <w:jc w:val="both"/>
        <w:rPr>
          <w:rFonts w:eastAsia="Meiryo UI" w:hint="eastAsia"/>
          <w:b/>
          <w:bCs/>
          <w:color w:val="0070C0"/>
          <w:sz w:val="20"/>
        </w:rPr>
      </w:pPr>
    </w:p>
    <w:p w14:paraId="66F89967" w14:textId="77777777" w:rsidR="00363339" w:rsidRDefault="00363339" w:rsidP="000E64FB">
      <w:pPr>
        <w:pStyle w:val="TableFooterText"/>
        <w:spacing w:line="480" w:lineRule="auto"/>
        <w:ind w:left="0" w:firstLine="0"/>
        <w:jc w:val="both"/>
        <w:rPr>
          <w:rFonts w:eastAsia="Meiryo UI"/>
          <w:b/>
          <w:bCs/>
          <w:color w:val="0070C0"/>
          <w:sz w:val="20"/>
        </w:rPr>
      </w:pPr>
    </w:p>
    <w:p w14:paraId="471C0EBE" w14:textId="77777777" w:rsidR="00363339" w:rsidRDefault="00363339" w:rsidP="000E64FB">
      <w:pPr>
        <w:pStyle w:val="TableFooterText"/>
        <w:spacing w:line="480" w:lineRule="auto"/>
        <w:ind w:left="0" w:firstLine="0"/>
        <w:jc w:val="both"/>
        <w:rPr>
          <w:rFonts w:eastAsia="Meiryo UI"/>
          <w:b/>
          <w:bCs/>
          <w:color w:val="0070C0"/>
          <w:sz w:val="20"/>
        </w:rPr>
      </w:pPr>
    </w:p>
    <w:p w14:paraId="46B1534C" w14:textId="420BA267" w:rsidR="000E64FB" w:rsidRPr="00D42E52" w:rsidRDefault="000E64FB" w:rsidP="000E64FB">
      <w:pPr>
        <w:pStyle w:val="TableFooterText"/>
        <w:spacing w:line="480" w:lineRule="auto"/>
        <w:ind w:left="0" w:firstLine="0"/>
        <w:jc w:val="both"/>
        <w:rPr>
          <w:b/>
          <w:bCs/>
          <w:sz w:val="21"/>
          <w:szCs w:val="21"/>
        </w:rPr>
      </w:pPr>
      <w:r w:rsidRPr="00D42E52">
        <w:rPr>
          <w:rFonts w:eastAsia="Meiryo UI"/>
          <w:b/>
          <w:bCs/>
          <w:sz w:val="21"/>
          <w:szCs w:val="21"/>
        </w:rPr>
        <w:t>Figure</w:t>
      </w:r>
      <w:r w:rsidRPr="004926EF">
        <w:rPr>
          <w:rFonts w:eastAsia="Meiryo UI"/>
          <w:b/>
          <w:bCs/>
          <w:sz w:val="21"/>
          <w:szCs w:val="21"/>
        </w:rPr>
        <w:t xml:space="preserve"> </w:t>
      </w:r>
      <w:r w:rsidR="0017145E" w:rsidRPr="004926EF">
        <w:rPr>
          <w:rFonts w:eastAsia="Meiryo UI" w:hint="eastAsia"/>
          <w:b/>
          <w:bCs/>
          <w:sz w:val="21"/>
          <w:szCs w:val="21"/>
        </w:rPr>
        <w:t>S</w:t>
      </w:r>
      <w:r w:rsidR="00467502" w:rsidRPr="004926EF">
        <w:rPr>
          <w:rFonts w:eastAsia="Meiryo UI" w:hint="eastAsia"/>
          <w:b/>
          <w:bCs/>
          <w:sz w:val="21"/>
          <w:szCs w:val="21"/>
        </w:rPr>
        <w:t>4</w:t>
      </w:r>
      <w:r w:rsidRPr="004926EF">
        <w:rPr>
          <w:rFonts w:eastAsia="Meiryo UI"/>
          <w:b/>
          <w:bCs/>
          <w:sz w:val="21"/>
          <w:szCs w:val="21"/>
        </w:rPr>
        <w:t xml:space="preserve">. </w:t>
      </w:r>
      <w:r w:rsidRPr="004926EF">
        <w:rPr>
          <w:b/>
          <w:bCs/>
          <w:sz w:val="21"/>
          <w:szCs w:val="21"/>
        </w:rPr>
        <w:t>A</w:t>
      </w:r>
      <w:r w:rsidRPr="00D42E52">
        <w:rPr>
          <w:b/>
          <w:bCs/>
          <w:sz w:val="21"/>
          <w:szCs w:val="21"/>
        </w:rPr>
        <w:t xml:space="preserve">bundance of immune cells in tumors from </w:t>
      </w:r>
      <w:r w:rsidR="0017145E" w:rsidRPr="00D42E52">
        <w:rPr>
          <w:rFonts w:hint="eastAsia"/>
          <w:b/>
          <w:bCs/>
          <w:sz w:val="21"/>
          <w:szCs w:val="21"/>
        </w:rPr>
        <w:t xml:space="preserve">responder and non-responder </w:t>
      </w:r>
      <w:r w:rsidRPr="00D42E52">
        <w:rPr>
          <w:b/>
          <w:bCs/>
          <w:sz w:val="21"/>
          <w:szCs w:val="21"/>
        </w:rPr>
        <w:t>mice treated with KHK2455, anti–PD-L1 antibody, or their combination</w:t>
      </w:r>
      <w:r w:rsidR="0017145E" w:rsidRPr="00D42E52">
        <w:rPr>
          <w:rFonts w:hint="eastAsia"/>
          <w:b/>
          <w:bCs/>
          <w:sz w:val="21"/>
          <w:szCs w:val="21"/>
        </w:rPr>
        <w:t>.</w:t>
      </w:r>
      <w:r w:rsidRPr="00D42E52">
        <w:rPr>
          <w:b/>
          <w:bCs/>
          <w:sz w:val="21"/>
          <w:szCs w:val="21"/>
        </w:rPr>
        <w:t xml:space="preserve"> </w:t>
      </w:r>
    </w:p>
    <w:p w14:paraId="1BD56487" w14:textId="2DC2AC77" w:rsidR="000E64FB" w:rsidRPr="00D42E52" w:rsidRDefault="000E64FB" w:rsidP="000E64FB">
      <w:pPr>
        <w:pStyle w:val="TableFooterText"/>
        <w:spacing w:line="480" w:lineRule="auto"/>
        <w:ind w:left="0" w:firstLine="0"/>
        <w:jc w:val="both"/>
        <w:rPr>
          <w:sz w:val="20"/>
        </w:rPr>
      </w:pPr>
      <w:r w:rsidRPr="00D42E52">
        <w:rPr>
          <w:sz w:val="20"/>
        </w:rPr>
        <w:t xml:space="preserve">The dots represent individual tumors, </w:t>
      </w:r>
      <w:r w:rsidR="00110039" w:rsidRPr="00D42E52">
        <w:rPr>
          <w:rFonts w:hint="eastAsia"/>
          <w:sz w:val="20"/>
        </w:rPr>
        <w:t>and</w:t>
      </w:r>
      <w:r w:rsidRPr="00D42E52">
        <w:rPr>
          <w:sz w:val="20"/>
        </w:rPr>
        <w:t xml:space="preserve"> the bars indicate the mean values (n</w:t>
      </w:r>
      <w:r w:rsidR="00ED63D5" w:rsidRPr="00D42E52">
        <w:rPr>
          <w:rFonts w:hint="eastAsia"/>
          <w:sz w:val="20"/>
        </w:rPr>
        <w:t xml:space="preserve"> </w:t>
      </w:r>
      <w:r w:rsidRPr="00D42E52">
        <w:rPr>
          <w:sz w:val="20"/>
        </w:rPr>
        <w:t>=</w:t>
      </w:r>
      <w:r w:rsidR="00ED63D5" w:rsidRPr="00D42E52">
        <w:rPr>
          <w:rFonts w:hint="eastAsia"/>
          <w:sz w:val="20"/>
        </w:rPr>
        <w:t xml:space="preserve"> </w:t>
      </w:r>
      <w:r w:rsidRPr="00D42E52">
        <w:rPr>
          <w:sz w:val="20"/>
        </w:rPr>
        <w:t>7</w:t>
      </w:r>
      <w:r w:rsidR="00ED63D5" w:rsidRPr="00D42E52">
        <w:rPr>
          <w:rFonts w:hint="eastAsia"/>
          <w:sz w:val="20"/>
        </w:rPr>
        <w:t xml:space="preserve"> for control, KHK2455 groups</w:t>
      </w:r>
      <w:r w:rsidR="00110039" w:rsidRPr="00D42E52">
        <w:rPr>
          <w:rFonts w:hint="eastAsia"/>
          <w:sz w:val="20"/>
        </w:rPr>
        <w:t>;</w:t>
      </w:r>
      <w:r w:rsidR="00ED63D5" w:rsidRPr="00D42E52">
        <w:rPr>
          <w:rFonts w:hint="eastAsia"/>
          <w:sz w:val="20"/>
        </w:rPr>
        <w:t xml:space="preserve"> n = 4 for responders </w:t>
      </w:r>
      <w:r w:rsidR="00110039" w:rsidRPr="00D42E52">
        <w:rPr>
          <w:rFonts w:hint="eastAsia"/>
          <w:sz w:val="20"/>
        </w:rPr>
        <w:t>in the</w:t>
      </w:r>
      <w:r w:rsidR="00ED63D5" w:rsidRPr="00D42E52">
        <w:rPr>
          <w:rFonts w:hint="eastAsia"/>
          <w:sz w:val="20"/>
        </w:rPr>
        <w:t xml:space="preserve"> anti-PD-L1 and combination groups</w:t>
      </w:r>
      <w:r w:rsidR="00110039" w:rsidRPr="00D42E52">
        <w:rPr>
          <w:rFonts w:hint="eastAsia"/>
          <w:sz w:val="20"/>
        </w:rPr>
        <w:t>;</w:t>
      </w:r>
      <w:r w:rsidR="00ED63D5" w:rsidRPr="00D42E52">
        <w:rPr>
          <w:rFonts w:hint="eastAsia"/>
          <w:sz w:val="20"/>
        </w:rPr>
        <w:t xml:space="preserve"> n =3 for non-responders </w:t>
      </w:r>
      <w:r w:rsidR="00110039" w:rsidRPr="00D42E52">
        <w:rPr>
          <w:rFonts w:hint="eastAsia"/>
          <w:sz w:val="20"/>
        </w:rPr>
        <w:t>in the</w:t>
      </w:r>
      <w:r w:rsidR="00ED63D5" w:rsidRPr="00D42E52">
        <w:rPr>
          <w:rFonts w:hint="eastAsia"/>
          <w:sz w:val="20"/>
        </w:rPr>
        <w:t xml:space="preserve"> anti-PD-L1 and combination groups</w:t>
      </w:r>
      <w:r w:rsidRPr="00D42E52">
        <w:rPr>
          <w:sz w:val="20"/>
        </w:rPr>
        <w:t xml:space="preserve">). Differences in each cell type score between </w:t>
      </w:r>
      <w:r w:rsidR="00ED63D5" w:rsidRPr="00D42E52">
        <w:rPr>
          <w:rFonts w:hint="eastAsia"/>
          <w:sz w:val="20"/>
        </w:rPr>
        <w:t xml:space="preserve">responders </w:t>
      </w:r>
      <w:r w:rsidR="00110039" w:rsidRPr="00D42E52">
        <w:rPr>
          <w:rFonts w:hint="eastAsia"/>
          <w:sz w:val="20"/>
        </w:rPr>
        <w:t>in the</w:t>
      </w:r>
      <w:r w:rsidR="00ED63D5" w:rsidRPr="00D42E52">
        <w:rPr>
          <w:rFonts w:hint="eastAsia"/>
          <w:sz w:val="20"/>
        </w:rPr>
        <w:t xml:space="preserve"> </w:t>
      </w:r>
      <w:r w:rsidRPr="00D42E52">
        <w:rPr>
          <w:sz w:val="20"/>
        </w:rPr>
        <w:t>combination and anti–PD-L1 groups were assessed using the Wilcoxon rank-sum test.</w:t>
      </w:r>
    </w:p>
    <w:p w14:paraId="134E6B8B" w14:textId="42807B5A" w:rsidR="000E64FB" w:rsidRPr="00D42E52" w:rsidRDefault="000E64FB" w:rsidP="000E64FB">
      <w:pPr>
        <w:pStyle w:val="TableFooterText"/>
        <w:spacing w:line="480" w:lineRule="auto"/>
        <w:ind w:left="0" w:firstLine="0"/>
        <w:jc w:val="both"/>
        <w:rPr>
          <w:rFonts w:hint="eastAsia"/>
          <w:sz w:val="20"/>
        </w:rPr>
      </w:pPr>
      <w:r w:rsidRPr="00D42E52">
        <w:rPr>
          <w:sz w:val="20"/>
        </w:rPr>
        <w:t xml:space="preserve">PD-L1, programmed death-ligand 1; </w:t>
      </w:r>
      <w:r w:rsidR="00ED63D5" w:rsidRPr="00D42E52">
        <w:rPr>
          <w:rFonts w:hint="eastAsia"/>
          <w:sz w:val="20"/>
        </w:rPr>
        <w:t>R, responder; NR, non-responder.</w:t>
      </w:r>
      <w:r w:rsidR="0040122B">
        <w:rPr>
          <w:sz w:val="20"/>
        </w:rPr>
        <w:br w:type="page"/>
      </w:r>
    </w:p>
    <w:p w14:paraId="1583F1B6" w14:textId="77777777" w:rsidR="00363339" w:rsidRPr="00CE5F0D" w:rsidRDefault="00363339" w:rsidP="00363339">
      <w:pPr>
        <w:widowControl/>
        <w:spacing w:line="480" w:lineRule="auto"/>
        <w:jc w:val="center"/>
        <w:rPr>
          <w:rFonts w:ascii="Times New Roman" w:eastAsia="游明朝" w:hAnsi="Times New Roman" w:cs="Times New Roman"/>
          <w:b/>
          <w:bCs/>
          <w:color w:val="000000" w:themeColor="text1"/>
          <w:sz w:val="20"/>
          <w:szCs w:val="20"/>
          <w:shd w:val="clear" w:color="auto" w:fill="FFFFFF"/>
        </w:rPr>
      </w:pPr>
      <w:r w:rsidRPr="00CE5F0D">
        <w:rPr>
          <w:rFonts w:ascii="Times New Roman" w:eastAsia="游明朝" w:hAnsi="Times New Roman" w:cs="Times New Roman" w:hint="eastAsia"/>
          <w:b/>
          <w:bCs/>
          <w:color w:val="000000" w:themeColor="text1"/>
          <w:sz w:val="20"/>
          <w:szCs w:val="20"/>
          <w:shd w:val="clear" w:color="auto" w:fill="FFFFFF"/>
        </w:rPr>
        <w:lastRenderedPageBreak/>
        <w:t>Figure S4</w:t>
      </w:r>
    </w:p>
    <w:p w14:paraId="01DC9E6D" w14:textId="77777777" w:rsidR="00363339" w:rsidRPr="00CE5F0D" w:rsidRDefault="00363339" w:rsidP="00363339">
      <w:pPr>
        <w:widowControl/>
        <w:spacing w:line="480" w:lineRule="auto"/>
        <w:jc w:val="left"/>
        <w:rPr>
          <w:rFonts w:ascii="Times New Roman" w:eastAsia="Meiryo UI" w:hAnsi="Times New Roman" w:cs="Times New Roman"/>
          <w:color w:val="000000" w:themeColor="text1"/>
          <w:sz w:val="20"/>
          <w:szCs w:val="20"/>
        </w:rPr>
      </w:pPr>
      <w:r w:rsidRPr="00CE5F0D">
        <w:rPr>
          <w:rFonts w:ascii="Times New Roman" w:eastAsia="Meiryo UI" w:hAnsi="Times New Roman" w:cs="Times New Roman"/>
          <w:noProof/>
          <w:color w:val="000000" w:themeColor="text1"/>
          <w:sz w:val="20"/>
          <w:szCs w:val="20"/>
          <w:lang w:val="en-IN" w:eastAsia="en-IN"/>
        </w:rPr>
        <w:drawing>
          <wp:inline distT="0" distB="0" distL="0" distR="0" wp14:anchorId="07B65DC5" wp14:editId="55F564E8">
            <wp:extent cx="4772025" cy="4737045"/>
            <wp:effectExtent l="0" t="0" r="0" b="6985"/>
            <wp:docPr id="98108760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2074" cy="4766874"/>
                    </a:xfrm>
                    <a:prstGeom prst="rect">
                      <a:avLst/>
                    </a:prstGeom>
                    <a:noFill/>
                    <a:ln>
                      <a:noFill/>
                    </a:ln>
                  </pic:spPr>
                </pic:pic>
              </a:graphicData>
            </a:graphic>
          </wp:inline>
        </w:drawing>
      </w:r>
    </w:p>
    <w:p w14:paraId="5032A024" w14:textId="7B85957D" w:rsidR="00F738CD" w:rsidRDefault="00F738CD" w:rsidP="00F738CD">
      <w:pPr>
        <w:widowControl/>
        <w:spacing w:line="480" w:lineRule="auto"/>
        <w:rPr>
          <w:rFonts w:ascii="Times New Roman" w:hAnsi="Times New Roman" w:cs="Times New Roman"/>
          <w:b/>
          <w:bCs/>
          <w:sz w:val="20"/>
          <w:szCs w:val="20"/>
        </w:rPr>
      </w:pPr>
    </w:p>
    <w:p w14:paraId="367FBE40" w14:textId="3442BDA4" w:rsidR="0040122B" w:rsidRDefault="0040122B" w:rsidP="00F738CD">
      <w:pPr>
        <w:widowControl/>
        <w:spacing w:line="480" w:lineRule="auto"/>
        <w:rPr>
          <w:rFonts w:ascii="Times New Roman" w:hAnsi="Times New Roman" w:cs="Times New Roman"/>
          <w:b/>
          <w:bCs/>
          <w:sz w:val="20"/>
          <w:szCs w:val="20"/>
        </w:rPr>
      </w:pPr>
      <w:r>
        <w:rPr>
          <w:rFonts w:ascii="Times New Roman" w:hAnsi="Times New Roman" w:cs="Times New Roman"/>
          <w:b/>
          <w:bCs/>
          <w:sz w:val="20"/>
          <w:szCs w:val="20"/>
        </w:rPr>
        <w:br w:type="page"/>
      </w:r>
    </w:p>
    <w:p w14:paraId="5B755584" w14:textId="63F66D8F" w:rsidR="00C601BF" w:rsidRPr="00D42E52" w:rsidRDefault="00581168" w:rsidP="00DB548A">
      <w:pPr>
        <w:widowControl/>
        <w:spacing w:line="480" w:lineRule="auto"/>
        <w:rPr>
          <w:rFonts w:ascii="Times New Roman" w:hAnsi="Times New Roman" w:cs="Times New Roman"/>
          <w:sz w:val="20"/>
          <w:szCs w:val="20"/>
        </w:rPr>
      </w:pPr>
      <w:r w:rsidRPr="00D42E52">
        <w:rPr>
          <w:rFonts w:ascii="Times New Roman" w:hAnsi="Times New Roman" w:cs="Times New Roman"/>
          <w:b/>
          <w:bCs/>
          <w:sz w:val="24"/>
          <w:szCs w:val="28"/>
        </w:rPr>
        <w:lastRenderedPageBreak/>
        <w:t xml:space="preserve">Supplementary </w:t>
      </w:r>
      <w:r w:rsidR="0004290C" w:rsidRPr="00D42E52">
        <w:rPr>
          <w:rFonts w:ascii="Times New Roman" w:hAnsi="Times New Roman" w:cs="Times New Roman" w:hint="eastAsia"/>
          <w:b/>
          <w:bCs/>
          <w:sz w:val="24"/>
          <w:szCs w:val="28"/>
        </w:rPr>
        <w:t>M</w:t>
      </w:r>
      <w:r w:rsidRPr="00D42E52">
        <w:rPr>
          <w:rFonts w:ascii="Times New Roman" w:hAnsi="Times New Roman" w:cs="Times New Roman"/>
          <w:b/>
          <w:bCs/>
          <w:sz w:val="24"/>
          <w:szCs w:val="28"/>
        </w:rPr>
        <w:t>ethods</w:t>
      </w:r>
    </w:p>
    <w:p w14:paraId="32311547" w14:textId="77777777" w:rsidR="00F12E5A" w:rsidRPr="00FF0A52" w:rsidRDefault="00F12E5A" w:rsidP="00F12E5A">
      <w:pPr>
        <w:widowControl/>
        <w:spacing w:line="480" w:lineRule="auto"/>
        <w:rPr>
          <w:rFonts w:ascii="Times New Roman" w:hAnsi="Times New Roman" w:cs="Times New Roman"/>
          <w:b/>
          <w:bCs/>
          <w:color w:val="000000" w:themeColor="text1"/>
          <w:sz w:val="22"/>
        </w:rPr>
      </w:pPr>
      <w:r w:rsidRPr="00FF0A52">
        <w:rPr>
          <w:rFonts w:ascii="Times New Roman" w:hAnsi="Times New Roman" w:cs="Times New Roman"/>
          <w:b/>
          <w:bCs/>
          <w:color w:val="000000" w:themeColor="text1"/>
          <w:sz w:val="22"/>
        </w:rPr>
        <w:t>Establishment of B16.F10 cells with a stable expression of human NY-ESO-1</w:t>
      </w:r>
    </w:p>
    <w:p w14:paraId="200A1D23" w14:textId="6D1B7FF1" w:rsidR="00F12E5A" w:rsidRPr="00067DAC" w:rsidRDefault="00F12E5A" w:rsidP="00F12E5A">
      <w:pPr>
        <w:widowControl/>
        <w:spacing w:line="480" w:lineRule="auto"/>
        <w:ind w:firstLine="840"/>
        <w:rPr>
          <w:rFonts w:ascii="Times New Roman" w:eastAsia="Meiryo UI" w:hAnsi="Times New Roman" w:cs="Times New Roman"/>
          <w:sz w:val="20"/>
          <w:szCs w:val="20"/>
        </w:rPr>
      </w:pPr>
      <w:r w:rsidRPr="00D0517A">
        <w:rPr>
          <w:rFonts w:ascii="Times New Roman" w:eastAsia="游明朝" w:hAnsi="Times New Roman" w:cs="Times New Roman"/>
          <w:color w:val="000000"/>
          <w:sz w:val="20"/>
          <w:szCs w:val="20"/>
          <w:shd w:val="clear" w:color="auto" w:fill="FFFFFF"/>
        </w:rPr>
        <w:t xml:space="preserve">The expression plasmid DNA of human NY-ESO1 was constructed by incorporating the </w:t>
      </w:r>
      <w:r w:rsidRPr="00067DAC">
        <w:rPr>
          <w:rFonts w:ascii="Times New Roman" w:eastAsia="游明朝" w:hAnsi="Times New Roman" w:cs="Times New Roman"/>
          <w:sz w:val="20"/>
          <w:szCs w:val="20"/>
          <w:shd w:val="clear" w:color="auto" w:fill="FFFFFF"/>
        </w:rPr>
        <w:t xml:space="preserve">synthesized sequence, </w:t>
      </w:r>
      <w:proofErr w:type="spellStart"/>
      <w:r w:rsidRPr="00067DAC">
        <w:rPr>
          <w:rFonts w:ascii="Times New Roman" w:eastAsia="游明朝" w:hAnsi="Times New Roman" w:cs="Times New Roman"/>
          <w:sz w:val="20"/>
          <w:szCs w:val="20"/>
          <w:shd w:val="clear" w:color="auto" w:fill="FFFFFF"/>
        </w:rPr>
        <w:t>gccacc</w:t>
      </w:r>
      <w:proofErr w:type="spellEnd"/>
      <w:r w:rsidRPr="00067DAC">
        <w:rPr>
          <w:rFonts w:ascii="Times New Roman" w:eastAsia="游明朝" w:hAnsi="Times New Roman" w:cs="Times New Roman"/>
          <w:sz w:val="20"/>
          <w:szCs w:val="20"/>
          <w:shd w:val="clear" w:color="auto" w:fill="FFFFFF"/>
        </w:rPr>
        <w:t xml:space="preserve"> (Kozak)-NY-ESO1 (NM_001327_CDS), into pDON-5 Neo (</w:t>
      </w:r>
      <w:r w:rsidRPr="00067DAC">
        <w:rPr>
          <w:rFonts w:ascii="Times New Roman" w:eastAsia="Meiryo UI" w:hAnsi="Times New Roman" w:cs="Times New Roman"/>
          <w:sz w:val="20"/>
          <w:szCs w:val="20"/>
        </w:rPr>
        <w:t>Takara Bio)</w:t>
      </w:r>
      <w:r w:rsidRPr="00067DAC">
        <w:rPr>
          <w:rFonts w:ascii="Times New Roman" w:eastAsia="游明朝" w:hAnsi="Times New Roman" w:cs="Times New Roman"/>
          <w:sz w:val="20"/>
          <w:szCs w:val="20"/>
          <w:shd w:val="clear" w:color="auto" w:fill="FFFFFF"/>
        </w:rPr>
        <w:t xml:space="preserve">. A recombinant retroviral vector was produced by transfecting the expression plasmid DNA, </w:t>
      </w:r>
      <w:proofErr w:type="spellStart"/>
      <w:r w:rsidRPr="00067DAC">
        <w:rPr>
          <w:rFonts w:ascii="Times New Roman" w:eastAsia="游明朝" w:hAnsi="Times New Roman" w:cs="Times New Roman"/>
          <w:sz w:val="20"/>
          <w:szCs w:val="20"/>
          <w:shd w:val="clear" w:color="auto" w:fill="FFFFFF"/>
        </w:rPr>
        <w:t>pGP</w:t>
      </w:r>
      <w:proofErr w:type="spellEnd"/>
      <w:r w:rsidRPr="00067DAC">
        <w:rPr>
          <w:rFonts w:ascii="Times New Roman" w:eastAsia="游明朝" w:hAnsi="Times New Roman" w:cs="Times New Roman"/>
          <w:sz w:val="20"/>
          <w:szCs w:val="20"/>
          <w:shd w:val="clear" w:color="auto" w:fill="FFFFFF"/>
        </w:rPr>
        <w:t xml:space="preserve"> vector, and </w:t>
      </w:r>
      <w:proofErr w:type="spellStart"/>
      <w:r w:rsidRPr="00067DAC">
        <w:rPr>
          <w:rFonts w:ascii="Times New Roman" w:eastAsia="游明朝" w:hAnsi="Times New Roman" w:cs="Times New Roman"/>
          <w:sz w:val="20"/>
          <w:szCs w:val="20"/>
          <w:shd w:val="clear" w:color="auto" w:fill="FFFFFF"/>
        </w:rPr>
        <w:t>pE-Ampho</w:t>
      </w:r>
      <w:proofErr w:type="spellEnd"/>
      <w:r w:rsidRPr="00067DAC">
        <w:rPr>
          <w:rFonts w:ascii="Times New Roman" w:eastAsia="游明朝" w:hAnsi="Times New Roman" w:cs="Times New Roman"/>
          <w:sz w:val="20"/>
          <w:szCs w:val="20"/>
          <w:shd w:val="clear" w:color="auto" w:fill="FFFFFF"/>
        </w:rPr>
        <w:t xml:space="preserve"> vector into G3T-hi cells. The retroviral vector was then used to infect mouse melanoma cells expressing luciferase, B16</w:t>
      </w:r>
      <w:r w:rsidR="002D4276" w:rsidRPr="00067DAC">
        <w:rPr>
          <w:rFonts w:ascii="Times New Roman" w:eastAsia="游明朝" w:hAnsi="Times New Roman" w:cs="Times New Roman" w:hint="eastAsia"/>
          <w:sz w:val="20"/>
          <w:szCs w:val="20"/>
          <w:shd w:val="clear" w:color="auto" w:fill="FFFFFF"/>
        </w:rPr>
        <w:t>-</w:t>
      </w:r>
      <w:r w:rsidRPr="00067DAC">
        <w:rPr>
          <w:rFonts w:ascii="Times New Roman" w:eastAsia="游明朝" w:hAnsi="Times New Roman" w:cs="Times New Roman"/>
          <w:sz w:val="20"/>
          <w:szCs w:val="20"/>
          <w:shd w:val="clear" w:color="auto" w:fill="FFFFFF"/>
        </w:rPr>
        <w:t>F10</w:t>
      </w:r>
      <w:r w:rsidR="002D4276" w:rsidRPr="00067DAC">
        <w:rPr>
          <w:rFonts w:ascii="Times New Roman" w:eastAsia="游明朝" w:hAnsi="Times New Roman" w:cs="Times New Roman" w:hint="eastAsia"/>
          <w:sz w:val="20"/>
          <w:szCs w:val="20"/>
          <w:shd w:val="clear" w:color="auto" w:fill="FFFFFF"/>
        </w:rPr>
        <w:t>-</w:t>
      </w:r>
      <w:r w:rsidRPr="00067DAC">
        <w:rPr>
          <w:rFonts w:ascii="Times New Roman" w:eastAsia="游明朝" w:hAnsi="Times New Roman" w:cs="Times New Roman"/>
          <w:sz w:val="20"/>
          <w:szCs w:val="20"/>
          <w:shd w:val="clear" w:color="auto" w:fill="FFFFFF"/>
        </w:rPr>
        <w:t>Luc (gifted from Takashi Murakami, Saitama Medical University, Saitama, Japan), to obtain B16.F10.Luc.NY-ESO-1 cells.</w:t>
      </w:r>
    </w:p>
    <w:p w14:paraId="4E4FC2FF" w14:textId="77777777" w:rsidR="00F12E5A" w:rsidRPr="00067DAC" w:rsidRDefault="00F12E5A" w:rsidP="00DB548A">
      <w:pPr>
        <w:widowControl/>
        <w:spacing w:line="480" w:lineRule="auto"/>
        <w:rPr>
          <w:rFonts w:ascii="Times New Roman" w:hAnsi="Times New Roman" w:cs="Times New Roman"/>
          <w:b/>
          <w:bCs/>
          <w:sz w:val="22"/>
        </w:rPr>
      </w:pPr>
    </w:p>
    <w:p w14:paraId="662D90CC" w14:textId="77777777" w:rsidR="00F12E5A" w:rsidRPr="00067DAC" w:rsidRDefault="00F12E5A" w:rsidP="00F12E5A">
      <w:pPr>
        <w:widowControl/>
        <w:spacing w:line="480" w:lineRule="auto"/>
        <w:rPr>
          <w:rFonts w:ascii="Times New Roman" w:hAnsi="Times New Roman" w:cs="Times New Roman"/>
          <w:b/>
          <w:bCs/>
          <w:sz w:val="22"/>
        </w:rPr>
      </w:pPr>
      <w:r w:rsidRPr="00067DAC">
        <w:rPr>
          <w:rFonts w:ascii="Times New Roman" w:hAnsi="Times New Roman" w:cs="Times New Roman"/>
          <w:b/>
          <w:bCs/>
          <w:sz w:val="22"/>
        </w:rPr>
        <w:t>Animal experiments</w:t>
      </w:r>
    </w:p>
    <w:p w14:paraId="43BA9222" w14:textId="60C9CEDF" w:rsidR="007D1A5D" w:rsidRPr="00067DAC" w:rsidRDefault="00F12E5A" w:rsidP="00F12E5A">
      <w:pPr>
        <w:widowControl/>
        <w:tabs>
          <w:tab w:val="left" w:pos="984"/>
        </w:tabs>
        <w:spacing w:line="480" w:lineRule="auto"/>
        <w:rPr>
          <w:rFonts w:ascii="Times New Roman" w:eastAsia="游明朝" w:hAnsi="Times New Roman" w:cs="Times New Roman"/>
          <w:sz w:val="20"/>
          <w:szCs w:val="20"/>
          <w:shd w:val="clear" w:color="auto" w:fill="FFFFFF"/>
        </w:rPr>
      </w:pPr>
      <w:r w:rsidRPr="00067DAC">
        <w:rPr>
          <w:rFonts w:ascii="Times New Roman" w:hAnsi="Times New Roman" w:cs="Times New Roman"/>
          <w:sz w:val="20"/>
          <w:szCs w:val="20"/>
        </w:rPr>
        <w:tab/>
      </w:r>
      <w:r w:rsidR="00794108" w:rsidRPr="00067DAC">
        <w:rPr>
          <w:rFonts w:ascii="Times New Roman" w:hAnsi="Times New Roman" w:cs="Times New Roman" w:hint="eastAsia"/>
          <w:sz w:val="20"/>
          <w:szCs w:val="20"/>
        </w:rPr>
        <w:t xml:space="preserve">Two </w:t>
      </w:r>
      <w:r w:rsidR="00794108" w:rsidRPr="00067DAC">
        <w:rPr>
          <w:rFonts w:ascii="Times New Roman" w:hAnsi="Times New Roman" w:cs="Times New Roman"/>
          <w:sz w:val="20"/>
          <w:szCs w:val="20"/>
        </w:rPr>
        <w:t>independent</w:t>
      </w:r>
      <w:r w:rsidR="00794108" w:rsidRPr="00067DAC">
        <w:rPr>
          <w:rFonts w:ascii="Times New Roman" w:hAnsi="Times New Roman" w:cs="Times New Roman" w:hint="eastAsia"/>
          <w:sz w:val="20"/>
          <w:szCs w:val="20"/>
        </w:rPr>
        <w:t xml:space="preserve"> pharmacological studies were conducted using the </w:t>
      </w:r>
      <w:r w:rsidR="00794108" w:rsidRPr="00067DAC">
        <w:rPr>
          <w:rFonts w:ascii="Times New Roman" w:eastAsia="游明朝" w:hAnsi="Times New Roman" w:cs="Times New Roman"/>
          <w:sz w:val="20"/>
          <w:szCs w:val="20"/>
          <w:shd w:val="clear" w:color="auto" w:fill="FFFFFF"/>
        </w:rPr>
        <w:t>B16.F10.Luc.NY-ESO-1</w:t>
      </w:r>
      <w:r w:rsidR="00794108" w:rsidRPr="00067DAC">
        <w:rPr>
          <w:rFonts w:ascii="Times New Roman" w:eastAsia="游明朝" w:hAnsi="Times New Roman" w:cs="Times New Roman" w:hint="eastAsia"/>
          <w:sz w:val="20"/>
          <w:szCs w:val="20"/>
          <w:shd w:val="clear" w:color="auto" w:fill="FFFFFF"/>
        </w:rPr>
        <w:t xml:space="preserve"> mouse model. Study 1 was designed to evaluate the long-term antitumor efficacy of the test articles. Tumor growth was monitored for up to 43 days following treatment initiation (n = 10 </w:t>
      </w:r>
      <w:r w:rsidR="0006257C">
        <w:rPr>
          <w:rFonts w:ascii="Times New Roman" w:eastAsia="游明朝" w:hAnsi="Times New Roman" w:cs="Times New Roman" w:hint="eastAsia"/>
          <w:sz w:val="20"/>
          <w:szCs w:val="20"/>
          <w:shd w:val="clear" w:color="auto" w:fill="FFFFFF"/>
        </w:rPr>
        <w:t>per</w:t>
      </w:r>
      <w:r w:rsidR="00794108" w:rsidRPr="00067DAC">
        <w:rPr>
          <w:rFonts w:ascii="Times New Roman" w:eastAsia="游明朝" w:hAnsi="Times New Roman" w:cs="Times New Roman" w:hint="eastAsia"/>
          <w:sz w:val="20"/>
          <w:szCs w:val="20"/>
          <w:shd w:val="clear" w:color="auto" w:fill="FFFFFF"/>
        </w:rPr>
        <w:t xml:space="preserve"> group). Study 2 was performed to evaluate immune-related gene expression changes in the tumor microenvironment </w:t>
      </w:r>
      <w:r w:rsidR="007D1A5D" w:rsidRPr="00067DAC">
        <w:rPr>
          <w:rFonts w:ascii="Times New Roman" w:eastAsia="游明朝" w:hAnsi="Times New Roman" w:cs="Times New Roman" w:hint="eastAsia"/>
          <w:sz w:val="20"/>
          <w:szCs w:val="20"/>
          <w:shd w:val="clear" w:color="auto" w:fill="FFFFFF"/>
        </w:rPr>
        <w:t xml:space="preserve">induced </w:t>
      </w:r>
      <w:r w:rsidR="00794108" w:rsidRPr="00067DAC">
        <w:rPr>
          <w:rFonts w:ascii="Times New Roman" w:eastAsia="游明朝" w:hAnsi="Times New Roman" w:cs="Times New Roman" w:hint="eastAsia"/>
          <w:sz w:val="20"/>
          <w:szCs w:val="20"/>
          <w:shd w:val="clear" w:color="auto" w:fill="FFFFFF"/>
        </w:rPr>
        <w:t>by each treatment. T</w:t>
      </w:r>
      <w:r w:rsidR="007D1A5D" w:rsidRPr="00067DAC">
        <w:rPr>
          <w:rFonts w:ascii="Times New Roman" w:eastAsia="游明朝" w:hAnsi="Times New Roman" w:cs="Times New Roman" w:hint="eastAsia"/>
          <w:sz w:val="20"/>
          <w:szCs w:val="20"/>
          <w:shd w:val="clear" w:color="auto" w:fill="FFFFFF"/>
        </w:rPr>
        <w:t>o this end</w:t>
      </w:r>
      <w:r w:rsidR="00794108" w:rsidRPr="00067DAC">
        <w:rPr>
          <w:rFonts w:ascii="Times New Roman" w:eastAsia="游明朝" w:hAnsi="Times New Roman" w:cs="Times New Roman" w:hint="eastAsia"/>
          <w:sz w:val="20"/>
          <w:szCs w:val="20"/>
          <w:shd w:val="clear" w:color="auto" w:fill="FFFFFF"/>
        </w:rPr>
        <w:t xml:space="preserve">, tumors and blood samples were collected </w:t>
      </w:r>
      <w:r w:rsidR="007D1A5D" w:rsidRPr="00067DAC">
        <w:rPr>
          <w:rFonts w:ascii="Times New Roman" w:eastAsia="游明朝" w:hAnsi="Times New Roman" w:cs="Times New Roman" w:hint="eastAsia"/>
          <w:sz w:val="20"/>
          <w:szCs w:val="20"/>
          <w:shd w:val="clear" w:color="auto" w:fill="FFFFFF"/>
        </w:rPr>
        <w:t xml:space="preserve">on day </w:t>
      </w:r>
      <w:r w:rsidR="00794108" w:rsidRPr="00067DAC">
        <w:rPr>
          <w:rFonts w:ascii="Times New Roman" w:eastAsia="游明朝" w:hAnsi="Times New Roman" w:cs="Times New Roman" w:hint="eastAsia"/>
          <w:sz w:val="20"/>
          <w:szCs w:val="20"/>
          <w:shd w:val="clear" w:color="auto" w:fill="FFFFFF"/>
        </w:rPr>
        <w:t xml:space="preserve">10 days after treatment initiation (n = 15 </w:t>
      </w:r>
      <w:r w:rsidR="0006257C">
        <w:rPr>
          <w:rFonts w:ascii="Times New Roman" w:eastAsia="游明朝" w:hAnsi="Times New Roman" w:cs="Times New Roman" w:hint="eastAsia"/>
          <w:sz w:val="20"/>
          <w:szCs w:val="20"/>
          <w:shd w:val="clear" w:color="auto" w:fill="FFFFFF"/>
        </w:rPr>
        <w:t>per</w:t>
      </w:r>
      <w:r w:rsidR="00794108" w:rsidRPr="00067DAC">
        <w:rPr>
          <w:rFonts w:ascii="Times New Roman" w:eastAsia="游明朝" w:hAnsi="Times New Roman" w:cs="Times New Roman" w:hint="eastAsia"/>
          <w:sz w:val="20"/>
          <w:szCs w:val="20"/>
          <w:shd w:val="clear" w:color="auto" w:fill="FFFFFF"/>
        </w:rPr>
        <w:t xml:space="preserve"> group). </w:t>
      </w:r>
    </w:p>
    <w:p w14:paraId="3C8141D3" w14:textId="07D8DDA3" w:rsidR="00F12E5A" w:rsidRPr="00067DAC" w:rsidRDefault="007D1A5D" w:rsidP="001B4525">
      <w:pPr>
        <w:widowControl/>
        <w:tabs>
          <w:tab w:val="left" w:pos="984"/>
        </w:tabs>
        <w:spacing w:line="480" w:lineRule="auto"/>
        <w:rPr>
          <w:rFonts w:ascii="Times New Roman" w:eastAsia="游明朝" w:hAnsi="Times New Roman" w:cs="Times New Roman"/>
          <w:sz w:val="20"/>
          <w:szCs w:val="20"/>
          <w:shd w:val="clear" w:color="auto" w:fill="FFFFFF"/>
        </w:rPr>
      </w:pPr>
      <w:r w:rsidRPr="00067DAC">
        <w:rPr>
          <w:rFonts w:ascii="Times New Roman" w:eastAsia="游明朝" w:hAnsi="Times New Roman" w:cs="Times New Roman"/>
          <w:sz w:val="20"/>
          <w:szCs w:val="20"/>
          <w:shd w:val="clear" w:color="auto" w:fill="FFFFFF"/>
        </w:rPr>
        <w:tab/>
      </w:r>
      <w:r w:rsidR="00F12E5A" w:rsidRPr="00067DAC">
        <w:rPr>
          <w:rFonts w:ascii="Times New Roman" w:hAnsi="Times New Roman" w:cs="Times New Roman"/>
          <w:sz w:val="20"/>
          <w:szCs w:val="20"/>
        </w:rPr>
        <w:t xml:space="preserve">C57BL/6J mice (JAX® Mice Strain, female, 5 </w:t>
      </w:r>
      <w:r w:rsidRPr="00067DAC">
        <w:rPr>
          <w:rFonts w:ascii="Times New Roman" w:hAnsi="Times New Roman" w:cs="Times New Roman" w:hint="eastAsia"/>
          <w:sz w:val="20"/>
          <w:szCs w:val="20"/>
        </w:rPr>
        <w:t xml:space="preserve">or 6 </w:t>
      </w:r>
      <w:r w:rsidR="00F12E5A" w:rsidRPr="00067DAC">
        <w:rPr>
          <w:rFonts w:ascii="Times New Roman" w:hAnsi="Times New Roman" w:cs="Times New Roman"/>
          <w:sz w:val="20"/>
          <w:szCs w:val="20"/>
        </w:rPr>
        <w:t>weeks old) were obtained from Charles River Laboratories Japan.</w:t>
      </w:r>
      <w:r w:rsidR="00F12E5A" w:rsidRPr="00067DAC">
        <w:rPr>
          <w:rFonts w:ascii="Times New Roman" w:eastAsia="Meiryo UI" w:hAnsi="Times New Roman" w:cs="Times New Roman"/>
          <w:sz w:val="20"/>
          <w:szCs w:val="20"/>
        </w:rPr>
        <w:t xml:space="preserve"> </w:t>
      </w:r>
      <w:r w:rsidR="00F12E5A" w:rsidRPr="00067DAC">
        <w:rPr>
          <w:rFonts w:ascii="Times New Roman" w:hAnsi="Times New Roman" w:cs="Times New Roman"/>
          <w:sz w:val="20"/>
          <w:szCs w:val="20"/>
        </w:rPr>
        <w:t>B16.F10.Luc.NY-ESO-1 cells (1 × 10</w:t>
      </w:r>
      <w:r w:rsidR="00F12E5A" w:rsidRPr="00067DAC">
        <w:rPr>
          <w:rFonts w:ascii="Times New Roman" w:hAnsi="Times New Roman" w:cs="Times New Roman"/>
          <w:sz w:val="20"/>
          <w:szCs w:val="20"/>
          <w:vertAlign w:val="superscript"/>
        </w:rPr>
        <w:t>6</w:t>
      </w:r>
      <w:r w:rsidR="00F12E5A" w:rsidRPr="00067DAC">
        <w:rPr>
          <w:rFonts w:ascii="Times New Roman" w:hAnsi="Times New Roman" w:cs="Times New Roman"/>
          <w:sz w:val="20"/>
          <w:szCs w:val="20"/>
        </w:rPr>
        <w:t xml:space="preserve"> cells/0.05 mL/mouse) suspended in PBS </w:t>
      </w:r>
      <w:r w:rsidR="00F12E5A" w:rsidRPr="00067DAC">
        <w:rPr>
          <w:rFonts w:ascii="Times New Roman" w:hAnsi="Times New Roman" w:cs="Times New Roman"/>
          <w:sz w:val="20"/>
          <w:szCs w:val="20"/>
        </w:rPr>
        <w:lastRenderedPageBreak/>
        <w:t xml:space="preserve">were subcutaneously inoculated into C57BL/6J mice. Seven days after the inoculation (designated as day 0), the mice were divided into four groups (group 1: control group to which both MC400 and the isotype control antibody were administered; group 2: KHK2455 group to which both KHK2455 and the isotype control antibody were administered; group 3: anti–PD-L1 group to which both MC400 and anti–PD-L1 antibody were administered; and group 4: combination group to which both KHK2455 and anti–PD-L1 antibody were administered). </w:t>
      </w:r>
      <w:r w:rsidRPr="00067DAC">
        <w:rPr>
          <w:rFonts w:ascii="Times New Roman" w:hAnsi="Times New Roman" w:cs="Times New Roman" w:hint="eastAsia"/>
          <w:sz w:val="20"/>
          <w:szCs w:val="20"/>
        </w:rPr>
        <w:t>In Study 2, a</w:t>
      </w:r>
      <w:r w:rsidR="00F12E5A" w:rsidRPr="00067DAC">
        <w:rPr>
          <w:rFonts w:ascii="Times New Roman" w:hAnsi="Times New Roman" w:cs="Times New Roman"/>
          <w:sz w:val="20"/>
          <w:szCs w:val="20"/>
        </w:rPr>
        <w:t>n additional 15 mice were prepared for sample collection without any treatment for use as the baseline control group.</w:t>
      </w:r>
      <w:r w:rsidR="001B4525" w:rsidRPr="00067DAC">
        <w:rPr>
          <w:rFonts w:ascii="Times New Roman" w:eastAsia="游明朝" w:hAnsi="Times New Roman" w:cs="Times New Roman" w:hint="eastAsia"/>
          <w:sz w:val="20"/>
          <w:szCs w:val="20"/>
          <w:shd w:val="clear" w:color="auto" w:fill="FFFFFF"/>
        </w:rPr>
        <w:t xml:space="preserve"> </w:t>
      </w:r>
      <w:r w:rsidRPr="00067DAC">
        <w:rPr>
          <w:rFonts w:ascii="Times New Roman" w:hAnsi="Times New Roman" w:cs="Times New Roman" w:hint="eastAsia"/>
          <w:sz w:val="20"/>
          <w:szCs w:val="20"/>
        </w:rPr>
        <w:t xml:space="preserve">In Study 1, </w:t>
      </w:r>
      <w:r w:rsidR="00F12E5A" w:rsidRPr="00067DAC">
        <w:rPr>
          <w:rFonts w:ascii="Times New Roman" w:hAnsi="Times New Roman" w:cs="Times New Roman"/>
          <w:sz w:val="20"/>
          <w:szCs w:val="20"/>
        </w:rPr>
        <w:t xml:space="preserve">KHK2455 or MC400 was orally administered once </w:t>
      </w:r>
      <w:r w:rsidR="004B2004" w:rsidRPr="00067DAC">
        <w:rPr>
          <w:rFonts w:ascii="Times New Roman" w:hAnsi="Times New Roman" w:cs="Times New Roman" w:hint="eastAsia"/>
          <w:sz w:val="20"/>
          <w:szCs w:val="20"/>
        </w:rPr>
        <w:t xml:space="preserve">daily </w:t>
      </w:r>
      <w:r w:rsidR="00F12E5A" w:rsidRPr="00067DAC">
        <w:rPr>
          <w:rFonts w:ascii="Times New Roman" w:hAnsi="Times New Roman" w:cs="Times New Roman"/>
          <w:sz w:val="20"/>
          <w:szCs w:val="20"/>
        </w:rPr>
        <w:t xml:space="preserve">for </w:t>
      </w:r>
      <w:r w:rsidRPr="00067DAC">
        <w:rPr>
          <w:rFonts w:ascii="Times New Roman" w:hAnsi="Times New Roman" w:cs="Times New Roman" w:hint="eastAsia"/>
          <w:sz w:val="20"/>
          <w:szCs w:val="20"/>
        </w:rPr>
        <w:t>21</w:t>
      </w:r>
      <w:r w:rsidR="00F12E5A" w:rsidRPr="00067DAC">
        <w:rPr>
          <w:rFonts w:ascii="Times New Roman" w:hAnsi="Times New Roman" w:cs="Times New Roman"/>
          <w:sz w:val="20"/>
          <w:szCs w:val="20"/>
        </w:rPr>
        <w:t xml:space="preserve"> days (day 0 to </w:t>
      </w:r>
      <w:r w:rsidRPr="00067DAC">
        <w:rPr>
          <w:rFonts w:ascii="Times New Roman" w:hAnsi="Times New Roman" w:cs="Times New Roman" w:hint="eastAsia"/>
          <w:sz w:val="20"/>
          <w:szCs w:val="20"/>
        </w:rPr>
        <w:t>20</w:t>
      </w:r>
      <w:r w:rsidR="00F12E5A" w:rsidRPr="00067DAC">
        <w:rPr>
          <w:rFonts w:ascii="Times New Roman" w:hAnsi="Times New Roman" w:cs="Times New Roman"/>
          <w:sz w:val="20"/>
          <w:szCs w:val="20"/>
        </w:rPr>
        <w:t>)</w:t>
      </w:r>
      <w:r w:rsidRPr="00067DAC">
        <w:rPr>
          <w:rFonts w:ascii="Times New Roman" w:hAnsi="Times New Roman" w:cs="Times New Roman" w:hint="eastAsia"/>
          <w:sz w:val="20"/>
          <w:szCs w:val="20"/>
        </w:rPr>
        <w:t>, and in Study 2, for 10 days (day 0 to 9),</w:t>
      </w:r>
      <w:r w:rsidR="00F12E5A" w:rsidRPr="00067DAC">
        <w:rPr>
          <w:rFonts w:ascii="Times New Roman" w:hAnsi="Times New Roman" w:cs="Times New Roman"/>
          <w:sz w:val="20"/>
          <w:szCs w:val="20"/>
        </w:rPr>
        <w:t xml:space="preserve"> at a dose of 10 mg/kg</w:t>
      </w:r>
      <w:r w:rsidRPr="00067DAC">
        <w:rPr>
          <w:rFonts w:ascii="Times New Roman" w:hAnsi="Times New Roman" w:cs="Times New Roman" w:hint="eastAsia"/>
          <w:sz w:val="20"/>
          <w:szCs w:val="20"/>
        </w:rPr>
        <w:t xml:space="preserve">. Additionally, </w:t>
      </w:r>
      <w:r w:rsidR="00F12E5A" w:rsidRPr="00067DAC">
        <w:rPr>
          <w:rFonts w:ascii="Times New Roman" w:hAnsi="Times New Roman" w:cs="Times New Roman"/>
          <w:sz w:val="20"/>
          <w:szCs w:val="20"/>
        </w:rPr>
        <w:t>anti–PD-L1 antibody or the isotype control antibody was intraperitoneally administered at a dose of 100</w:t>
      </w:r>
      <w:r w:rsidR="00F12E5A" w:rsidRPr="00067DAC">
        <w:rPr>
          <w:rFonts w:ascii="Times New Roman" w:hAnsi="Times New Roman" w:cs="Times New Roman" w:hint="eastAsia"/>
          <w:sz w:val="20"/>
          <w:szCs w:val="20"/>
        </w:rPr>
        <w:t xml:space="preserve"> </w:t>
      </w:r>
      <w:r w:rsidR="00F12E5A" w:rsidRPr="00067DAC">
        <w:rPr>
          <w:rFonts w:ascii="Times New Roman" w:hAnsi="Times New Roman" w:cs="Times New Roman"/>
          <w:sz w:val="20"/>
          <w:szCs w:val="20"/>
        </w:rPr>
        <w:t>μg/mouse</w:t>
      </w:r>
      <w:r w:rsidR="004B2004" w:rsidRPr="00067DAC">
        <w:rPr>
          <w:rFonts w:ascii="Times New Roman" w:hAnsi="Times New Roman" w:cs="Times New Roman" w:hint="eastAsia"/>
          <w:sz w:val="20"/>
          <w:szCs w:val="20"/>
        </w:rPr>
        <w:t xml:space="preserve"> on</w:t>
      </w:r>
      <w:r w:rsidR="004B2004" w:rsidRPr="00067DAC">
        <w:rPr>
          <w:rFonts w:ascii="Times New Roman" w:hAnsi="Times New Roman" w:cs="Times New Roman"/>
          <w:sz w:val="20"/>
          <w:szCs w:val="20"/>
        </w:rPr>
        <w:t xml:space="preserve"> days 0, 2, and 4</w:t>
      </w:r>
      <w:r w:rsidR="004B2004" w:rsidRPr="00067DAC">
        <w:rPr>
          <w:rFonts w:ascii="Times New Roman" w:hAnsi="Times New Roman" w:cs="Times New Roman" w:hint="eastAsia"/>
          <w:sz w:val="20"/>
          <w:szCs w:val="20"/>
        </w:rPr>
        <w:t xml:space="preserve"> in both Study 1 and Study 2</w:t>
      </w:r>
      <w:r w:rsidR="00F12E5A" w:rsidRPr="00067DAC">
        <w:rPr>
          <w:rFonts w:ascii="Times New Roman" w:hAnsi="Times New Roman" w:cs="Times New Roman"/>
          <w:sz w:val="20"/>
          <w:szCs w:val="20"/>
        </w:rPr>
        <w:t xml:space="preserve">. </w:t>
      </w:r>
    </w:p>
    <w:p w14:paraId="45C70EE6" w14:textId="17148D8C" w:rsidR="00F12E5A" w:rsidRPr="00067DAC" w:rsidRDefault="00F12E5A" w:rsidP="00F12E5A">
      <w:pPr>
        <w:pStyle w:val="Paragraph"/>
        <w:spacing w:line="480" w:lineRule="auto"/>
        <w:jc w:val="both"/>
        <w:rPr>
          <w:sz w:val="20"/>
          <w:szCs w:val="20"/>
        </w:rPr>
      </w:pPr>
      <w:r w:rsidRPr="00067DAC">
        <w:rPr>
          <w:sz w:val="20"/>
          <w:szCs w:val="20"/>
        </w:rPr>
        <w:t>The tumor volume at each time point (</w:t>
      </w:r>
      <m:oMath>
        <m:r>
          <w:rPr>
            <w:rFonts w:ascii="Cambria Math" w:hAnsi="Cambria Math"/>
            <w:sz w:val="20"/>
            <w:szCs w:val="20"/>
          </w:rPr>
          <m:t>V</m:t>
        </m:r>
      </m:oMath>
      <w:r w:rsidRPr="00067DAC">
        <w:rPr>
          <w:sz w:val="20"/>
          <w:szCs w:val="20"/>
        </w:rPr>
        <w:t>) was calculated as follows:</w:t>
      </w:r>
    </w:p>
    <w:p w14:paraId="4D1F41FE" w14:textId="49763785" w:rsidR="00AE51DC" w:rsidRPr="00067DAC" w:rsidRDefault="00E67AA0" w:rsidP="00F12E5A">
      <w:pPr>
        <w:pStyle w:val="Paragraph"/>
        <w:spacing w:line="480" w:lineRule="auto"/>
        <w:ind w:firstLine="840"/>
        <w:jc w:val="both"/>
        <w:rPr>
          <w:sz w:val="20"/>
          <w:szCs w:val="20"/>
        </w:rPr>
      </w:pPr>
      <m:oMathPara>
        <m:oMath>
          <m:r>
            <w:rPr>
              <w:rFonts w:ascii="Cambria Math" w:hAnsi="Cambria Math"/>
              <w:sz w:val="20"/>
              <w:szCs w:val="20"/>
            </w:rPr>
            <m:t>V</m:t>
          </m:r>
          <m:r>
            <m:rPr>
              <m:sty m:val="p"/>
            </m:rPr>
            <w:rPr>
              <w:rFonts w:ascii="Cambria Math" w:hAnsi="Cambria Math"/>
              <w:sz w:val="20"/>
              <w:szCs w:val="20"/>
            </w:rPr>
            <m:t xml:space="preserve">= </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L</m:t>
              </m:r>
            </m:sub>
          </m:sSub>
          <m:r>
            <w:rPr>
              <w:rFonts w:ascii="Cambria Math" w:hAnsi="Cambria Math"/>
              <w:sz w:val="20"/>
              <w:szCs w:val="20"/>
            </w:rPr>
            <m:t xml:space="preserve"> × </m:t>
          </m:r>
          <m:sSubSup>
            <m:sSubSupPr>
              <m:ctrlPr>
                <w:rPr>
                  <w:rFonts w:ascii="Cambria Math" w:hAnsi="Cambria Math"/>
                  <w:i/>
                  <w:sz w:val="20"/>
                  <w:szCs w:val="20"/>
                </w:rPr>
              </m:ctrlPr>
            </m:sSubSupPr>
            <m:e>
              <m:r>
                <w:rPr>
                  <w:rFonts w:ascii="Cambria Math" w:hAnsi="Cambria Math"/>
                  <w:sz w:val="20"/>
                  <w:szCs w:val="20"/>
                </w:rPr>
                <m:t>D</m:t>
              </m:r>
            </m:e>
            <m:sub>
              <m:r>
                <w:rPr>
                  <w:rFonts w:ascii="Cambria Math" w:hAnsi="Cambria Math"/>
                  <w:sz w:val="20"/>
                  <w:szCs w:val="20"/>
                </w:rPr>
                <m:t>s</m:t>
              </m:r>
            </m:sub>
            <m:sup>
              <m:r>
                <w:rPr>
                  <w:rFonts w:ascii="Cambria Math" w:hAnsi="Cambria Math"/>
                  <w:sz w:val="20"/>
                  <w:szCs w:val="20"/>
                </w:rPr>
                <m:t>2</m:t>
              </m:r>
            </m:sup>
          </m:sSubSup>
        </m:oMath>
      </m:oMathPara>
    </w:p>
    <w:p w14:paraId="139D1103" w14:textId="00DBA854" w:rsidR="00E67AA0" w:rsidRPr="00067DAC" w:rsidRDefault="00E67AA0" w:rsidP="00E67AA0">
      <w:pPr>
        <w:pStyle w:val="Paragraph"/>
        <w:spacing w:line="480" w:lineRule="auto"/>
        <w:ind w:firstLine="840"/>
        <w:jc w:val="both"/>
        <w:rPr>
          <w:sz w:val="20"/>
          <w:szCs w:val="20"/>
        </w:rPr>
      </w:pPr>
      <w:bookmarkStart w:id="3" w:name="_Hlk80792513"/>
      <w:r w:rsidRPr="00067DAC">
        <w:rPr>
          <w:rFonts w:hint="eastAsia"/>
          <w:sz w:val="20"/>
          <w:szCs w:val="20"/>
        </w:rPr>
        <w:t xml:space="preserve">where </w:t>
      </w:r>
      <w:r w:rsidRPr="00067DAC">
        <w:rPr>
          <w:rFonts w:hint="eastAsia"/>
          <w:i/>
          <w:iCs/>
          <w:sz w:val="20"/>
          <w:szCs w:val="20"/>
        </w:rPr>
        <w:t>D</w:t>
      </w:r>
      <w:r w:rsidRPr="00067DAC">
        <w:rPr>
          <w:rFonts w:hint="eastAsia"/>
          <w:i/>
          <w:iCs/>
          <w:sz w:val="20"/>
          <w:szCs w:val="20"/>
          <w:vertAlign w:val="subscript"/>
        </w:rPr>
        <w:t>L</w:t>
      </w:r>
      <w:r w:rsidRPr="00067DAC">
        <w:rPr>
          <w:rFonts w:hint="eastAsia"/>
          <w:i/>
          <w:iCs/>
          <w:sz w:val="20"/>
          <w:szCs w:val="20"/>
        </w:rPr>
        <w:t xml:space="preserve"> </w:t>
      </w:r>
      <w:r w:rsidRPr="00067DAC">
        <w:rPr>
          <w:rFonts w:hint="eastAsia"/>
          <w:sz w:val="20"/>
          <w:szCs w:val="20"/>
        </w:rPr>
        <w:t xml:space="preserve">and </w:t>
      </w:r>
      <w:r w:rsidRPr="00067DAC">
        <w:rPr>
          <w:rFonts w:hint="eastAsia"/>
          <w:i/>
          <w:iCs/>
          <w:sz w:val="20"/>
          <w:szCs w:val="20"/>
        </w:rPr>
        <w:t>D</w:t>
      </w:r>
      <w:r w:rsidRPr="00067DAC">
        <w:rPr>
          <w:rFonts w:hint="eastAsia"/>
          <w:i/>
          <w:iCs/>
          <w:sz w:val="20"/>
          <w:szCs w:val="20"/>
          <w:vertAlign w:val="subscript"/>
        </w:rPr>
        <w:t>s</w:t>
      </w:r>
      <w:r w:rsidRPr="00067DAC">
        <w:rPr>
          <w:rFonts w:hint="eastAsia"/>
          <w:sz w:val="20"/>
          <w:szCs w:val="20"/>
        </w:rPr>
        <w:t xml:space="preserve"> represent the long and short diameters</w:t>
      </w:r>
      <w:r w:rsidR="003F0907" w:rsidRPr="00067DAC">
        <w:rPr>
          <w:rFonts w:hint="eastAsia"/>
          <w:sz w:val="20"/>
          <w:szCs w:val="20"/>
        </w:rPr>
        <w:t xml:space="preserve"> (mm)</w:t>
      </w:r>
      <w:r w:rsidRPr="00067DAC">
        <w:rPr>
          <w:rFonts w:hint="eastAsia"/>
          <w:sz w:val="20"/>
          <w:szCs w:val="20"/>
        </w:rPr>
        <w:t>, respectively.</w:t>
      </w:r>
    </w:p>
    <w:p w14:paraId="30D00C6D" w14:textId="18627131" w:rsidR="00F12E5A" w:rsidRPr="00067DAC" w:rsidRDefault="00F12E5A" w:rsidP="00F12E5A">
      <w:pPr>
        <w:pStyle w:val="Paragraph"/>
        <w:spacing w:line="480" w:lineRule="auto"/>
        <w:jc w:val="both"/>
        <w:rPr>
          <w:sz w:val="20"/>
          <w:szCs w:val="20"/>
        </w:rPr>
      </w:pPr>
      <w:r w:rsidRPr="00067DAC">
        <w:rPr>
          <w:sz w:val="20"/>
          <w:szCs w:val="20"/>
        </w:rPr>
        <w:t>The area under the curve of tumor volume</w:t>
      </w:r>
      <w:bookmarkEnd w:id="3"/>
      <w:r w:rsidRPr="00067DAC">
        <w:rPr>
          <w:sz w:val="20"/>
          <w:szCs w:val="20"/>
        </w:rPr>
        <w:t xml:space="preserve">–time, </w:t>
      </w:r>
      <w:bookmarkStart w:id="4" w:name="_Hlk80792536"/>
      <w:r w:rsidRPr="00067DAC">
        <w:rPr>
          <w:i/>
          <w:iCs/>
          <w:sz w:val="20"/>
          <w:szCs w:val="20"/>
        </w:rPr>
        <w:t>V</w:t>
      </w:r>
      <w:r w:rsidRPr="00067DAC">
        <w:rPr>
          <w:sz w:val="20"/>
          <w:szCs w:val="20"/>
          <w:vertAlign w:val="subscript"/>
        </w:rPr>
        <w:t>AUC</w:t>
      </w:r>
      <w:bookmarkEnd w:id="4"/>
      <w:r w:rsidRPr="00067DAC">
        <w:rPr>
          <w:sz w:val="20"/>
          <w:szCs w:val="20"/>
        </w:rPr>
        <w:t>, was calculated as follows:</w:t>
      </w:r>
    </w:p>
    <w:p w14:paraId="38798538" w14:textId="1064F4F7" w:rsidR="00F12E5A" w:rsidRPr="00067DAC" w:rsidRDefault="00000000" w:rsidP="00F12E5A">
      <w:pPr>
        <w:pStyle w:val="Paragraph"/>
        <w:spacing w:line="48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m:rPr>
                  <m:sty m:val="p"/>
                </m:rPr>
                <w:rPr>
                  <w:rFonts w:ascii="Cambria Math" w:hAnsi="Cambria Math"/>
                  <w:sz w:val="20"/>
                  <w:szCs w:val="20"/>
                </w:rPr>
                <m:t>AUC</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ty m:val="p"/>
                </m:rPr>
                <w:rPr>
                  <w:rFonts w:ascii="Cambria Math" w:hAnsi="Cambria Math"/>
                  <w:sz w:val="20"/>
                  <w:szCs w:val="20"/>
                </w:rPr>
                <m:t>day0</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ty m:val="p"/>
                </m:rPr>
                <w:rPr>
                  <w:rFonts w:ascii="Cambria Math" w:hAnsi="Cambria Math"/>
                  <w:sz w:val="20"/>
                  <w:szCs w:val="20"/>
                </w:rPr>
                <m:t>day4</m:t>
              </m:r>
            </m:sub>
          </m:sSub>
          <m:r>
            <m:rPr>
              <m:sty m:val="p"/>
            </m:rPr>
            <w:rPr>
              <w:rFonts w:ascii="Cambria Math" w:hAnsi="Cambria Math"/>
              <w:sz w:val="20"/>
              <w:szCs w:val="20"/>
            </w:rPr>
            <m:t>)×4×</m:t>
          </m:r>
          <m:f>
            <m:fPr>
              <m:ctrlPr>
                <w:rPr>
                  <w:rFonts w:ascii="Cambria Math" w:hAnsi="Cambria Math"/>
                  <w:sz w:val="20"/>
                  <w:szCs w:val="20"/>
                </w:rPr>
              </m:ctrlPr>
            </m:fPr>
            <m:num>
              <m:r>
                <m:rPr>
                  <m:sty m:val="p"/>
                </m:rPr>
                <w:rPr>
                  <w:rFonts w:ascii="Cambria Math" w:hAnsi="Cambria Math"/>
                  <w:sz w:val="20"/>
                  <w:szCs w:val="20"/>
                </w:rPr>
                <m:t>1</m:t>
              </m:r>
            </m:num>
            <m:den>
              <m:r>
                <m:rPr>
                  <m:sty m:val="p"/>
                </m:rPr>
                <w:rPr>
                  <w:rFonts w:ascii="Cambria Math" w:hAnsi="Cambria Math"/>
                  <w:sz w:val="20"/>
                  <w:szCs w:val="20"/>
                </w:rPr>
                <m:t>2</m:t>
              </m:r>
            </m:den>
          </m:f>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ty m:val="p"/>
                </m:rPr>
                <w:rPr>
                  <w:rFonts w:ascii="Cambria Math" w:hAnsi="Cambria Math"/>
                  <w:sz w:val="20"/>
                  <w:szCs w:val="20"/>
                </w:rPr>
                <m:t>day4</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ty m:val="p"/>
                </m:rPr>
                <w:rPr>
                  <w:rFonts w:ascii="Cambria Math" w:hAnsi="Cambria Math"/>
                  <w:sz w:val="20"/>
                  <w:szCs w:val="20"/>
                </w:rPr>
                <m:t>day7</m:t>
              </m:r>
            </m:sub>
          </m:sSub>
          <m:r>
            <m:rPr>
              <m:sty m:val="p"/>
            </m:rPr>
            <w:rPr>
              <w:rFonts w:ascii="Cambria Math" w:hAnsi="Cambria Math"/>
              <w:sz w:val="20"/>
              <w:szCs w:val="20"/>
            </w:rPr>
            <m:t>)×3×</m:t>
          </m:r>
          <m:f>
            <m:fPr>
              <m:ctrlPr>
                <w:rPr>
                  <w:rFonts w:ascii="Cambria Math" w:hAnsi="Cambria Math"/>
                  <w:sz w:val="20"/>
                  <w:szCs w:val="20"/>
                </w:rPr>
              </m:ctrlPr>
            </m:fPr>
            <m:num>
              <m:r>
                <m:rPr>
                  <m:sty m:val="p"/>
                </m:rPr>
                <w:rPr>
                  <w:rFonts w:ascii="Cambria Math" w:hAnsi="Cambria Math"/>
                  <w:sz w:val="20"/>
                  <w:szCs w:val="20"/>
                </w:rPr>
                <m:t>1</m:t>
              </m:r>
            </m:num>
            <m:den>
              <m:r>
                <m:rPr>
                  <m:sty m:val="p"/>
                </m:rPr>
                <w:rPr>
                  <w:rFonts w:ascii="Cambria Math" w:hAnsi="Cambria Math"/>
                  <w:sz w:val="20"/>
                  <w:szCs w:val="20"/>
                </w:rPr>
                <m:t>2</m:t>
              </m:r>
            </m:den>
          </m:f>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ty m:val="p"/>
                </m:rPr>
                <w:rPr>
                  <w:rFonts w:ascii="Cambria Math" w:hAnsi="Cambria Math"/>
                  <w:sz w:val="20"/>
                  <w:szCs w:val="20"/>
                </w:rPr>
                <m:t>day7</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ty m:val="p"/>
                </m:rPr>
                <w:rPr>
                  <w:rFonts w:ascii="Cambria Math" w:hAnsi="Cambria Math"/>
                  <w:sz w:val="20"/>
                  <w:szCs w:val="20"/>
                </w:rPr>
                <m:t>day10</m:t>
              </m:r>
            </m:sub>
          </m:sSub>
          <m:r>
            <m:rPr>
              <m:sty m:val="p"/>
            </m:rPr>
            <w:rPr>
              <w:rFonts w:ascii="Cambria Math" w:hAnsi="Cambria Math"/>
              <w:sz w:val="20"/>
              <w:szCs w:val="20"/>
            </w:rPr>
            <m:t>)×3×</m:t>
          </m:r>
          <m:f>
            <m:fPr>
              <m:ctrlPr>
                <w:rPr>
                  <w:rFonts w:ascii="Cambria Math" w:hAnsi="Cambria Math"/>
                  <w:sz w:val="20"/>
                  <w:szCs w:val="20"/>
                </w:rPr>
              </m:ctrlPr>
            </m:fPr>
            <m:num>
              <m:r>
                <m:rPr>
                  <m:sty m:val="p"/>
                </m:rPr>
                <w:rPr>
                  <w:rFonts w:ascii="Cambria Math" w:hAnsi="Cambria Math"/>
                  <w:sz w:val="20"/>
                  <w:szCs w:val="20"/>
                </w:rPr>
                <m:t>1</m:t>
              </m:r>
            </m:num>
            <m:den>
              <m:r>
                <m:rPr>
                  <m:sty m:val="p"/>
                </m:rPr>
                <w:rPr>
                  <w:rFonts w:ascii="Cambria Math" w:hAnsi="Cambria Math"/>
                  <w:sz w:val="20"/>
                  <w:szCs w:val="20"/>
                </w:rPr>
                <m:t>2</m:t>
              </m:r>
            </m:den>
          </m:f>
        </m:oMath>
      </m:oMathPara>
    </w:p>
    <w:p w14:paraId="758C1D06" w14:textId="1C2B7EB2" w:rsidR="00F12E5A" w:rsidRPr="00067DAC" w:rsidRDefault="00486B18" w:rsidP="00DB548A">
      <w:pPr>
        <w:widowControl/>
        <w:spacing w:line="480" w:lineRule="auto"/>
        <w:rPr>
          <w:rFonts w:ascii="Times New Roman" w:hAnsi="Times New Roman" w:cs="Times New Roman"/>
          <w:sz w:val="20"/>
          <w:szCs w:val="20"/>
        </w:rPr>
      </w:pPr>
      <w:r w:rsidRPr="00067DAC">
        <w:rPr>
          <w:rFonts w:ascii="Times New Roman" w:hAnsi="Times New Roman" w:cs="Times New Roman"/>
          <w:sz w:val="20"/>
          <w:szCs w:val="20"/>
        </w:rPr>
        <w:t>T</w:t>
      </w:r>
      <w:r w:rsidRPr="00067DAC">
        <w:rPr>
          <w:rFonts w:ascii="Times New Roman" w:hAnsi="Times New Roman" w:cs="Times New Roman" w:hint="eastAsia"/>
          <w:sz w:val="20"/>
          <w:szCs w:val="20"/>
        </w:rPr>
        <w:t>umor growth inhibition (TGI) was calculated as follows:</w:t>
      </w:r>
    </w:p>
    <w:p w14:paraId="031D1F32" w14:textId="1FD8431A" w:rsidR="00486B18" w:rsidRPr="00067DAC" w:rsidRDefault="00486B18" w:rsidP="00DB548A">
      <w:pPr>
        <w:widowControl/>
        <w:spacing w:line="480" w:lineRule="auto"/>
        <w:rPr>
          <w:rFonts w:ascii="Times New Roman" w:hAnsi="Times New Roman" w:cs="Times New Roman"/>
          <w:b/>
          <w:bCs/>
          <w:sz w:val="22"/>
        </w:rPr>
      </w:pPr>
      <m:oMathPara>
        <m:oMath>
          <m:r>
            <m:rPr>
              <m:sty m:val="p"/>
            </m:rPr>
            <w:rPr>
              <w:rFonts w:ascii="Cambria Math" w:hAnsi="Cambria Math"/>
              <w:sz w:val="20"/>
              <w:szCs w:val="20"/>
            </w:rPr>
            <m:t xml:space="preserve">TGI </m:t>
          </m:r>
          <m:d>
            <m:dPr>
              <m:ctrlPr>
                <w:rPr>
                  <w:rFonts w:ascii="Cambria Math" w:hAnsi="Cambria Math"/>
                  <w:sz w:val="20"/>
                  <w:szCs w:val="20"/>
                </w:rPr>
              </m:ctrlPr>
            </m:dPr>
            <m:e>
              <m:r>
                <m:rPr>
                  <m:sty m:val="p"/>
                </m:rPr>
                <w:rPr>
                  <w:rFonts w:ascii="Cambria Math" w:hAnsi="Cambria Math"/>
                  <w:sz w:val="20"/>
                  <w:szCs w:val="20"/>
                </w:rPr>
                <m:t>%</m:t>
              </m:r>
            </m:e>
          </m:d>
          <m:r>
            <m:rPr>
              <m:sty m:val="p"/>
            </m:rPr>
            <w:rPr>
              <w:rFonts w:ascii="Cambria Math" w:hAnsi="Cambria Math"/>
              <w:sz w:val="20"/>
              <w:szCs w:val="20"/>
            </w:rPr>
            <m:t>=</m:t>
          </m:r>
          <m:d>
            <m:dPr>
              <m:begChr m:val="["/>
              <m:endChr m:val="]"/>
              <m:ctrlPr>
                <w:rPr>
                  <w:rFonts w:ascii="Cambria Math" w:hAnsi="Cambria Math"/>
                  <w:sz w:val="20"/>
                  <w:szCs w:val="20"/>
                </w:rPr>
              </m:ctrlPr>
            </m:dPr>
            <m:e>
              <m:r>
                <w:rPr>
                  <w:rFonts w:ascii="Cambria Math" w:hAnsi="Cambria Math"/>
                  <w:sz w:val="20"/>
                  <w:szCs w:val="20"/>
                </w:rPr>
                <m:t xml:space="preserve">1 - </m:t>
              </m:r>
              <m:f>
                <m:fPr>
                  <m:ctrlPr>
                    <w:rPr>
                      <w:rFonts w:ascii="Cambria Math" w:hAnsi="Cambria Math"/>
                      <w:i/>
                      <w:sz w:val="20"/>
                      <w:szCs w:val="20"/>
                    </w:rPr>
                  </m:ctrlPr>
                </m:fPr>
                <m:num>
                  <m:d>
                    <m:dPr>
                      <m:ctrlPr>
                        <w:rPr>
                          <w:rFonts w:ascii="Cambria Math" w:hAnsi="Cambria Math"/>
                          <w:i/>
                          <w:sz w:val="20"/>
                          <w:szCs w:val="20"/>
                        </w:rPr>
                      </m:ctrlPr>
                    </m:dPr>
                    <m:e>
                      <m:sSub>
                        <m:sSubPr>
                          <m:ctrlPr>
                            <w:rPr>
                              <w:rFonts w:ascii="Cambria Math" w:hAnsi="Cambria Math"/>
                              <w:iCs/>
                              <w:sz w:val="20"/>
                              <w:szCs w:val="20"/>
                            </w:rPr>
                          </m:ctrlPr>
                        </m:sSubPr>
                        <m:e>
                          <m:r>
                            <w:rPr>
                              <w:rFonts w:ascii="Cambria Math" w:hAnsi="Cambria Math"/>
                              <w:sz w:val="20"/>
                              <w:szCs w:val="20"/>
                            </w:rPr>
                            <m:t>T</m:t>
                          </m:r>
                        </m:e>
                        <m:sub>
                          <m:r>
                            <w:rPr>
                              <w:rFonts w:ascii="Cambria Math" w:hAnsi="Cambria Math"/>
                              <w:sz w:val="20"/>
                              <w:szCs w:val="20"/>
                            </w:rPr>
                            <m:t>t</m:t>
                          </m:r>
                        </m:sub>
                      </m:sSub>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0</m:t>
                          </m:r>
                        </m:sub>
                      </m:sSub>
                    </m:e>
                  </m:d>
                </m:num>
                <m:den>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t</m:t>
                          </m:r>
                        </m:sub>
                      </m:sSub>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C</m:t>
                          </m:r>
                        </m:e>
                        <m:sub>
                          <m:r>
                            <m:rPr>
                              <m:sty m:val="p"/>
                            </m:rPr>
                            <w:rPr>
                              <w:rFonts w:ascii="Cambria Math" w:hAnsi="Cambria Math"/>
                              <w:sz w:val="20"/>
                              <w:szCs w:val="20"/>
                            </w:rPr>
                            <m:t>0</m:t>
                          </m:r>
                        </m:sub>
                      </m:sSub>
                    </m:e>
                  </m:d>
                </m:den>
              </m:f>
            </m:e>
          </m:d>
          <m:r>
            <m:rPr>
              <m:sty m:val="p"/>
            </m:rPr>
            <w:rPr>
              <w:rFonts w:ascii="Cambria Math" w:hAnsi="Cambria Math"/>
              <w:sz w:val="20"/>
              <w:szCs w:val="20"/>
            </w:rPr>
            <m:t>×100</m:t>
          </m:r>
        </m:oMath>
      </m:oMathPara>
    </w:p>
    <w:p w14:paraId="50F1C491" w14:textId="76591DE0" w:rsidR="00486B18" w:rsidRPr="00067DAC" w:rsidRDefault="00486B18" w:rsidP="00E67AA0">
      <w:pPr>
        <w:widowControl/>
        <w:spacing w:line="480" w:lineRule="auto"/>
        <w:ind w:firstLine="840"/>
        <w:rPr>
          <w:rFonts w:ascii="Times New Roman" w:hAnsi="Times New Roman" w:cs="Times New Roman"/>
          <w:sz w:val="20"/>
          <w:szCs w:val="20"/>
        </w:rPr>
      </w:pPr>
      <w:r w:rsidRPr="00067DAC">
        <w:rPr>
          <w:rFonts w:ascii="Times New Roman" w:hAnsi="Times New Roman" w:cs="Times New Roman" w:hint="eastAsia"/>
          <w:sz w:val="20"/>
          <w:szCs w:val="20"/>
        </w:rPr>
        <w:lastRenderedPageBreak/>
        <w:t xml:space="preserve">where </w:t>
      </w:r>
      <w:r w:rsidRPr="00067DAC">
        <w:rPr>
          <w:rFonts w:ascii="Times New Roman" w:hAnsi="Times New Roman" w:cs="Times New Roman" w:hint="eastAsia"/>
          <w:i/>
          <w:iCs/>
          <w:sz w:val="20"/>
          <w:szCs w:val="20"/>
        </w:rPr>
        <w:t>T</w:t>
      </w:r>
      <w:r w:rsidRPr="00067DAC">
        <w:rPr>
          <w:rFonts w:ascii="Times New Roman" w:hAnsi="Times New Roman" w:cs="Times New Roman" w:hint="eastAsia"/>
          <w:i/>
          <w:iCs/>
          <w:sz w:val="20"/>
          <w:szCs w:val="20"/>
          <w:vertAlign w:val="subscript"/>
        </w:rPr>
        <w:t>t</w:t>
      </w:r>
      <w:r w:rsidRPr="00067DAC">
        <w:rPr>
          <w:rFonts w:ascii="Times New Roman" w:hAnsi="Times New Roman" w:cs="Times New Roman" w:hint="eastAsia"/>
          <w:i/>
          <w:iCs/>
          <w:sz w:val="20"/>
          <w:szCs w:val="20"/>
        </w:rPr>
        <w:t xml:space="preserve"> </w:t>
      </w:r>
      <w:r w:rsidRPr="00067DAC">
        <w:rPr>
          <w:rFonts w:ascii="Times New Roman" w:hAnsi="Times New Roman" w:cs="Times New Roman" w:hint="eastAsia"/>
          <w:sz w:val="20"/>
          <w:szCs w:val="20"/>
        </w:rPr>
        <w:t xml:space="preserve">and </w:t>
      </w:r>
      <w:r w:rsidRPr="00067DAC">
        <w:rPr>
          <w:rFonts w:ascii="Times New Roman" w:hAnsi="Times New Roman" w:cs="Times New Roman" w:hint="eastAsia"/>
          <w:i/>
          <w:iCs/>
          <w:sz w:val="20"/>
          <w:szCs w:val="20"/>
        </w:rPr>
        <w:t>C</w:t>
      </w:r>
      <w:r w:rsidRPr="00067DAC">
        <w:rPr>
          <w:rFonts w:ascii="Times New Roman" w:hAnsi="Times New Roman" w:cs="Times New Roman" w:hint="eastAsia"/>
          <w:i/>
          <w:iCs/>
          <w:sz w:val="20"/>
          <w:szCs w:val="20"/>
          <w:vertAlign w:val="subscript"/>
        </w:rPr>
        <w:t>t</w:t>
      </w:r>
      <w:r w:rsidRPr="00067DAC">
        <w:rPr>
          <w:rFonts w:ascii="Times New Roman" w:hAnsi="Times New Roman" w:cs="Times New Roman" w:hint="eastAsia"/>
          <w:sz w:val="20"/>
          <w:szCs w:val="20"/>
        </w:rPr>
        <w:t xml:space="preserve"> represent </w:t>
      </w:r>
      <w:r w:rsidR="00F37EFD" w:rsidRPr="00067DAC">
        <w:rPr>
          <w:rFonts w:ascii="Times New Roman" w:hAnsi="Times New Roman" w:cs="Times New Roman" w:hint="eastAsia"/>
          <w:sz w:val="20"/>
          <w:szCs w:val="20"/>
        </w:rPr>
        <w:t>the mean tumor volumes of the treat</w:t>
      </w:r>
      <w:r w:rsidR="00AE51DC" w:rsidRPr="00067DAC">
        <w:rPr>
          <w:rFonts w:ascii="Times New Roman" w:hAnsi="Times New Roman" w:cs="Times New Roman" w:hint="eastAsia"/>
          <w:sz w:val="20"/>
          <w:szCs w:val="20"/>
        </w:rPr>
        <w:t>ment</w:t>
      </w:r>
      <w:r w:rsidR="00F37EFD" w:rsidRPr="00067DAC">
        <w:rPr>
          <w:rFonts w:ascii="Times New Roman" w:hAnsi="Times New Roman" w:cs="Times New Roman" w:hint="eastAsia"/>
          <w:sz w:val="20"/>
          <w:szCs w:val="20"/>
        </w:rPr>
        <w:t xml:space="preserve"> and control groups at a given time point, respectively, and </w:t>
      </w:r>
      <w:r w:rsidR="00F37EFD" w:rsidRPr="00067DAC">
        <w:rPr>
          <w:rFonts w:ascii="Times New Roman" w:hAnsi="Times New Roman" w:cs="Times New Roman" w:hint="eastAsia"/>
          <w:i/>
          <w:iCs/>
          <w:sz w:val="20"/>
          <w:szCs w:val="20"/>
        </w:rPr>
        <w:t>T</w:t>
      </w:r>
      <w:r w:rsidR="00F37EFD" w:rsidRPr="00067DAC">
        <w:rPr>
          <w:rFonts w:ascii="Times New Roman" w:hAnsi="Times New Roman" w:cs="Times New Roman" w:hint="eastAsia"/>
          <w:sz w:val="20"/>
          <w:szCs w:val="20"/>
          <w:vertAlign w:val="subscript"/>
        </w:rPr>
        <w:t>0</w:t>
      </w:r>
      <w:r w:rsidR="00F37EFD" w:rsidRPr="00067DAC">
        <w:rPr>
          <w:rFonts w:ascii="Times New Roman" w:hAnsi="Times New Roman" w:cs="Times New Roman" w:hint="eastAsia"/>
          <w:sz w:val="20"/>
          <w:szCs w:val="20"/>
        </w:rPr>
        <w:t xml:space="preserve"> and </w:t>
      </w:r>
      <w:r w:rsidR="00F37EFD" w:rsidRPr="00067DAC">
        <w:rPr>
          <w:rFonts w:ascii="Times New Roman" w:hAnsi="Times New Roman" w:cs="Times New Roman" w:hint="eastAsia"/>
          <w:i/>
          <w:iCs/>
          <w:sz w:val="20"/>
          <w:szCs w:val="20"/>
        </w:rPr>
        <w:t>C</w:t>
      </w:r>
      <w:r w:rsidR="00F37EFD" w:rsidRPr="00067DAC">
        <w:rPr>
          <w:rFonts w:ascii="Times New Roman" w:hAnsi="Times New Roman" w:cs="Times New Roman" w:hint="eastAsia"/>
          <w:sz w:val="20"/>
          <w:szCs w:val="20"/>
          <w:vertAlign w:val="subscript"/>
        </w:rPr>
        <w:t>0</w:t>
      </w:r>
      <w:r w:rsidR="00F37EFD" w:rsidRPr="00067DAC">
        <w:rPr>
          <w:rFonts w:ascii="Times New Roman" w:hAnsi="Times New Roman" w:cs="Times New Roman" w:hint="eastAsia"/>
          <w:sz w:val="20"/>
          <w:szCs w:val="20"/>
        </w:rPr>
        <w:t xml:space="preserve"> represent the corresponding baseline </w:t>
      </w:r>
      <w:r w:rsidR="00AE51DC" w:rsidRPr="00067DAC">
        <w:rPr>
          <w:rFonts w:ascii="Times New Roman" w:hAnsi="Times New Roman" w:cs="Times New Roman" w:hint="eastAsia"/>
          <w:sz w:val="20"/>
          <w:szCs w:val="20"/>
        </w:rPr>
        <w:t xml:space="preserve">means </w:t>
      </w:r>
      <w:r w:rsidR="00F37EFD" w:rsidRPr="00067DAC">
        <w:rPr>
          <w:rFonts w:ascii="Times New Roman" w:hAnsi="Times New Roman" w:cs="Times New Roman" w:hint="eastAsia"/>
          <w:sz w:val="20"/>
          <w:szCs w:val="20"/>
        </w:rPr>
        <w:t xml:space="preserve">at the start of </w:t>
      </w:r>
      <w:r w:rsidR="00F37EFD" w:rsidRPr="00067DAC">
        <w:rPr>
          <w:rFonts w:ascii="Times New Roman" w:hAnsi="Times New Roman" w:cs="Times New Roman"/>
          <w:sz w:val="20"/>
          <w:szCs w:val="20"/>
        </w:rPr>
        <w:t>treatment</w:t>
      </w:r>
      <w:r w:rsidR="00AE51DC" w:rsidRPr="00067DAC">
        <w:rPr>
          <w:rFonts w:ascii="Times New Roman" w:hAnsi="Times New Roman" w:cs="Times New Roman" w:hint="eastAsia"/>
          <w:sz w:val="20"/>
          <w:szCs w:val="20"/>
        </w:rPr>
        <w:t xml:space="preserve"> (day 0)</w:t>
      </w:r>
      <w:r w:rsidR="00F37EFD" w:rsidRPr="00067DAC">
        <w:rPr>
          <w:rFonts w:ascii="Times New Roman" w:hAnsi="Times New Roman" w:cs="Times New Roman" w:hint="eastAsia"/>
          <w:sz w:val="20"/>
          <w:szCs w:val="20"/>
        </w:rPr>
        <w:t>.</w:t>
      </w:r>
      <w:r w:rsidRPr="00067DAC">
        <w:rPr>
          <w:rFonts w:ascii="Times New Roman" w:hAnsi="Times New Roman" w:cs="Times New Roman" w:hint="eastAsia"/>
          <w:sz w:val="20"/>
          <w:szCs w:val="20"/>
        </w:rPr>
        <w:t xml:space="preserve"> </w:t>
      </w:r>
    </w:p>
    <w:p w14:paraId="014C64A3" w14:textId="4DE3F683" w:rsidR="00F37EFD" w:rsidRPr="00067DAC" w:rsidRDefault="006C6B4B" w:rsidP="00DB548A">
      <w:pPr>
        <w:widowControl/>
        <w:spacing w:line="480" w:lineRule="auto"/>
        <w:rPr>
          <w:rFonts w:ascii="Times New Roman" w:hAnsi="Times New Roman" w:cs="Times New Roman"/>
          <w:sz w:val="20"/>
          <w:szCs w:val="20"/>
        </w:rPr>
      </w:pPr>
      <w:r w:rsidRPr="00067DAC">
        <w:rPr>
          <w:rFonts w:ascii="Times New Roman" w:hAnsi="Times New Roman" w:cs="Times New Roman" w:hint="eastAsia"/>
          <w:sz w:val="20"/>
          <w:szCs w:val="20"/>
        </w:rPr>
        <w:t xml:space="preserve">The </w:t>
      </w:r>
      <w:r w:rsidR="00F37EFD" w:rsidRPr="00067DAC">
        <w:rPr>
          <w:rFonts w:ascii="Times New Roman" w:hAnsi="Times New Roman" w:cs="Times New Roman" w:hint="eastAsia"/>
          <w:sz w:val="20"/>
          <w:szCs w:val="20"/>
        </w:rPr>
        <w:t>AUC-based TGI (TGI_AUC) was calculated as follows:</w:t>
      </w:r>
    </w:p>
    <w:p w14:paraId="0BC842D9" w14:textId="5EA46332" w:rsidR="00F37EFD" w:rsidRPr="00067DAC" w:rsidRDefault="006C6B4B" w:rsidP="00DB548A">
      <w:pPr>
        <w:widowControl/>
        <w:spacing w:line="480" w:lineRule="auto"/>
        <w:rPr>
          <w:rFonts w:ascii="Times New Roman" w:hAnsi="Times New Roman" w:cs="Times New Roman"/>
          <w:b/>
          <w:bCs/>
          <w:sz w:val="22"/>
        </w:rPr>
      </w:pPr>
      <m:oMathPara>
        <m:oMath>
          <m:r>
            <m:rPr>
              <m:sty m:val="p"/>
            </m:rPr>
            <w:rPr>
              <w:rFonts w:ascii="Cambria Math" w:hAnsi="Cambria Math"/>
              <w:sz w:val="20"/>
              <w:szCs w:val="20"/>
            </w:rPr>
            <m:t xml:space="preserve">TGI_AUC </m:t>
          </m:r>
          <m:d>
            <m:dPr>
              <m:ctrlPr>
                <w:rPr>
                  <w:rFonts w:ascii="Cambria Math" w:hAnsi="Cambria Math"/>
                  <w:sz w:val="20"/>
                  <w:szCs w:val="20"/>
                </w:rPr>
              </m:ctrlPr>
            </m:dPr>
            <m:e>
              <m:r>
                <m:rPr>
                  <m:sty m:val="p"/>
                </m:rPr>
                <w:rPr>
                  <w:rFonts w:ascii="Cambria Math" w:hAnsi="Cambria Math"/>
                  <w:sz w:val="20"/>
                  <w:szCs w:val="20"/>
                </w:rPr>
                <m:t>%</m:t>
              </m:r>
            </m:e>
          </m:d>
          <m:r>
            <m:rPr>
              <m:sty m:val="p"/>
            </m:rPr>
            <w:rPr>
              <w:rFonts w:ascii="Cambria Math" w:hAnsi="Cambria Math"/>
              <w:sz w:val="20"/>
              <w:szCs w:val="20"/>
            </w:rPr>
            <m:t>=</m:t>
          </m:r>
          <m:d>
            <m:dPr>
              <m:begChr m:val="["/>
              <m:endChr m:val="]"/>
              <m:ctrlPr>
                <w:rPr>
                  <w:rFonts w:ascii="Cambria Math" w:hAnsi="Cambria Math"/>
                  <w:sz w:val="20"/>
                  <w:szCs w:val="20"/>
                </w:rPr>
              </m:ctrlPr>
            </m:dPr>
            <m:e>
              <m:r>
                <w:rPr>
                  <w:rFonts w:ascii="Cambria Math" w:hAnsi="Cambria Math"/>
                  <w:sz w:val="20"/>
                  <w:szCs w:val="20"/>
                </w:rPr>
                <m:t xml:space="preserve">1 - </m:t>
              </m:r>
              <m:f>
                <m:fPr>
                  <m:ctrlPr>
                    <w:rPr>
                      <w:rFonts w:ascii="Cambria Math" w:hAnsi="Cambria Math"/>
                      <w:i/>
                      <w:sz w:val="20"/>
                      <w:szCs w:val="20"/>
                    </w:rPr>
                  </m:ctrlPr>
                </m:fPr>
                <m:num>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AUC</m:t>
                          </m:r>
                        </m:e>
                        <m:sub>
                          <m:r>
                            <w:rPr>
                              <w:rFonts w:ascii="Cambria Math" w:hAnsi="Cambria Math"/>
                              <w:sz w:val="20"/>
                              <w:szCs w:val="20"/>
                            </w:rPr>
                            <m:t>treated</m:t>
                          </m:r>
                        </m:sub>
                      </m:sSub>
                    </m:e>
                  </m:d>
                </m:num>
                <m:den>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AUC</m:t>
                          </m:r>
                        </m:e>
                        <m:sub>
                          <m:r>
                            <w:rPr>
                              <w:rFonts w:ascii="Cambria Math" w:hAnsi="Cambria Math"/>
                              <w:sz w:val="20"/>
                              <w:szCs w:val="20"/>
                            </w:rPr>
                            <m:t>control</m:t>
                          </m:r>
                        </m:sub>
                      </m:sSub>
                    </m:e>
                  </m:d>
                </m:den>
              </m:f>
            </m:e>
          </m:d>
          <m:r>
            <m:rPr>
              <m:sty m:val="p"/>
            </m:rPr>
            <w:rPr>
              <w:rFonts w:ascii="Cambria Math" w:hAnsi="Cambria Math"/>
              <w:sz w:val="20"/>
              <w:szCs w:val="20"/>
            </w:rPr>
            <m:t>×100</m:t>
          </m:r>
        </m:oMath>
      </m:oMathPara>
    </w:p>
    <w:p w14:paraId="1505DDDF" w14:textId="2F3FC49A" w:rsidR="00EA066E" w:rsidRPr="00067DAC" w:rsidRDefault="008864F2" w:rsidP="008864F2">
      <w:pPr>
        <w:widowControl/>
        <w:spacing w:line="480" w:lineRule="auto"/>
        <w:ind w:firstLine="840"/>
        <w:rPr>
          <w:rFonts w:ascii="Times New Roman" w:hAnsi="Times New Roman" w:cs="Times New Roman"/>
          <w:sz w:val="20"/>
          <w:szCs w:val="20"/>
        </w:rPr>
      </w:pPr>
      <w:r w:rsidRPr="00067DAC">
        <w:rPr>
          <w:rFonts w:ascii="Times New Roman" w:hAnsi="Times New Roman" w:cs="Times New Roman" w:hint="eastAsia"/>
          <w:sz w:val="20"/>
          <w:szCs w:val="20"/>
        </w:rPr>
        <w:t>where AUC</w:t>
      </w:r>
      <w:r w:rsidRPr="00067DAC">
        <w:rPr>
          <w:rFonts w:ascii="Times New Roman" w:hAnsi="Times New Roman" w:cs="Times New Roman" w:hint="eastAsia"/>
          <w:sz w:val="20"/>
          <w:szCs w:val="20"/>
          <w:vertAlign w:val="subscript"/>
        </w:rPr>
        <w:t>treated</w:t>
      </w:r>
      <w:r w:rsidRPr="00067DAC">
        <w:rPr>
          <w:rFonts w:ascii="Times New Roman" w:hAnsi="Times New Roman" w:cs="Times New Roman" w:hint="eastAsia"/>
          <w:sz w:val="20"/>
          <w:szCs w:val="20"/>
        </w:rPr>
        <w:t xml:space="preserve"> and AUC</w:t>
      </w:r>
      <w:r w:rsidRPr="00067DAC">
        <w:rPr>
          <w:rFonts w:ascii="Times New Roman" w:hAnsi="Times New Roman" w:cs="Times New Roman" w:hint="eastAsia"/>
          <w:sz w:val="20"/>
          <w:szCs w:val="20"/>
          <w:vertAlign w:val="subscript"/>
        </w:rPr>
        <w:t>control</w:t>
      </w:r>
      <w:r w:rsidRPr="00067DAC">
        <w:rPr>
          <w:rFonts w:ascii="Times New Roman" w:hAnsi="Times New Roman" w:cs="Times New Roman" w:hint="eastAsia"/>
          <w:sz w:val="20"/>
          <w:szCs w:val="20"/>
        </w:rPr>
        <w:t xml:space="preserve"> represent the mean tumor volume</w:t>
      </w:r>
      <w:r w:rsidRPr="00067DAC">
        <w:rPr>
          <w:sz w:val="20"/>
          <w:szCs w:val="20"/>
        </w:rPr>
        <w:t>–</w:t>
      </w:r>
      <w:r w:rsidRPr="00067DAC">
        <w:rPr>
          <w:rFonts w:ascii="Times New Roman" w:hAnsi="Times New Roman" w:cs="Times New Roman" w:hint="eastAsia"/>
          <w:sz w:val="20"/>
          <w:szCs w:val="20"/>
        </w:rPr>
        <w:t>time AUC for the treatment and control groups, respectively.</w:t>
      </w:r>
    </w:p>
    <w:p w14:paraId="4453F8E1" w14:textId="77777777" w:rsidR="008864F2" w:rsidRPr="008864F2" w:rsidRDefault="008864F2" w:rsidP="008864F2">
      <w:pPr>
        <w:widowControl/>
        <w:spacing w:line="480" w:lineRule="auto"/>
        <w:rPr>
          <w:rFonts w:ascii="Times New Roman" w:hAnsi="Times New Roman" w:cs="Times New Roman"/>
          <w:b/>
          <w:bCs/>
          <w:sz w:val="22"/>
        </w:rPr>
      </w:pPr>
    </w:p>
    <w:p w14:paraId="5D42E9A2" w14:textId="5E559A1B" w:rsidR="00DB548A" w:rsidRPr="00D42E52" w:rsidRDefault="00C601BF" w:rsidP="00DB548A">
      <w:pPr>
        <w:widowControl/>
        <w:spacing w:line="480" w:lineRule="auto"/>
        <w:rPr>
          <w:rFonts w:ascii="Times New Roman" w:hAnsi="Times New Roman" w:cs="Times New Roman"/>
          <w:b/>
          <w:bCs/>
          <w:sz w:val="22"/>
        </w:rPr>
      </w:pPr>
      <w:r w:rsidRPr="00D42E52">
        <w:rPr>
          <w:rFonts w:ascii="Times New Roman" w:hAnsi="Times New Roman" w:cs="Times New Roman" w:hint="eastAsia"/>
          <w:b/>
          <w:bCs/>
          <w:sz w:val="22"/>
        </w:rPr>
        <w:t>Pharmacological evaluation in the Pan02 mouse model</w:t>
      </w:r>
    </w:p>
    <w:p w14:paraId="73EA2043" w14:textId="7495B73D" w:rsidR="00456327" w:rsidRPr="00D42E52" w:rsidRDefault="001B4525" w:rsidP="004C47AF">
      <w:pPr>
        <w:widowControl/>
        <w:tabs>
          <w:tab w:val="left" w:pos="984"/>
        </w:tabs>
        <w:spacing w:line="480" w:lineRule="auto"/>
        <w:rPr>
          <w:rFonts w:ascii="Times New Roman" w:hAnsi="Times New Roman" w:cs="Times New Roman"/>
          <w:sz w:val="20"/>
          <w:szCs w:val="20"/>
        </w:rPr>
      </w:pPr>
      <w:r>
        <w:rPr>
          <w:rFonts w:ascii="Times New Roman" w:hAnsi="Times New Roman" w:cs="Times New Roman"/>
          <w:sz w:val="20"/>
          <w:szCs w:val="20"/>
        </w:rPr>
        <w:tab/>
      </w:r>
      <w:r w:rsidR="00456327" w:rsidRPr="00D42E52">
        <w:rPr>
          <w:rFonts w:ascii="Times New Roman" w:hAnsi="Times New Roman" w:cs="Times New Roman"/>
          <w:sz w:val="20"/>
          <w:szCs w:val="20"/>
        </w:rPr>
        <w:t>C57BL/6 mice (</w:t>
      </w:r>
      <w:r w:rsidR="00456327" w:rsidRPr="00D42E52">
        <w:rPr>
          <w:rFonts w:ascii="Times New Roman" w:hAnsi="Times New Roman" w:cs="Times New Roman" w:hint="eastAsia"/>
          <w:sz w:val="20"/>
          <w:szCs w:val="20"/>
        </w:rPr>
        <w:t>C57BL/6NCrSlc</w:t>
      </w:r>
      <w:r w:rsidR="00456327" w:rsidRPr="00D42E52">
        <w:rPr>
          <w:rFonts w:ascii="Times New Roman" w:hAnsi="Times New Roman" w:cs="Times New Roman"/>
          <w:sz w:val="20"/>
          <w:szCs w:val="20"/>
        </w:rPr>
        <w:t xml:space="preserve">, female, </w:t>
      </w:r>
      <w:r w:rsidR="00456327" w:rsidRPr="00D42E52">
        <w:rPr>
          <w:rFonts w:ascii="Times New Roman" w:hAnsi="Times New Roman" w:cs="Times New Roman" w:hint="eastAsia"/>
          <w:sz w:val="20"/>
          <w:szCs w:val="20"/>
        </w:rPr>
        <w:t>6</w:t>
      </w:r>
      <w:r w:rsidR="00456327" w:rsidRPr="00D42E52">
        <w:rPr>
          <w:rFonts w:ascii="Times New Roman" w:hAnsi="Times New Roman" w:cs="Times New Roman"/>
          <w:sz w:val="20"/>
          <w:szCs w:val="20"/>
        </w:rPr>
        <w:t xml:space="preserve"> weeks old) </w:t>
      </w:r>
      <w:r w:rsidR="00456327" w:rsidRPr="00D42E52">
        <w:rPr>
          <w:rFonts w:ascii="Times New Roman" w:hAnsi="Times New Roman" w:cs="Times New Roman" w:hint="eastAsia"/>
          <w:sz w:val="20"/>
          <w:szCs w:val="20"/>
        </w:rPr>
        <w:t>purchased from</w:t>
      </w:r>
      <w:r w:rsidR="00456327" w:rsidRPr="00D42E52">
        <w:rPr>
          <w:rFonts w:ascii="Times New Roman" w:hAnsi="Times New Roman" w:cs="Times New Roman"/>
          <w:sz w:val="20"/>
          <w:szCs w:val="20"/>
        </w:rPr>
        <w:t xml:space="preserve"> Japan</w:t>
      </w:r>
      <w:r w:rsidR="00456327" w:rsidRPr="00D42E52">
        <w:rPr>
          <w:rFonts w:ascii="Times New Roman" w:hAnsi="Times New Roman" w:cs="Times New Roman" w:hint="eastAsia"/>
          <w:sz w:val="20"/>
          <w:szCs w:val="20"/>
        </w:rPr>
        <w:t xml:space="preserve"> SLC, Inc</w:t>
      </w:r>
      <w:r w:rsidR="00456327" w:rsidRPr="00D42E52">
        <w:rPr>
          <w:rFonts w:ascii="Times New Roman" w:hAnsi="Times New Roman" w:cs="Times New Roman"/>
          <w:sz w:val="20"/>
          <w:szCs w:val="20"/>
        </w:rPr>
        <w:t>.</w:t>
      </w:r>
      <w:r w:rsidR="00456327" w:rsidRPr="00D42E52">
        <w:rPr>
          <w:rFonts w:ascii="Times New Roman" w:hAnsi="Times New Roman" w:cs="Times New Roman" w:hint="eastAsia"/>
          <w:sz w:val="20"/>
          <w:szCs w:val="20"/>
        </w:rPr>
        <w:t xml:space="preserve"> were used for the pharmacological study using Pan02 cells.</w:t>
      </w:r>
      <w:r w:rsidR="0075658C" w:rsidRPr="00D42E52">
        <w:rPr>
          <w:rFonts w:ascii="Times New Roman" w:hAnsi="Times New Roman" w:cs="Times New Roman" w:hint="eastAsia"/>
          <w:sz w:val="20"/>
          <w:szCs w:val="20"/>
        </w:rPr>
        <w:t xml:space="preserve"> Pan02 cells (2</w:t>
      </w:r>
      <w:r w:rsidR="0075658C" w:rsidRPr="00D42E52">
        <w:rPr>
          <w:rFonts w:ascii="Times New Roman" w:hAnsi="Times New Roman" w:cs="Times New Roman"/>
          <w:sz w:val="20"/>
          <w:szCs w:val="20"/>
        </w:rPr>
        <w:t xml:space="preserve"> × 10</w:t>
      </w:r>
      <w:r w:rsidR="0075658C" w:rsidRPr="00D42E52">
        <w:rPr>
          <w:rFonts w:ascii="Times New Roman" w:hAnsi="Times New Roman" w:cs="Times New Roman"/>
          <w:sz w:val="20"/>
          <w:szCs w:val="20"/>
          <w:vertAlign w:val="superscript"/>
        </w:rPr>
        <w:t>6</w:t>
      </w:r>
      <w:r w:rsidR="0075658C" w:rsidRPr="00D42E52">
        <w:rPr>
          <w:rFonts w:ascii="Times New Roman" w:hAnsi="Times New Roman" w:cs="Times New Roman"/>
          <w:sz w:val="20"/>
          <w:szCs w:val="20"/>
        </w:rPr>
        <w:t xml:space="preserve"> cells/0.05 mL/mouse)</w:t>
      </w:r>
      <w:r w:rsidR="0075658C" w:rsidRPr="00D42E52">
        <w:rPr>
          <w:rFonts w:ascii="Times New Roman" w:hAnsi="Times New Roman" w:cs="Times New Roman" w:hint="eastAsia"/>
          <w:sz w:val="20"/>
          <w:szCs w:val="20"/>
        </w:rPr>
        <w:t xml:space="preserve"> suspended in RPMI 1640 medium without phenol red (Invitrogen) </w:t>
      </w:r>
      <w:r w:rsidR="00456327" w:rsidRPr="00D42E52">
        <w:rPr>
          <w:rFonts w:ascii="Times New Roman" w:hAnsi="Times New Roman" w:cs="Times New Roman"/>
          <w:sz w:val="20"/>
          <w:szCs w:val="20"/>
        </w:rPr>
        <w:t xml:space="preserve">were subcutaneously inoculated into C57BL/6J mice. </w:t>
      </w:r>
      <w:r w:rsidR="004C47AF" w:rsidRPr="00D42E52">
        <w:rPr>
          <w:rFonts w:ascii="Times New Roman" w:hAnsi="Times New Roman" w:cs="Times New Roman"/>
          <w:sz w:val="20"/>
          <w:szCs w:val="20"/>
        </w:rPr>
        <w:t>Twenty-five</w:t>
      </w:r>
      <w:r w:rsidR="0075658C" w:rsidRPr="00D42E52">
        <w:rPr>
          <w:rFonts w:ascii="Times New Roman" w:hAnsi="Times New Roman" w:cs="Times New Roman" w:hint="eastAsia"/>
          <w:sz w:val="20"/>
          <w:szCs w:val="20"/>
        </w:rPr>
        <w:t xml:space="preserve"> </w:t>
      </w:r>
      <w:r w:rsidR="00456327" w:rsidRPr="00D42E52">
        <w:rPr>
          <w:rFonts w:ascii="Times New Roman" w:hAnsi="Times New Roman" w:cs="Times New Roman"/>
          <w:sz w:val="20"/>
          <w:szCs w:val="20"/>
        </w:rPr>
        <w:t xml:space="preserve">days after the inoculation (designated as day 0), the mice were divided into </w:t>
      </w:r>
      <w:r w:rsidR="0075658C" w:rsidRPr="00D42E52">
        <w:rPr>
          <w:rFonts w:ascii="Times New Roman" w:hAnsi="Times New Roman" w:cs="Times New Roman" w:hint="eastAsia"/>
          <w:sz w:val="20"/>
          <w:szCs w:val="20"/>
        </w:rPr>
        <w:t>three</w:t>
      </w:r>
      <w:r w:rsidR="00456327" w:rsidRPr="00D42E52">
        <w:rPr>
          <w:rFonts w:ascii="Times New Roman" w:hAnsi="Times New Roman" w:cs="Times New Roman"/>
          <w:sz w:val="20"/>
          <w:szCs w:val="20"/>
        </w:rPr>
        <w:t xml:space="preserve"> groups (n = </w:t>
      </w:r>
      <w:r w:rsidR="0075658C" w:rsidRPr="00D42E52">
        <w:rPr>
          <w:rFonts w:ascii="Times New Roman" w:hAnsi="Times New Roman" w:cs="Times New Roman" w:hint="eastAsia"/>
          <w:sz w:val="20"/>
          <w:szCs w:val="20"/>
        </w:rPr>
        <w:t>10</w:t>
      </w:r>
      <w:r w:rsidR="0006257C">
        <w:rPr>
          <w:rFonts w:ascii="Times New Roman" w:hAnsi="Times New Roman" w:cs="Times New Roman" w:hint="eastAsia"/>
          <w:sz w:val="20"/>
          <w:szCs w:val="20"/>
        </w:rPr>
        <w:t xml:space="preserve"> per </w:t>
      </w:r>
      <w:r w:rsidR="00A44448" w:rsidRPr="00D42E52">
        <w:rPr>
          <w:rFonts w:ascii="Times New Roman" w:hAnsi="Times New Roman" w:cs="Times New Roman" w:hint="eastAsia"/>
          <w:sz w:val="20"/>
          <w:szCs w:val="20"/>
        </w:rPr>
        <w:t>group</w:t>
      </w:r>
      <w:r w:rsidR="00456327" w:rsidRPr="00D42E52">
        <w:rPr>
          <w:rFonts w:ascii="Times New Roman" w:hAnsi="Times New Roman" w:cs="Times New Roman"/>
          <w:sz w:val="20"/>
          <w:szCs w:val="20"/>
        </w:rPr>
        <w:t xml:space="preserve">; group 1: control group to which </w:t>
      </w:r>
      <w:r w:rsidR="004C47AF" w:rsidRPr="00D42E52">
        <w:rPr>
          <w:rFonts w:ascii="Times New Roman" w:hAnsi="Times New Roman" w:cs="Times New Roman"/>
          <w:sz w:val="20"/>
          <w:szCs w:val="20"/>
        </w:rPr>
        <w:t>MC400</w:t>
      </w:r>
      <w:r w:rsidR="00456327" w:rsidRPr="00D42E52">
        <w:rPr>
          <w:rFonts w:ascii="Times New Roman" w:hAnsi="Times New Roman" w:cs="Times New Roman"/>
          <w:sz w:val="20"/>
          <w:szCs w:val="20"/>
        </w:rPr>
        <w:t xml:space="preserve"> w</w:t>
      </w:r>
      <w:r w:rsidR="0075658C" w:rsidRPr="00D42E52">
        <w:rPr>
          <w:rFonts w:ascii="Times New Roman" w:hAnsi="Times New Roman" w:cs="Times New Roman" w:hint="eastAsia"/>
          <w:sz w:val="20"/>
          <w:szCs w:val="20"/>
        </w:rPr>
        <w:t>as</w:t>
      </w:r>
      <w:r w:rsidR="00456327" w:rsidRPr="00D42E52">
        <w:rPr>
          <w:rFonts w:ascii="Times New Roman" w:hAnsi="Times New Roman" w:cs="Times New Roman"/>
          <w:sz w:val="20"/>
          <w:szCs w:val="20"/>
        </w:rPr>
        <w:t xml:space="preserve"> administered; group 2: KHK2455 </w:t>
      </w:r>
      <w:r w:rsidR="0075658C" w:rsidRPr="00D42E52">
        <w:rPr>
          <w:rFonts w:ascii="Times New Roman" w:hAnsi="Times New Roman" w:cs="Times New Roman" w:hint="eastAsia"/>
          <w:sz w:val="20"/>
          <w:szCs w:val="20"/>
        </w:rPr>
        <w:t>1 mg</w:t>
      </w:r>
      <w:r w:rsidR="004C47AF" w:rsidRPr="00D42E52">
        <w:rPr>
          <w:rFonts w:ascii="Times New Roman" w:hAnsi="Times New Roman" w:cs="Times New Roman" w:hint="eastAsia"/>
          <w:sz w:val="20"/>
          <w:szCs w:val="20"/>
        </w:rPr>
        <w:t>/kg</w:t>
      </w:r>
      <w:r w:rsidR="0075658C" w:rsidRPr="00D42E52">
        <w:rPr>
          <w:rFonts w:ascii="Times New Roman" w:hAnsi="Times New Roman" w:cs="Times New Roman" w:hint="eastAsia"/>
          <w:sz w:val="20"/>
          <w:szCs w:val="20"/>
        </w:rPr>
        <w:t xml:space="preserve"> </w:t>
      </w:r>
      <w:r w:rsidR="00456327" w:rsidRPr="00D42E52">
        <w:rPr>
          <w:rFonts w:ascii="Times New Roman" w:hAnsi="Times New Roman" w:cs="Times New Roman"/>
          <w:sz w:val="20"/>
          <w:szCs w:val="20"/>
        </w:rPr>
        <w:t xml:space="preserve">group; group 3: </w:t>
      </w:r>
      <w:r w:rsidR="0075658C" w:rsidRPr="00D42E52">
        <w:rPr>
          <w:rFonts w:ascii="Times New Roman" w:hAnsi="Times New Roman" w:cs="Times New Roman"/>
          <w:sz w:val="20"/>
          <w:szCs w:val="20"/>
        </w:rPr>
        <w:t xml:space="preserve">KHK2455 </w:t>
      </w:r>
      <w:r w:rsidR="0075658C" w:rsidRPr="00D42E52">
        <w:rPr>
          <w:rFonts w:ascii="Times New Roman" w:hAnsi="Times New Roman" w:cs="Times New Roman" w:hint="eastAsia"/>
          <w:sz w:val="20"/>
          <w:szCs w:val="20"/>
        </w:rPr>
        <w:t>10 mg</w:t>
      </w:r>
      <w:r w:rsidR="004C47AF" w:rsidRPr="00D42E52">
        <w:rPr>
          <w:rFonts w:ascii="Times New Roman" w:hAnsi="Times New Roman" w:cs="Times New Roman" w:hint="eastAsia"/>
          <w:sz w:val="20"/>
          <w:szCs w:val="20"/>
        </w:rPr>
        <w:t>/kg</w:t>
      </w:r>
      <w:r w:rsidR="0075658C" w:rsidRPr="00D42E52">
        <w:rPr>
          <w:rFonts w:ascii="Times New Roman" w:hAnsi="Times New Roman" w:cs="Times New Roman" w:hint="eastAsia"/>
          <w:sz w:val="20"/>
          <w:szCs w:val="20"/>
        </w:rPr>
        <w:t xml:space="preserve"> </w:t>
      </w:r>
      <w:r w:rsidR="0075658C" w:rsidRPr="00D42E52">
        <w:rPr>
          <w:rFonts w:ascii="Times New Roman" w:hAnsi="Times New Roman" w:cs="Times New Roman"/>
          <w:sz w:val="20"/>
          <w:szCs w:val="20"/>
        </w:rPr>
        <w:t>group</w:t>
      </w:r>
      <w:r w:rsidR="0075658C" w:rsidRPr="00D42E52">
        <w:rPr>
          <w:rFonts w:ascii="Times New Roman" w:hAnsi="Times New Roman" w:cs="Times New Roman" w:hint="eastAsia"/>
          <w:sz w:val="20"/>
          <w:szCs w:val="20"/>
        </w:rPr>
        <w:t>)</w:t>
      </w:r>
      <w:r w:rsidR="004C47AF" w:rsidRPr="00D42E52">
        <w:rPr>
          <w:rFonts w:ascii="Times New Roman" w:hAnsi="Times New Roman" w:cs="Times New Roman" w:hint="eastAsia"/>
          <w:sz w:val="20"/>
          <w:szCs w:val="20"/>
        </w:rPr>
        <w:t xml:space="preserve">. </w:t>
      </w:r>
      <w:r w:rsidR="00456327" w:rsidRPr="00D42E52">
        <w:rPr>
          <w:rFonts w:ascii="Times New Roman" w:hAnsi="Times New Roman" w:cs="Times New Roman"/>
          <w:sz w:val="20"/>
          <w:szCs w:val="20"/>
        </w:rPr>
        <w:t>KHK2455 or MC400 w</w:t>
      </w:r>
      <w:r w:rsidR="004C47AF" w:rsidRPr="00D42E52">
        <w:rPr>
          <w:rFonts w:ascii="Times New Roman" w:hAnsi="Times New Roman" w:cs="Times New Roman" w:hint="eastAsia"/>
          <w:sz w:val="20"/>
          <w:szCs w:val="20"/>
        </w:rPr>
        <w:t>ere</w:t>
      </w:r>
      <w:r w:rsidR="00456327" w:rsidRPr="00D42E52">
        <w:rPr>
          <w:rFonts w:ascii="Times New Roman" w:hAnsi="Times New Roman" w:cs="Times New Roman"/>
          <w:sz w:val="20"/>
          <w:szCs w:val="20"/>
        </w:rPr>
        <w:t xml:space="preserve"> orally administered </w:t>
      </w:r>
      <w:r w:rsidR="004C47AF" w:rsidRPr="00D42E52">
        <w:rPr>
          <w:rFonts w:ascii="Times New Roman" w:hAnsi="Times New Roman" w:cs="Times New Roman" w:hint="eastAsia"/>
          <w:sz w:val="20"/>
          <w:szCs w:val="20"/>
        </w:rPr>
        <w:t>twice</w:t>
      </w:r>
      <w:r w:rsidR="00456327" w:rsidRPr="00D42E52">
        <w:rPr>
          <w:rFonts w:ascii="Times New Roman" w:hAnsi="Times New Roman" w:cs="Times New Roman"/>
          <w:sz w:val="20"/>
          <w:szCs w:val="20"/>
        </w:rPr>
        <w:t xml:space="preserve"> a day for </w:t>
      </w:r>
      <w:r w:rsidR="004C47AF" w:rsidRPr="00D42E52">
        <w:rPr>
          <w:rFonts w:ascii="Times New Roman" w:hAnsi="Times New Roman" w:cs="Times New Roman" w:hint="eastAsia"/>
          <w:sz w:val="20"/>
          <w:szCs w:val="20"/>
        </w:rPr>
        <w:t>22</w:t>
      </w:r>
      <w:r w:rsidR="00456327" w:rsidRPr="00D42E52">
        <w:rPr>
          <w:rFonts w:ascii="Times New Roman" w:hAnsi="Times New Roman" w:cs="Times New Roman"/>
          <w:sz w:val="20"/>
          <w:szCs w:val="20"/>
        </w:rPr>
        <w:t xml:space="preserve"> days (from day 0 to </w:t>
      </w:r>
      <w:r w:rsidR="004C47AF" w:rsidRPr="00D42E52">
        <w:rPr>
          <w:rFonts w:ascii="Times New Roman" w:hAnsi="Times New Roman" w:cs="Times New Roman" w:hint="eastAsia"/>
          <w:sz w:val="20"/>
          <w:szCs w:val="20"/>
        </w:rPr>
        <w:t>21</w:t>
      </w:r>
      <w:r w:rsidR="00456327" w:rsidRPr="00D42E52">
        <w:rPr>
          <w:rFonts w:ascii="Times New Roman" w:hAnsi="Times New Roman" w:cs="Times New Roman"/>
          <w:sz w:val="20"/>
          <w:szCs w:val="20"/>
        </w:rPr>
        <w:t xml:space="preserve">) at a dose of </w:t>
      </w:r>
      <w:r w:rsidR="004C47AF" w:rsidRPr="00D42E52">
        <w:rPr>
          <w:rFonts w:ascii="Times New Roman" w:hAnsi="Times New Roman" w:cs="Times New Roman" w:hint="eastAsia"/>
          <w:sz w:val="20"/>
          <w:szCs w:val="20"/>
        </w:rPr>
        <w:t xml:space="preserve">1mg/kg or </w:t>
      </w:r>
      <w:r w:rsidR="00456327" w:rsidRPr="00D42E52">
        <w:rPr>
          <w:rFonts w:ascii="Times New Roman" w:hAnsi="Times New Roman" w:cs="Times New Roman"/>
          <w:sz w:val="20"/>
          <w:szCs w:val="20"/>
        </w:rPr>
        <w:t>10 mg/kg</w:t>
      </w:r>
      <w:r w:rsidR="004C47AF" w:rsidRPr="00D42E52">
        <w:rPr>
          <w:rFonts w:ascii="Times New Roman" w:hAnsi="Times New Roman" w:cs="Times New Roman" w:hint="eastAsia"/>
          <w:sz w:val="20"/>
          <w:szCs w:val="20"/>
        </w:rPr>
        <w:t>.</w:t>
      </w:r>
    </w:p>
    <w:p w14:paraId="537A53BD" w14:textId="77777777" w:rsidR="00C601BF" w:rsidRPr="00EE607C" w:rsidRDefault="00C601BF" w:rsidP="00C601BF">
      <w:pPr>
        <w:widowControl/>
        <w:spacing w:line="480" w:lineRule="auto"/>
        <w:rPr>
          <w:rFonts w:ascii="Times New Roman" w:hAnsi="Times New Roman" w:cs="Times New Roman"/>
          <w:b/>
          <w:bCs/>
          <w:color w:val="0070C0"/>
          <w:sz w:val="22"/>
        </w:rPr>
      </w:pPr>
    </w:p>
    <w:p w14:paraId="5420D4F2" w14:textId="52092DA9" w:rsidR="00C601BF" w:rsidRPr="00D42E52" w:rsidRDefault="00C601BF" w:rsidP="00C601BF">
      <w:pPr>
        <w:widowControl/>
        <w:spacing w:line="480" w:lineRule="auto"/>
        <w:rPr>
          <w:rFonts w:ascii="Times New Roman" w:hAnsi="Times New Roman" w:cs="Times New Roman"/>
          <w:b/>
          <w:bCs/>
          <w:sz w:val="22"/>
        </w:rPr>
      </w:pPr>
      <w:r w:rsidRPr="00D42E52">
        <w:rPr>
          <w:rFonts w:ascii="Times New Roman" w:hAnsi="Times New Roman" w:cs="Times New Roman" w:hint="eastAsia"/>
          <w:b/>
          <w:bCs/>
          <w:sz w:val="22"/>
        </w:rPr>
        <w:t>Pharmacological evaluation in the 4T1-Luc</w:t>
      </w:r>
      <w:r w:rsidR="00AD2131">
        <w:rPr>
          <w:rFonts w:ascii="Times New Roman" w:hAnsi="Times New Roman" w:cs="Times New Roman" w:hint="eastAsia"/>
          <w:b/>
          <w:bCs/>
          <w:sz w:val="22"/>
        </w:rPr>
        <w:t>2</w:t>
      </w:r>
      <w:r w:rsidRPr="00D42E52">
        <w:rPr>
          <w:rFonts w:ascii="Times New Roman" w:hAnsi="Times New Roman" w:cs="Times New Roman" w:hint="eastAsia"/>
          <w:b/>
          <w:bCs/>
          <w:sz w:val="22"/>
        </w:rPr>
        <w:t xml:space="preserve"> mouse model</w:t>
      </w:r>
    </w:p>
    <w:p w14:paraId="68CF9ED9" w14:textId="5291BE36" w:rsidR="00EE607C" w:rsidRPr="00D42E52" w:rsidRDefault="005E151A" w:rsidP="00EE607C">
      <w:pPr>
        <w:widowControl/>
        <w:spacing w:line="480" w:lineRule="auto"/>
        <w:ind w:firstLine="840"/>
        <w:rPr>
          <w:rFonts w:ascii="Times New Roman" w:hAnsi="Times New Roman" w:cs="Times New Roman"/>
          <w:sz w:val="20"/>
          <w:szCs w:val="20"/>
        </w:rPr>
      </w:pPr>
      <w:r w:rsidRPr="00D42E52">
        <w:rPr>
          <w:rFonts w:ascii="Times New Roman" w:hAnsi="Times New Roman" w:cs="Times New Roman" w:hint="eastAsia"/>
          <w:sz w:val="20"/>
          <w:szCs w:val="20"/>
        </w:rPr>
        <w:lastRenderedPageBreak/>
        <w:t>BALB/c</w:t>
      </w:r>
      <w:r w:rsidR="00C601BF" w:rsidRPr="00D42E52">
        <w:rPr>
          <w:rFonts w:ascii="Times New Roman" w:hAnsi="Times New Roman" w:cs="Times New Roman"/>
          <w:sz w:val="20"/>
          <w:szCs w:val="20"/>
        </w:rPr>
        <w:t xml:space="preserve"> mice (female, </w:t>
      </w:r>
      <w:r w:rsidRPr="00D42E52">
        <w:rPr>
          <w:rFonts w:ascii="Times New Roman" w:hAnsi="Times New Roman" w:cs="Times New Roman" w:hint="eastAsia"/>
          <w:sz w:val="20"/>
          <w:szCs w:val="20"/>
        </w:rPr>
        <w:t>5</w:t>
      </w:r>
      <w:r w:rsidR="00C601BF" w:rsidRPr="00D42E52">
        <w:rPr>
          <w:rFonts w:ascii="Times New Roman" w:hAnsi="Times New Roman" w:cs="Times New Roman"/>
          <w:sz w:val="20"/>
          <w:szCs w:val="20"/>
        </w:rPr>
        <w:t xml:space="preserve"> weeks old) </w:t>
      </w:r>
      <w:r w:rsidR="00C601BF" w:rsidRPr="00D42E52">
        <w:rPr>
          <w:rFonts w:ascii="Times New Roman" w:hAnsi="Times New Roman" w:cs="Times New Roman" w:hint="eastAsia"/>
          <w:sz w:val="20"/>
          <w:szCs w:val="20"/>
        </w:rPr>
        <w:t>purchased from</w:t>
      </w:r>
      <w:r w:rsidR="00C601BF" w:rsidRPr="00D42E52">
        <w:rPr>
          <w:rFonts w:ascii="Times New Roman" w:hAnsi="Times New Roman" w:cs="Times New Roman"/>
          <w:sz w:val="20"/>
          <w:szCs w:val="20"/>
        </w:rPr>
        <w:t xml:space="preserve"> </w:t>
      </w:r>
      <w:r w:rsidRPr="00D42E52">
        <w:rPr>
          <w:rFonts w:ascii="Times New Roman" w:hAnsi="Times New Roman" w:cs="Times New Roman"/>
          <w:sz w:val="20"/>
          <w:szCs w:val="20"/>
        </w:rPr>
        <w:t>Charles River Laboratories Japan</w:t>
      </w:r>
      <w:r w:rsidRPr="00D42E52">
        <w:rPr>
          <w:rFonts w:ascii="Times New Roman" w:hAnsi="Times New Roman" w:cs="Times New Roman" w:hint="eastAsia"/>
          <w:sz w:val="20"/>
          <w:szCs w:val="20"/>
        </w:rPr>
        <w:t xml:space="preserve"> were </w:t>
      </w:r>
      <w:r w:rsidR="00C601BF" w:rsidRPr="00D42E52">
        <w:rPr>
          <w:rFonts w:ascii="Times New Roman" w:hAnsi="Times New Roman" w:cs="Times New Roman" w:hint="eastAsia"/>
          <w:sz w:val="20"/>
          <w:szCs w:val="20"/>
        </w:rPr>
        <w:t xml:space="preserve">used for the pharmacological study using </w:t>
      </w:r>
      <w:r w:rsidRPr="00D42E52">
        <w:rPr>
          <w:rFonts w:ascii="Times New Roman" w:hAnsi="Times New Roman" w:cs="Times New Roman" w:hint="eastAsia"/>
          <w:sz w:val="20"/>
          <w:szCs w:val="20"/>
        </w:rPr>
        <w:t>4T1-luc2</w:t>
      </w:r>
      <w:r w:rsidR="00C601BF" w:rsidRPr="00D42E52">
        <w:rPr>
          <w:rFonts w:ascii="Times New Roman" w:hAnsi="Times New Roman" w:cs="Times New Roman" w:hint="eastAsia"/>
          <w:sz w:val="20"/>
          <w:szCs w:val="20"/>
        </w:rPr>
        <w:t xml:space="preserve"> cells. </w:t>
      </w:r>
      <w:r w:rsidRPr="00D42E52">
        <w:rPr>
          <w:rFonts w:ascii="Times New Roman" w:hAnsi="Times New Roman" w:cs="Times New Roman" w:hint="eastAsia"/>
          <w:sz w:val="20"/>
          <w:szCs w:val="20"/>
        </w:rPr>
        <w:t>4T1-luc2</w:t>
      </w:r>
      <w:r w:rsidR="00C601BF" w:rsidRPr="00D42E52">
        <w:rPr>
          <w:rFonts w:ascii="Times New Roman" w:hAnsi="Times New Roman" w:cs="Times New Roman" w:hint="eastAsia"/>
          <w:sz w:val="20"/>
          <w:szCs w:val="20"/>
        </w:rPr>
        <w:t xml:space="preserve"> cells (</w:t>
      </w:r>
      <w:r w:rsidRPr="00D42E52">
        <w:rPr>
          <w:rFonts w:ascii="Times New Roman" w:hAnsi="Times New Roman" w:cs="Times New Roman" w:hint="eastAsia"/>
          <w:sz w:val="20"/>
          <w:szCs w:val="20"/>
        </w:rPr>
        <w:t>1</w:t>
      </w:r>
      <w:r w:rsidR="00C601BF" w:rsidRPr="00D42E52">
        <w:rPr>
          <w:rFonts w:ascii="Times New Roman" w:hAnsi="Times New Roman" w:cs="Times New Roman"/>
          <w:sz w:val="20"/>
          <w:szCs w:val="20"/>
        </w:rPr>
        <w:t xml:space="preserve"> × 10</w:t>
      </w:r>
      <w:r w:rsidR="00C601BF" w:rsidRPr="00D42E52">
        <w:rPr>
          <w:rFonts w:ascii="Times New Roman" w:hAnsi="Times New Roman" w:cs="Times New Roman"/>
          <w:sz w:val="20"/>
          <w:szCs w:val="20"/>
          <w:vertAlign w:val="superscript"/>
        </w:rPr>
        <w:t>6</w:t>
      </w:r>
      <w:r w:rsidR="00C601BF" w:rsidRPr="00D42E52">
        <w:rPr>
          <w:rFonts w:ascii="Times New Roman" w:hAnsi="Times New Roman" w:cs="Times New Roman"/>
          <w:sz w:val="20"/>
          <w:szCs w:val="20"/>
        </w:rPr>
        <w:t xml:space="preserve"> cells/0.05 mL/mouse)</w:t>
      </w:r>
      <w:r w:rsidR="00C601BF" w:rsidRPr="00D42E52">
        <w:rPr>
          <w:rFonts w:ascii="Times New Roman" w:hAnsi="Times New Roman" w:cs="Times New Roman" w:hint="eastAsia"/>
          <w:sz w:val="20"/>
          <w:szCs w:val="20"/>
        </w:rPr>
        <w:t xml:space="preserve"> suspended in </w:t>
      </w:r>
      <w:r w:rsidRPr="00D42E52">
        <w:rPr>
          <w:rFonts w:ascii="Times New Roman" w:hAnsi="Times New Roman" w:cs="Times New Roman" w:hint="eastAsia"/>
          <w:sz w:val="20"/>
          <w:szCs w:val="20"/>
        </w:rPr>
        <w:t>D</w:t>
      </w:r>
      <w:r w:rsidR="006C30DB" w:rsidRPr="00D42E52">
        <w:rPr>
          <w:rFonts w:ascii="Times New Roman" w:hAnsi="Times New Roman" w:cs="Times New Roman" w:hint="eastAsia"/>
          <w:sz w:val="20"/>
          <w:szCs w:val="20"/>
        </w:rPr>
        <w:t>PBS (Life Technologies)</w:t>
      </w:r>
      <w:r w:rsidR="00C601BF" w:rsidRPr="00D42E52">
        <w:rPr>
          <w:rFonts w:ascii="Times New Roman" w:hAnsi="Times New Roman" w:cs="Times New Roman" w:hint="eastAsia"/>
          <w:sz w:val="20"/>
          <w:szCs w:val="20"/>
        </w:rPr>
        <w:t xml:space="preserve"> </w:t>
      </w:r>
      <w:r w:rsidR="00C601BF" w:rsidRPr="00D42E52">
        <w:rPr>
          <w:rFonts w:ascii="Times New Roman" w:hAnsi="Times New Roman" w:cs="Times New Roman"/>
          <w:sz w:val="20"/>
          <w:szCs w:val="20"/>
        </w:rPr>
        <w:t xml:space="preserve">were subcutaneously inoculated into </w:t>
      </w:r>
      <w:r w:rsidR="006C30DB" w:rsidRPr="00D42E52">
        <w:rPr>
          <w:rFonts w:ascii="Times New Roman" w:hAnsi="Times New Roman" w:cs="Times New Roman" w:hint="eastAsia"/>
          <w:sz w:val="20"/>
          <w:szCs w:val="20"/>
        </w:rPr>
        <w:t>BALB/c</w:t>
      </w:r>
      <w:r w:rsidR="00C601BF" w:rsidRPr="00D42E52">
        <w:rPr>
          <w:rFonts w:ascii="Times New Roman" w:hAnsi="Times New Roman" w:cs="Times New Roman"/>
          <w:sz w:val="20"/>
          <w:szCs w:val="20"/>
        </w:rPr>
        <w:t xml:space="preserve"> mice. </w:t>
      </w:r>
      <w:r w:rsidR="00A44448" w:rsidRPr="00D42E52">
        <w:rPr>
          <w:rFonts w:ascii="Times New Roman" w:hAnsi="Times New Roman" w:cs="Times New Roman" w:hint="eastAsia"/>
          <w:sz w:val="20"/>
          <w:szCs w:val="20"/>
        </w:rPr>
        <w:t>Four</w:t>
      </w:r>
      <w:r w:rsidR="00C601BF" w:rsidRPr="00D42E52">
        <w:rPr>
          <w:rFonts w:ascii="Times New Roman" w:hAnsi="Times New Roman" w:cs="Times New Roman" w:hint="eastAsia"/>
          <w:sz w:val="20"/>
          <w:szCs w:val="20"/>
        </w:rPr>
        <w:t xml:space="preserve"> </w:t>
      </w:r>
      <w:r w:rsidR="00C601BF" w:rsidRPr="00D42E52">
        <w:rPr>
          <w:rFonts w:ascii="Times New Roman" w:hAnsi="Times New Roman" w:cs="Times New Roman"/>
          <w:sz w:val="20"/>
          <w:szCs w:val="20"/>
        </w:rPr>
        <w:t xml:space="preserve">days after the inoculation (designated as day 0), the mice were divided into </w:t>
      </w:r>
      <w:r w:rsidR="00A44448" w:rsidRPr="00D42E52">
        <w:rPr>
          <w:rFonts w:ascii="Times New Roman" w:hAnsi="Times New Roman" w:cs="Times New Roman" w:hint="eastAsia"/>
          <w:sz w:val="20"/>
          <w:szCs w:val="20"/>
        </w:rPr>
        <w:t>four</w:t>
      </w:r>
      <w:r w:rsidR="00C601BF" w:rsidRPr="00D42E52">
        <w:rPr>
          <w:rFonts w:ascii="Times New Roman" w:hAnsi="Times New Roman" w:cs="Times New Roman"/>
          <w:sz w:val="20"/>
          <w:szCs w:val="20"/>
        </w:rPr>
        <w:t xml:space="preserve"> groups (n = </w:t>
      </w:r>
      <w:r w:rsidR="00B060B4">
        <w:rPr>
          <w:rFonts w:ascii="Times New Roman" w:hAnsi="Times New Roman" w:cs="Times New Roman" w:hint="eastAsia"/>
          <w:sz w:val="20"/>
          <w:szCs w:val="20"/>
        </w:rPr>
        <w:t>2</w:t>
      </w:r>
      <w:r w:rsidR="00C601BF" w:rsidRPr="00D42E52">
        <w:rPr>
          <w:rFonts w:ascii="Times New Roman" w:hAnsi="Times New Roman" w:cs="Times New Roman" w:hint="eastAsia"/>
          <w:sz w:val="20"/>
          <w:szCs w:val="20"/>
        </w:rPr>
        <w:t>0</w:t>
      </w:r>
      <w:r w:rsidR="0006257C">
        <w:rPr>
          <w:rFonts w:ascii="Times New Roman" w:hAnsi="Times New Roman" w:cs="Times New Roman" w:hint="eastAsia"/>
          <w:sz w:val="20"/>
          <w:szCs w:val="20"/>
        </w:rPr>
        <w:t xml:space="preserve"> per </w:t>
      </w:r>
      <w:r w:rsidR="00A44448" w:rsidRPr="00D42E52">
        <w:rPr>
          <w:rFonts w:ascii="Times New Roman" w:hAnsi="Times New Roman" w:cs="Times New Roman" w:hint="eastAsia"/>
          <w:sz w:val="20"/>
          <w:szCs w:val="20"/>
        </w:rPr>
        <w:t>group</w:t>
      </w:r>
      <w:r w:rsidR="00C601BF" w:rsidRPr="00D42E52">
        <w:rPr>
          <w:rFonts w:ascii="Times New Roman" w:hAnsi="Times New Roman" w:cs="Times New Roman"/>
          <w:sz w:val="20"/>
          <w:szCs w:val="20"/>
        </w:rPr>
        <w:t xml:space="preserve">; </w:t>
      </w:r>
      <w:r w:rsidR="00A44448" w:rsidRPr="00D42E52">
        <w:rPr>
          <w:rFonts w:ascii="Times New Roman" w:hAnsi="Times New Roman" w:cs="Times New Roman"/>
          <w:sz w:val="20"/>
          <w:szCs w:val="20"/>
        </w:rPr>
        <w:t xml:space="preserve">group 1: control group to which both </w:t>
      </w:r>
      <w:r w:rsidR="00A44448" w:rsidRPr="00D42E52">
        <w:rPr>
          <w:rFonts w:ascii="Times New Roman" w:hAnsi="Times New Roman" w:cs="Times New Roman" w:hint="eastAsia"/>
          <w:sz w:val="20"/>
          <w:szCs w:val="20"/>
        </w:rPr>
        <w:t xml:space="preserve">0.1 v/v% </w:t>
      </w:r>
      <w:r w:rsidR="00A44448" w:rsidRPr="00D42E52">
        <w:rPr>
          <w:rFonts w:ascii="Times New Roman" w:hAnsi="Times New Roman" w:cs="Times New Roman"/>
          <w:sz w:val="20"/>
          <w:szCs w:val="20"/>
        </w:rPr>
        <w:t>ethanol and the isotype control antibody</w:t>
      </w:r>
      <w:r w:rsidR="00A44448" w:rsidRPr="00D42E52">
        <w:rPr>
          <w:rFonts w:ascii="Times New Roman" w:hAnsi="Times New Roman" w:cs="Times New Roman" w:hint="eastAsia"/>
          <w:sz w:val="20"/>
          <w:szCs w:val="20"/>
        </w:rPr>
        <w:t xml:space="preserve"> (mouse IgG2b isotype control: clone MPC-11</w:t>
      </w:r>
      <w:r w:rsidR="00D60FCC">
        <w:rPr>
          <w:rFonts w:ascii="Times New Roman" w:hAnsi="Times New Roman" w:cs="Times New Roman" w:hint="eastAsia"/>
          <w:sz w:val="20"/>
          <w:szCs w:val="20"/>
        </w:rPr>
        <w:t xml:space="preserve">, </w:t>
      </w:r>
      <w:r w:rsidR="00D60FCC" w:rsidRPr="00D60FCC">
        <w:rPr>
          <w:rFonts w:ascii="Times New Roman" w:eastAsia="ＭＳ 明朝" w:hAnsi="Times New Roman" w:cs="Times New Roman"/>
          <w:sz w:val="20"/>
          <w:szCs w:val="21"/>
        </w:rPr>
        <w:t>Bio X Cell</w:t>
      </w:r>
      <w:r w:rsidR="00A44448" w:rsidRPr="00D42E52">
        <w:rPr>
          <w:rFonts w:ascii="Times New Roman" w:hAnsi="Times New Roman" w:cs="Times New Roman" w:hint="eastAsia"/>
          <w:sz w:val="20"/>
          <w:szCs w:val="20"/>
        </w:rPr>
        <w:t>)</w:t>
      </w:r>
      <w:r w:rsidR="00A44448" w:rsidRPr="00D42E52">
        <w:rPr>
          <w:rFonts w:ascii="Times New Roman" w:hAnsi="Times New Roman" w:cs="Times New Roman"/>
          <w:sz w:val="20"/>
          <w:szCs w:val="20"/>
        </w:rPr>
        <w:t xml:space="preserve"> were administered; group 2: KHK2455 group to which both KHK2455 and the isotype control antibody were administered; group 3: anti–</w:t>
      </w:r>
      <w:r w:rsidR="00A44448" w:rsidRPr="00D42E52">
        <w:rPr>
          <w:rFonts w:ascii="Times New Roman" w:hAnsi="Times New Roman" w:cs="Times New Roman" w:hint="eastAsia"/>
          <w:sz w:val="20"/>
          <w:szCs w:val="20"/>
        </w:rPr>
        <w:t>CTLA-4</w:t>
      </w:r>
      <w:r w:rsidR="00A44448" w:rsidRPr="00D42E52">
        <w:rPr>
          <w:rFonts w:ascii="Times New Roman" w:hAnsi="Times New Roman" w:cs="Times New Roman"/>
          <w:sz w:val="20"/>
          <w:szCs w:val="20"/>
        </w:rPr>
        <w:t xml:space="preserve"> group to which both </w:t>
      </w:r>
      <w:r w:rsidR="00304A1B" w:rsidRPr="00D42E52">
        <w:rPr>
          <w:rFonts w:ascii="Times New Roman" w:hAnsi="Times New Roman" w:cs="Times New Roman" w:hint="eastAsia"/>
          <w:sz w:val="20"/>
          <w:szCs w:val="20"/>
        </w:rPr>
        <w:t xml:space="preserve">0.1 v/v% </w:t>
      </w:r>
      <w:r w:rsidR="00304A1B" w:rsidRPr="00D42E52">
        <w:rPr>
          <w:rFonts w:ascii="Times New Roman" w:hAnsi="Times New Roman" w:cs="Times New Roman"/>
          <w:sz w:val="20"/>
          <w:szCs w:val="20"/>
        </w:rPr>
        <w:t>ethanol</w:t>
      </w:r>
      <w:r w:rsidR="00A44448" w:rsidRPr="00D42E52">
        <w:rPr>
          <w:rFonts w:ascii="Times New Roman" w:hAnsi="Times New Roman" w:cs="Times New Roman"/>
          <w:sz w:val="20"/>
          <w:szCs w:val="20"/>
        </w:rPr>
        <w:t xml:space="preserve"> and anti–</w:t>
      </w:r>
      <w:r w:rsidR="00304A1B" w:rsidRPr="00D42E52">
        <w:rPr>
          <w:rFonts w:ascii="Times New Roman" w:hAnsi="Times New Roman" w:cs="Times New Roman" w:hint="eastAsia"/>
          <w:sz w:val="20"/>
          <w:szCs w:val="20"/>
        </w:rPr>
        <w:t>CTLA</w:t>
      </w:r>
      <w:r w:rsidR="00A44448" w:rsidRPr="00D42E52">
        <w:rPr>
          <w:rFonts w:ascii="Times New Roman" w:hAnsi="Times New Roman" w:cs="Times New Roman"/>
          <w:sz w:val="20"/>
          <w:szCs w:val="20"/>
        </w:rPr>
        <w:t>-</w:t>
      </w:r>
      <w:r w:rsidR="00304A1B" w:rsidRPr="00D42E52">
        <w:rPr>
          <w:rFonts w:ascii="Times New Roman" w:hAnsi="Times New Roman" w:cs="Times New Roman" w:hint="eastAsia"/>
          <w:sz w:val="20"/>
          <w:szCs w:val="20"/>
        </w:rPr>
        <w:t>4</w:t>
      </w:r>
      <w:r w:rsidR="00A44448" w:rsidRPr="00D42E52">
        <w:rPr>
          <w:rFonts w:ascii="Times New Roman" w:hAnsi="Times New Roman" w:cs="Times New Roman"/>
          <w:sz w:val="20"/>
          <w:szCs w:val="20"/>
        </w:rPr>
        <w:t xml:space="preserve"> antibody</w:t>
      </w:r>
      <w:r w:rsidR="00D244A3">
        <w:rPr>
          <w:rFonts w:ascii="Times New Roman" w:hAnsi="Times New Roman" w:cs="Times New Roman" w:hint="eastAsia"/>
          <w:sz w:val="20"/>
          <w:szCs w:val="20"/>
        </w:rPr>
        <w:t xml:space="preserve"> (</w:t>
      </w:r>
      <w:r w:rsidR="00D244A3" w:rsidRPr="00D244A3">
        <w:rPr>
          <w:rFonts w:ascii="Times New Roman" w:eastAsia="ＭＳ 明朝" w:hAnsi="Times New Roman" w:cs="Times New Roman"/>
          <w:sz w:val="20"/>
          <w:szCs w:val="21"/>
        </w:rPr>
        <w:t>clone 9D9</w:t>
      </w:r>
      <w:r w:rsidR="00D60FCC">
        <w:rPr>
          <w:rFonts w:ascii="Times New Roman" w:eastAsia="ＭＳ 明朝" w:hAnsi="Times New Roman" w:cs="Times New Roman" w:hint="eastAsia"/>
          <w:sz w:val="20"/>
          <w:szCs w:val="21"/>
        </w:rPr>
        <w:t xml:space="preserve">, </w:t>
      </w:r>
      <w:r w:rsidR="00D60FCC" w:rsidRPr="00D60FCC">
        <w:rPr>
          <w:rFonts w:ascii="Times New Roman" w:eastAsia="ＭＳ 明朝" w:hAnsi="Times New Roman" w:cs="Times New Roman"/>
          <w:sz w:val="20"/>
          <w:szCs w:val="21"/>
        </w:rPr>
        <w:t>Bio X Cell</w:t>
      </w:r>
      <w:r w:rsidR="00D244A3">
        <w:rPr>
          <w:rFonts w:ascii="Times New Roman" w:hAnsi="Times New Roman" w:cs="Times New Roman" w:hint="eastAsia"/>
          <w:sz w:val="20"/>
          <w:szCs w:val="20"/>
        </w:rPr>
        <w:t>)</w:t>
      </w:r>
      <w:r w:rsidR="00A44448" w:rsidRPr="00D42E52">
        <w:rPr>
          <w:rFonts w:ascii="Times New Roman" w:hAnsi="Times New Roman" w:cs="Times New Roman"/>
          <w:sz w:val="20"/>
          <w:szCs w:val="20"/>
        </w:rPr>
        <w:t xml:space="preserve"> were administered; and group 4: combination group to which both KHK2455 and anti–</w:t>
      </w:r>
      <w:r w:rsidR="00304A1B" w:rsidRPr="00D42E52">
        <w:rPr>
          <w:rFonts w:ascii="Times New Roman" w:hAnsi="Times New Roman" w:cs="Times New Roman" w:hint="eastAsia"/>
          <w:sz w:val="20"/>
          <w:szCs w:val="20"/>
        </w:rPr>
        <w:t>CTLA-4</w:t>
      </w:r>
      <w:r w:rsidR="00A44448" w:rsidRPr="00D42E52">
        <w:rPr>
          <w:rFonts w:ascii="Times New Roman" w:hAnsi="Times New Roman" w:cs="Times New Roman"/>
          <w:sz w:val="20"/>
          <w:szCs w:val="20"/>
        </w:rPr>
        <w:t xml:space="preserve"> antibody were administered).</w:t>
      </w:r>
      <w:r w:rsidR="00304A1B" w:rsidRPr="00D42E52">
        <w:rPr>
          <w:rFonts w:ascii="Times New Roman" w:hAnsi="Times New Roman" w:cs="Times New Roman" w:hint="eastAsia"/>
          <w:sz w:val="20"/>
          <w:szCs w:val="20"/>
        </w:rPr>
        <w:t xml:space="preserve"> KHK2455 or 0.1 v/v% </w:t>
      </w:r>
      <w:r w:rsidR="00304A1B" w:rsidRPr="00D42E52">
        <w:rPr>
          <w:rFonts w:ascii="Times New Roman" w:hAnsi="Times New Roman" w:cs="Times New Roman"/>
          <w:sz w:val="20"/>
          <w:szCs w:val="20"/>
        </w:rPr>
        <w:t>ethanol</w:t>
      </w:r>
      <w:r w:rsidR="00304A1B" w:rsidRPr="00D42E52">
        <w:rPr>
          <w:rFonts w:ascii="Times New Roman" w:hAnsi="Times New Roman" w:cs="Times New Roman" w:hint="eastAsia"/>
          <w:sz w:val="20"/>
          <w:szCs w:val="20"/>
        </w:rPr>
        <w:t xml:space="preserve"> was </w:t>
      </w:r>
      <w:r w:rsidR="00304A1B" w:rsidRPr="00D42E52">
        <w:rPr>
          <w:rFonts w:ascii="Times New Roman" w:hAnsi="Times New Roman" w:cs="Times New Roman"/>
          <w:sz w:val="20"/>
          <w:szCs w:val="20"/>
        </w:rPr>
        <w:t>administered</w:t>
      </w:r>
      <w:r w:rsidR="00304A1B" w:rsidRPr="00D42E52">
        <w:rPr>
          <w:rFonts w:ascii="Times New Roman" w:hAnsi="Times New Roman" w:cs="Times New Roman" w:hint="eastAsia"/>
          <w:sz w:val="20"/>
          <w:szCs w:val="20"/>
        </w:rPr>
        <w:t xml:space="preserve"> </w:t>
      </w:r>
      <w:r w:rsidR="00304A1B" w:rsidRPr="00D42E52">
        <w:rPr>
          <w:rFonts w:ascii="Times New Roman" w:hAnsi="Times New Roman" w:cs="Times New Roman" w:hint="eastAsia"/>
          <w:i/>
          <w:iCs/>
          <w:sz w:val="20"/>
          <w:szCs w:val="20"/>
        </w:rPr>
        <w:t>ad libitum</w:t>
      </w:r>
      <w:r w:rsidR="00304A1B" w:rsidRPr="00D42E52">
        <w:rPr>
          <w:rFonts w:ascii="Times New Roman" w:hAnsi="Times New Roman" w:cs="Times New Roman" w:hint="eastAsia"/>
          <w:sz w:val="20"/>
          <w:szCs w:val="20"/>
        </w:rPr>
        <w:t xml:space="preserve"> via the drinking water from day 0 for 14 days.</w:t>
      </w:r>
      <w:r w:rsidR="00EE607C" w:rsidRPr="00D42E52">
        <w:rPr>
          <w:rFonts w:ascii="Times New Roman" w:hAnsi="Times New Roman" w:cs="Times New Roman" w:hint="eastAsia"/>
          <w:sz w:val="20"/>
          <w:szCs w:val="20"/>
        </w:rPr>
        <w:t xml:space="preserve"> Anti</w:t>
      </w:r>
      <w:r w:rsidR="00EE607C" w:rsidRPr="00D42E52">
        <w:rPr>
          <w:rFonts w:ascii="Times New Roman" w:hAnsi="Times New Roman" w:cs="Times New Roman"/>
          <w:sz w:val="20"/>
          <w:szCs w:val="20"/>
        </w:rPr>
        <w:t>–</w:t>
      </w:r>
      <w:r w:rsidR="00EE607C" w:rsidRPr="00D42E52">
        <w:rPr>
          <w:rFonts w:ascii="Times New Roman" w:hAnsi="Times New Roman" w:cs="Times New Roman" w:hint="eastAsia"/>
          <w:sz w:val="20"/>
          <w:szCs w:val="20"/>
        </w:rPr>
        <w:t xml:space="preserve">CTLA-4 antibody or the isotype control antibody was intravenously administered once a day on days 0, 3, and 6 </w:t>
      </w:r>
      <w:r w:rsidR="00EE607C" w:rsidRPr="00D42E52">
        <w:rPr>
          <w:rFonts w:ascii="Times New Roman" w:hAnsi="Times New Roman" w:cs="Times New Roman"/>
          <w:sz w:val="20"/>
          <w:szCs w:val="20"/>
        </w:rPr>
        <w:t>at a dose o</w:t>
      </w:r>
      <w:r w:rsidR="00EE607C" w:rsidRPr="00D42E52">
        <w:rPr>
          <w:rFonts w:ascii="Times New Roman" w:hAnsi="Times New Roman" w:cs="Times New Roman" w:hint="eastAsia"/>
          <w:sz w:val="20"/>
          <w:szCs w:val="20"/>
        </w:rPr>
        <w:t xml:space="preserve">f </w:t>
      </w:r>
      <w:r w:rsidR="00EE607C" w:rsidRPr="00D42E52">
        <w:rPr>
          <w:rFonts w:ascii="Times New Roman" w:hAnsi="Times New Roman" w:cs="Times New Roman"/>
          <w:sz w:val="20"/>
          <w:szCs w:val="20"/>
        </w:rPr>
        <w:t>100</w:t>
      </w:r>
      <w:r w:rsidR="00EE607C" w:rsidRPr="00D42E52">
        <w:rPr>
          <w:rFonts w:ascii="Times New Roman" w:hAnsi="Times New Roman" w:cs="Times New Roman" w:hint="eastAsia"/>
          <w:sz w:val="20"/>
          <w:szCs w:val="20"/>
        </w:rPr>
        <w:t xml:space="preserve"> </w:t>
      </w:r>
      <w:r w:rsidR="00EE607C" w:rsidRPr="00D42E52">
        <w:rPr>
          <w:rFonts w:ascii="Times New Roman" w:hAnsi="Times New Roman" w:cs="Times New Roman"/>
          <w:sz w:val="20"/>
          <w:szCs w:val="20"/>
        </w:rPr>
        <w:t xml:space="preserve">μg/mouse. </w:t>
      </w:r>
    </w:p>
    <w:p w14:paraId="16B8CEF3" w14:textId="77777777" w:rsidR="007D3BFF" w:rsidRDefault="007D3BFF" w:rsidP="00C601BF">
      <w:pPr>
        <w:widowControl/>
        <w:tabs>
          <w:tab w:val="left" w:pos="984"/>
        </w:tabs>
        <w:spacing w:line="480" w:lineRule="auto"/>
        <w:rPr>
          <w:rFonts w:ascii="Times New Roman" w:hAnsi="Times New Roman" w:cs="Times New Roman"/>
          <w:color w:val="000000" w:themeColor="text1"/>
          <w:sz w:val="20"/>
          <w:szCs w:val="20"/>
        </w:rPr>
      </w:pPr>
    </w:p>
    <w:p w14:paraId="728535C7" w14:textId="77777777" w:rsidR="00BE0FC7" w:rsidRPr="00D42E52" w:rsidRDefault="00BE0FC7" w:rsidP="00BE0FC7">
      <w:pPr>
        <w:widowControl/>
        <w:spacing w:line="480" w:lineRule="auto"/>
        <w:rPr>
          <w:rFonts w:ascii="Times New Roman" w:hAnsi="Times New Roman" w:cs="Times New Roman"/>
          <w:b/>
          <w:bCs/>
          <w:sz w:val="22"/>
        </w:rPr>
      </w:pPr>
      <w:r w:rsidRPr="00D42E52">
        <w:rPr>
          <w:rFonts w:ascii="Times New Roman" w:hAnsi="Times New Roman" w:cs="Times New Roman" w:hint="eastAsia"/>
          <w:b/>
          <w:bCs/>
          <w:sz w:val="22"/>
        </w:rPr>
        <w:t>Pharmacological evaluation in the C57BL/6J mouse treated with IFN-</w:t>
      </w:r>
      <w:r w:rsidRPr="00D42E52">
        <w:rPr>
          <w:rFonts w:ascii="Arial" w:hAnsi="Arial" w:cs="Arial"/>
          <w:spacing w:val="2"/>
        </w:rPr>
        <w:t>γ</w:t>
      </w:r>
    </w:p>
    <w:p w14:paraId="7B6D00FC" w14:textId="47979484" w:rsidR="00BE0FC7" w:rsidRPr="00D42E52" w:rsidRDefault="00BE0FC7" w:rsidP="00BE0FC7">
      <w:pPr>
        <w:widowControl/>
        <w:spacing w:line="480" w:lineRule="auto"/>
        <w:rPr>
          <w:rFonts w:ascii="Times New Roman" w:hAnsi="Times New Roman" w:cs="Times New Roman"/>
          <w:sz w:val="20"/>
          <w:szCs w:val="20"/>
        </w:rPr>
      </w:pPr>
      <w:r w:rsidRPr="00D42E52">
        <w:rPr>
          <w:rFonts w:ascii="Times New Roman" w:hAnsi="Times New Roman" w:cs="Times New Roman"/>
          <w:sz w:val="20"/>
          <w:szCs w:val="20"/>
        </w:rPr>
        <w:tab/>
        <w:t xml:space="preserve">C57BL/6J mice (female, </w:t>
      </w:r>
      <w:r w:rsidRPr="00D42E52">
        <w:rPr>
          <w:rFonts w:ascii="Times New Roman" w:hAnsi="Times New Roman" w:cs="Times New Roman" w:hint="eastAsia"/>
          <w:sz w:val="20"/>
          <w:szCs w:val="20"/>
        </w:rPr>
        <w:t>6</w:t>
      </w:r>
      <w:r w:rsidRPr="00D42E52">
        <w:rPr>
          <w:rFonts w:ascii="Times New Roman" w:hAnsi="Times New Roman" w:cs="Times New Roman"/>
          <w:sz w:val="20"/>
          <w:szCs w:val="20"/>
        </w:rPr>
        <w:t xml:space="preserve"> weeks old) were </w:t>
      </w:r>
      <w:r w:rsidRPr="00D42E52">
        <w:rPr>
          <w:rFonts w:ascii="Times New Roman" w:hAnsi="Times New Roman" w:cs="Times New Roman" w:hint="eastAsia"/>
          <w:sz w:val="20"/>
          <w:szCs w:val="20"/>
        </w:rPr>
        <w:t>purchased</w:t>
      </w:r>
      <w:r w:rsidRPr="00D42E52">
        <w:rPr>
          <w:rFonts w:ascii="Times New Roman" w:hAnsi="Times New Roman" w:cs="Times New Roman"/>
          <w:sz w:val="20"/>
          <w:szCs w:val="20"/>
        </w:rPr>
        <w:t xml:space="preserve"> from Charles River Laboratories Japan.</w:t>
      </w:r>
      <w:r w:rsidRPr="00D42E52">
        <w:rPr>
          <w:rFonts w:ascii="Times New Roman" w:eastAsia="Meiryo UI" w:hAnsi="Times New Roman" w:cs="Times New Roman"/>
          <w:sz w:val="20"/>
          <w:szCs w:val="20"/>
        </w:rPr>
        <w:t xml:space="preserve"> </w:t>
      </w:r>
      <w:r w:rsidRPr="00D42E52">
        <w:rPr>
          <w:rFonts w:ascii="Times New Roman" w:eastAsia="Meiryo UI" w:hAnsi="Times New Roman" w:cs="Times New Roman" w:hint="eastAsia"/>
          <w:sz w:val="20"/>
          <w:szCs w:val="20"/>
        </w:rPr>
        <w:t>Mice were divided into 6 groups (n = 4</w:t>
      </w:r>
      <w:r w:rsidR="0006257C">
        <w:rPr>
          <w:rFonts w:ascii="Times New Roman" w:eastAsia="Meiryo UI" w:hAnsi="Times New Roman" w:cs="Times New Roman" w:hint="eastAsia"/>
          <w:sz w:val="20"/>
          <w:szCs w:val="20"/>
        </w:rPr>
        <w:t xml:space="preserve"> per </w:t>
      </w:r>
      <w:r w:rsidRPr="00D42E52">
        <w:rPr>
          <w:rFonts w:ascii="Times New Roman" w:eastAsia="Meiryo UI" w:hAnsi="Times New Roman" w:cs="Times New Roman" w:hint="eastAsia"/>
          <w:sz w:val="20"/>
          <w:szCs w:val="20"/>
        </w:rPr>
        <w:t xml:space="preserve">group). On the following day, mice in each group were orally administered either MC400 or KHK2455 (0.01 </w:t>
      </w:r>
      <w:r w:rsidRPr="00D42E52">
        <w:rPr>
          <w:rFonts w:ascii="Times New Roman" w:eastAsia="Meiryo UI" w:hAnsi="Times New Roman" w:cs="Times New Roman" w:hint="eastAsia"/>
          <w:sz w:val="20"/>
          <w:szCs w:val="20"/>
        </w:rPr>
        <w:t>–</w:t>
      </w:r>
      <w:r w:rsidRPr="00D42E52">
        <w:rPr>
          <w:rFonts w:ascii="Times New Roman" w:eastAsia="Meiryo UI" w:hAnsi="Times New Roman" w:cs="Times New Roman" w:hint="eastAsia"/>
          <w:sz w:val="20"/>
          <w:szCs w:val="20"/>
        </w:rPr>
        <w:t xml:space="preserve"> 10 mg/kg). Approximately 1 hour later, mice </w:t>
      </w:r>
      <w:r w:rsidRPr="00D42E52">
        <w:rPr>
          <w:rFonts w:ascii="Times New Roman" w:eastAsia="Meiryo UI" w:hAnsi="Times New Roman" w:cs="Times New Roman"/>
          <w:sz w:val="20"/>
          <w:szCs w:val="20"/>
        </w:rPr>
        <w:t>received</w:t>
      </w:r>
      <w:r w:rsidRPr="00D42E52">
        <w:rPr>
          <w:rFonts w:ascii="Times New Roman" w:eastAsia="Meiryo UI" w:hAnsi="Times New Roman" w:cs="Times New Roman" w:hint="eastAsia"/>
          <w:sz w:val="20"/>
          <w:szCs w:val="20"/>
        </w:rPr>
        <w:t xml:space="preserve"> an intravenous injection of either 0.1 % BSA in DPBS (0.1 % BSA/DPBS) or </w:t>
      </w:r>
      <w:r w:rsidRPr="00D42E52">
        <w:rPr>
          <w:rFonts w:ascii="Times New Roman" w:hAnsi="Times New Roman" w:cs="Times New Roman" w:hint="eastAsia"/>
          <w:sz w:val="20"/>
          <w:szCs w:val="20"/>
        </w:rPr>
        <w:t>IFN-</w:t>
      </w:r>
      <w:r w:rsidRPr="00D42E52">
        <w:rPr>
          <w:rFonts w:ascii="Times New Roman" w:hAnsi="Times New Roman" w:cs="Times New Roman"/>
          <w:spacing w:val="2"/>
          <w:sz w:val="20"/>
          <w:szCs w:val="21"/>
        </w:rPr>
        <w:t>γ</w:t>
      </w:r>
      <w:r w:rsidRPr="00D42E52">
        <w:rPr>
          <w:rFonts w:ascii="Times New Roman" w:hAnsi="Times New Roman" w:cs="Times New Roman" w:hint="eastAsia"/>
          <w:spacing w:val="2"/>
          <w:sz w:val="20"/>
          <w:szCs w:val="21"/>
        </w:rPr>
        <w:t xml:space="preserve"> (</w:t>
      </w:r>
      <w:r w:rsidRPr="00D42E52">
        <w:rPr>
          <w:rFonts w:ascii="Times New Roman" w:eastAsia="Meiryo UI" w:hAnsi="Times New Roman" w:cs="Times New Roman" w:hint="eastAsia"/>
          <w:sz w:val="20"/>
          <w:szCs w:val="20"/>
        </w:rPr>
        <w:t xml:space="preserve">100 </w:t>
      </w:r>
      <w:r w:rsidRPr="00D42E52">
        <w:rPr>
          <w:rFonts w:ascii="Times New Roman" w:hAnsi="Times New Roman" w:cs="Times New Roman"/>
          <w:sz w:val="20"/>
          <w:szCs w:val="20"/>
        </w:rPr>
        <w:t>μg</w:t>
      </w:r>
      <w:r w:rsidRPr="00D42E52">
        <w:rPr>
          <w:rFonts w:ascii="Times New Roman" w:hAnsi="Times New Roman" w:cs="Times New Roman" w:hint="eastAsia"/>
          <w:sz w:val="20"/>
          <w:szCs w:val="20"/>
        </w:rPr>
        <w:t>/kg,</w:t>
      </w:r>
      <w:r w:rsidRPr="00D42E52">
        <w:rPr>
          <w:rFonts w:ascii="Times New Roman" w:hAnsi="Times New Roman" w:cs="Times New Roman" w:hint="eastAsia"/>
          <w:spacing w:val="2"/>
          <w:sz w:val="20"/>
          <w:szCs w:val="21"/>
        </w:rPr>
        <w:t xml:space="preserve"> R&amp;D systems, </w:t>
      </w:r>
      <w:r w:rsidRPr="00D42E52">
        <w:rPr>
          <w:rFonts w:ascii="Times New Roman" w:hAnsi="Times New Roman" w:cs="Times New Roman" w:hint="eastAsia"/>
          <w:spacing w:val="2"/>
          <w:sz w:val="20"/>
          <w:szCs w:val="21"/>
        </w:rPr>
        <w:lastRenderedPageBreak/>
        <w:t>dissolved in 0.1 % BSA/DPBS). Twenty-four hours after treatment with either 0.1 % BSA/DPBS or IFN-</w:t>
      </w:r>
      <w:r w:rsidRPr="00D42E52">
        <w:rPr>
          <w:rFonts w:ascii="Times New Roman" w:hAnsi="Times New Roman" w:cs="Times New Roman"/>
          <w:spacing w:val="2"/>
          <w:sz w:val="20"/>
          <w:szCs w:val="21"/>
        </w:rPr>
        <w:t>γ</w:t>
      </w:r>
      <w:r w:rsidRPr="00D42E52">
        <w:rPr>
          <w:rFonts w:ascii="Times New Roman" w:hAnsi="Times New Roman" w:cs="Times New Roman" w:hint="eastAsia"/>
          <w:spacing w:val="2"/>
          <w:sz w:val="20"/>
          <w:szCs w:val="21"/>
        </w:rPr>
        <w:t xml:space="preserve">, whole blood was collected and used for analyzing </w:t>
      </w:r>
      <w:proofErr w:type="spellStart"/>
      <w:r w:rsidRPr="00D42E52">
        <w:rPr>
          <w:rFonts w:ascii="Times New Roman" w:hAnsi="Times New Roman" w:cs="Times New Roman" w:hint="eastAsia"/>
          <w:spacing w:val="2"/>
          <w:sz w:val="20"/>
          <w:szCs w:val="21"/>
        </w:rPr>
        <w:t>Kyn</w:t>
      </w:r>
      <w:proofErr w:type="spellEnd"/>
      <w:r w:rsidRPr="00D42E52">
        <w:rPr>
          <w:rFonts w:ascii="Times New Roman" w:hAnsi="Times New Roman" w:cs="Times New Roman" w:hint="eastAsia"/>
          <w:spacing w:val="2"/>
          <w:sz w:val="20"/>
          <w:szCs w:val="21"/>
        </w:rPr>
        <w:t xml:space="preserve"> concentration by the </w:t>
      </w:r>
      <w:r w:rsidRPr="00D42E52">
        <w:rPr>
          <w:rFonts w:ascii="Times New Roman" w:hAnsi="Times New Roman" w:cs="Times New Roman" w:hint="eastAsia"/>
          <w:sz w:val="20"/>
          <w:szCs w:val="20"/>
        </w:rPr>
        <w:t>l</w:t>
      </w:r>
      <w:r w:rsidRPr="00D42E52">
        <w:rPr>
          <w:rFonts w:ascii="Times New Roman" w:hAnsi="Times New Roman" w:cs="Times New Roman"/>
          <w:sz w:val="20"/>
          <w:szCs w:val="20"/>
        </w:rPr>
        <w:t>iquid chromatography-tandem mass spectrometry analysis</w:t>
      </w:r>
      <w:r w:rsidRPr="00D42E52">
        <w:rPr>
          <w:rFonts w:ascii="Times New Roman" w:hAnsi="Times New Roman" w:cs="Times New Roman" w:hint="eastAsia"/>
          <w:sz w:val="20"/>
          <w:szCs w:val="20"/>
        </w:rPr>
        <w:t>.</w:t>
      </w:r>
    </w:p>
    <w:p w14:paraId="0C110EA5" w14:textId="77777777" w:rsidR="00BE0FC7" w:rsidRPr="00BE0FC7" w:rsidRDefault="00BE0FC7" w:rsidP="00C601BF">
      <w:pPr>
        <w:widowControl/>
        <w:tabs>
          <w:tab w:val="left" w:pos="984"/>
        </w:tabs>
        <w:spacing w:line="480" w:lineRule="auto"/>
        <w:rPr>
          <w:rFonts w:ascii="Times New Roman" w:hAnsi="Times New Roman" w:cs="Times New Roman"/>
          <w:color w:val="000000" w:themeColor="text1"/>
          <w:sz w:val="20"/>
          <w:szCs w:val="20"/>
        </w:rPr>
      </w:pPr>
    </w:p>
    <w:p w14:paraId="65A945BF" w14:textId="77777777" w:rsidR="00FB70F8" w:rsidRPr="00FF0A52" w:rsidRDefault="00FB70F8" w:rsidP="00FB70F8">
      <w:pPr>
        <w:widowControl/>
        <w:spacing w:line="480" w:lineRule="auto"/>
        <w:rPr>
          <w:rFonts w:ascii="Times New Roman" w:hAnsi="Times New Roman" w:cs="Times New Roman"/>
          <w:b/>
          <w:bCs/>
          <w:color w:val="000000" w:themeColor="text1"/>
          <w:sz w:val="22"/>
        </w:rPr>
      </w:pPr>
      <w:r w:rsidRPr="00FF0A52">
        <w:rPr>
          <w:rFonts w:ascii="Times New Roman" w:hAnsi="Times New Roman" w:cs="Times New Roman"/>
          <w:b/>
          <w:bCs/>
          <w:color w:val="000000" w:themeColor="text1"/>
          <w:sz w:val="22"/>
        </w:rPr>
        <w:t>Preparation of the plasma and tumors for liquid chromatography-tandem mass spectrometry and nCounter analyses</w:t>
      </w:r>
    </w:p>
    <w:p w14:paraId="29E59758" w14:textId="77777777" w:rsidR="00FB70F8" w:rsidRPr="00D0517A" w:rsidRDefault="00FB70F8" w:rsidP="00FB70F8">
      <w:pPr>
        <w:pStyle w:val="Paragraph"/>
        <w:spacing w:line="480" w:lineRule="auto"/>
        <w:ind w:firstLine="840"/>
        <w:jc w:val="both"/>
        <w:rPr>
          <w:sz w:val="20"/>
          <w:szCs w:val="20"/>
        </w:rPr>
      </w:pPr>
      <w:r w:rsidRPr="00D0517A">
        <w:rPr>
          <w:rFonts w:eastAsia="Meiryo UI"/>
          <w:sz w:val="20"/>
          <w:szCs w:val="20"/>
        </w:rPr>
        <w:t>Whole</w:t>
      </w:r>
      <w:r w:rsidRPr="00D0517A">
        <w:rPr>
          <w:sz w:val="20"/>
          <w:szCs w:val="20"/>
        </w:rPr>
        <w:t xml:space="preserve"> blood and tumors were collected from 15 untreated mice on day 0 for the baseline control and from 60 mice treated with the test and control agents on day 10 (groups 1–4). For each group, five and seven mice were randomly selected from the 15 mice and used for </w:t>
      </w:r>
      <w:proofErr w:type="spellStart"/>
      <w:r w:rsidRPr="00D0517A">
        <w:rPr>
          <w:sz w:val="20"/>
          <w:szCs w:val="20"/>
        </w:rPr>
        <w:t>Kyn</w:t>
      </w:r>
      <w:proofErr w:type="spellEnd"/>
      <w:r w:rsidRPr="00D0517A">
        <w:rPr>
          <w:sz w:val="20"/>
          <w:szCs w:val="20"/>
        </w:rPr>
        <w:t xml:space="preserve"> and </w:t>
      </w:r>
      <w:proofErr w:type="spellStart"/>
      <w:r w:rsidRPr="00D0517A">
        <w:rPr>
          <w:sz w:val="20"/>
          <w:szCs w:val="20"/>
        </w:rPr>
        <w:t>Trp</w:t>
      </w:r>
      <w:proofErr w:type="spellEnd"/>
      <w:r w:rsidRPr="00D0517A">
        <w:rPr>
          <w:sz w:val="20"/>
          <w:szCs w:val="20"/>
        </w:rPr>
        <w:t xml:space="preserve"> measurements in the tumor and plasma specimens and for the gene expression analysis in tumors, respectively. To prepare the tumor homogenate for the measurement of </w:t>
      </w:r>
      <w:proofErr w:type="spellStart"/>
      <w:r w:rsidRPr="00D0517A">
        <w:rPr>
          <w:sz w:val="20"/>
          <w:szCs w:val="20"/>
        </w:rPr>
        <w:t>Kyn</w:t>
      </w:r>
      <w:proofErr w:type="spellEnd"/>
      <w:r w:rsidRPr="00D0517A">
        <w:rPr>
          <w:sz w:val="20"/>
          <w:szCs w:val="20"/>
        </w:rPr>
        <w:t xml:space="preserve"> and </w:t>
      </w:r>
      <w:proofErr w:type="spellStart"/>
      <w:r w:rsidRPr="00D0517A">
        <w:rPr>
          <w:sz w:val="20"/>
          <w:szCs w:val="20"/>
        </w:rPr>
        <w:t>Trp</w:t>
      </w:r>
      <w:proofErr w:type="spellEnd"/>
      <w:r w:rsidRPr="00D0517A">
        <w:rPr>
          <w:sz w:val="20"/>
          <w:szCs w:val="20"/>
        </w:rPr>
        <w:t xml:space="preserve">, frozen tumor samples were homogenized with a 3-fold quantity of water using </w:t>
      </w:r>
      <w:proofErr w:type="spellStart"/>
      <w:r w:rsidRPr="00D0517A">
        <w:rPr>
          <w:sz w:val="20"/>
          <w:szCs w:val="20"/>
        </w:rPr>
        <w:t>TissueLyser</w:t>
      </w:r>
      <w:proofErr w:type="spellEnd"/>
      <w:r w:rsidRPr="00D0517A">
        <w:rPr>
          <w:sz w:val="20"/>
          <w:szCs w:val="20"/>
        </w:rPr>
        <w:t xml:space="preserve"> II (Qiagen), and the tumor homogenates were centrifuged (8000 × </w:t>
      </w:r>
      <w:r w:rsidRPr="00D0517A">
        <w:rPr>
          <w:i/>
          <w:sz w:val="20"/>
          <w:szCs w:val="20"/>
        </w:rPr>
        <w:t>g</w:t>
      </w:r>
      <w:r w:rsidRPr="00D0517A">
        <w:rPr>
          <w:sz w:val="20"/>
          <w:szCs w:val="20"/>
        </w:rPr>
        <w:t>, 5 min) at 4°C. The supernatants were collected and stored at or below −20°C until the liquid chromatography-tandem mass spectrometry analysis was performed.</w:t>
      </w:r>
    </w:p>
    <w:p w14:paraId="158A27AE" w14:textId="77777777" w:rsidR="007D3BFF" w:rsidRDefault="007D3BFF" w:rsidP="00C601BF">
      <w:pPr>
        <w:widowControl/>
        <w:tabs>
          <w:tab w:val="left" w:pos="984"/>
        </w:tabs>
        <w:spacing w:line="480" w:lineRule="auto"/>
        <w:rPr>
          <w:rFonts w:ascii="Times New Roman" w:hAnsi="Times New Roman" w:cs="Times New Roman"/>
          <w:color w:val="000000" w:themeColor="text1"/>
          <w:sz w:val="20"/>
          <w:szCs w:val="20"/>
        </w:rPr>
      </w:pPr>
    </w:p>
    <w:p w14:paraId="7C0C7BA7" w14:textId="77777777" w:rsidR="00FB70F8" w:rsidRPr="00FF0A52" w:rsidRDefault="00FB70F8" w:rsidP="00FB70F8">
      <w:pPr>
        <w:widowControl/>
        <w:spacing w:line="480" w:lineRule="auto"/>
        <w:rPr>
          <w:rFonts w:ascii="Times New Roman" w:hAnsi="Times New Roman" w:cs="Times New Roman"/>
          <w:b/>
          <w:bCs/>
          <w:color w:val="000000" w:themeColor="text1"/>
          <w:sz w:val="22"/>
        </w:rPr>
      </w:pPr>
      <w:r w:rsidRPr="00FF0A52">
        <w:rPr>
          <w:rFonts w:ascii="Times New Roman" w:hAnsi="Times New Roman" w:cs="Times New Roman"/>
          <w:b/>
          <w:bCs/>
          <w:color w:val="000000" w:themeColor="text1"/>
          <w:sz w:val="22"/>
        </w:rPr>
        <w:t>Liquid chromatography-tandem mass spectrometry analysis</w:t>
      </w:r>
    </w:p>
    <w:p w14:paraId="05F0ACA8" w14:textId="77777777" w:rsidR="00FB70F8" w:rsidRPr="00D0517A" w:rsidRDefault="00FB70F8" w:rsidP="00FB70F8">
      <w:pPr>
        <w:widowControl/>
        <w:spacing w:line="480" w:lineRule="auto"/>
        <w:ind w:firstLine="840"/>
        <w:rPr>
          <w:rFonts w:ascii="Times New Roman" w:hAnsi="Times New Roman" w:cs="Times New Roman"/>
          <w:sz w:val="20"/>
          <w:szCs w:val="20"/>
        </w:rPr>
      </w:pPr>
      <w:r w:rsidRPr="00D0517A">
        <w:rPr>
          <w:rFonts w:ascii="Times New Roman" w:hAnsi="Times New Roman" w:cs="Times New Roman"/>
          <w:sz w:val="20"/>
          <w:szCs w:val="20"/>
        </w:rPr>
        <w:t>L-</w:t>
      </w:r>
      <w:proofErr w:type="spellStart"/>
      <w:r w:rsidRPr="00D0517A">
        <w:rPr>
          <w:rFonts w:ascii="Times New Roman" w:hAnsi="Times New Roman" w:cs="Times New Roman"/>
          <w:sz w:val="20"/>
          <w:szCs w:val="20"/>
        </w:rPr>
        <w:t>Kyn</w:t>
      </w:r>
      <w:proofErr w:type="spellEnd"/>
      <w:r w:rsidRPr="00D0517A">
        <w:rPr>
          <w:rFonts w:ascii="Times New Roman" w:hAnsi="Times New Roman" w:cs="Times New Roman"/>
          <w:sz w:val="20"/>
          <w:szCs w:val="20"/>
        </w:rPr>
        <w:t xml:space="preserve"> (Sigma-Aldrich) and L-</w:t>
      </w:r>
      <w:proofErr w:type="spellStart"/>
      <w:r w:rsidRPr="00D0517A">
        <w:rPr>
          <w:rFonts w:ascii="Times New Roman" w:hAnsi="Times New Roman" w:cs="Times New Roman"/>
          <w:sz w:val="20"/>
          <w:szCs w:val="20"/>
        </w:rPr>
        <w:t>Trp</w:t>
      </w:r>
      <w:proofErr w:type="spellEnd"/>
      <w:r w:rsidRPr="00D0517A">
        <w:rPr>
          <w:rFonts w:ascii="Times New Roman" w:hAnsi="Times New Roman" w:cs="Times New Roman"/>
          <w:sz w:val="20"/>
          <w:szCs w:val="20"/>
        </w:rPr>
        <w:t xml:space="preserve"> (Fujifilm Wako Pure Chemical Corporation) were used as standards. L-</w:t>
      </w:r>
      <w:proofErr w:type="spellStart"/>
      <w:r w:rsidRPr="00D0517A">
        <w:rPr>
          <w:rFonts w:ascii="Times New Roman" w:hAnsi="Times New Roman" w:cs="Times New Roman"/>
          <w:sz w:val="20"/>
          <w:szCs w:val="20"/>
        </w:rPr>
        <w:t>Kyn</w:t>
      </w:r>
      <w:proofErr w:type="spellEnd"/>
      <w:r w:rsidRPr="00D0517A">
        <w:rPr>
          <w:rFonts w:ascii="Times New Roman" w:hAnsi="Times New Roman" w:cs="Times New Roman"/>
          <w:sz w:val="20"/>
          <w:szCs w:val="20"/>
        </w:rPr>
        <w:t xml:space="preserve"> (ring-D4) (d4-Kyn, </w:t>
      </w:r>
      <w:proofErr w:type="spellStart"/>
      <w:r w:rsidRPr="00D0517A">
        <w:rPr>
          <w:rFonts w:ascii="Times New Roman" w:hAnsi="Times New Roman" w:cs="Times New Roman"/>
          <w:sz w:val="20"/>
          <w:szCs w:val="20"/>
        </w:rPr>
        <w:t>Buchem</w:t>
      </w:r>
      <w:proofErr w:type="spellEnd"/>
      <w:r w:rsidRPr="00D0517A">
        <w:rPr>
          <w:rFonts w:ascii="Times New Roman" w:hAnsi="Times New Roman" w:cs="Times New Roman"/>
          <w:sz w:val="20"/>
          <w:szCs w:val="20"/>
        </w:rPr>
        <w:t xml:space="preserve"> B.V.) and L-</w:t>
      </w:r>
      <w:proofErr w:type="spellStart"/>
      <w:r w:rsidRPr="00D0517A">
        <w:rPr>
          <w:rFonts w:ascii="Times New Roman" w:hAnsi="Times New Roman" w:cs="Times New Roman"/>
          <w:sz w:val="20"/>
          <w:szCs w:val="20"/>
        </w:rPr>
        <w:t>Trp</w:t>
      </w:r>
      <w:proofErr w:type="spellEnd"/>
      <w:r w:rsidRPr="00D0517A">
        <w:rPr>
          <w:rFonts w:ascii="Times New Roman" w:hAnsi="Times New Roman" w:cs="Times New Roman"/>
          <w:sz w:val="20"/>
          <w:szCs w:val="20"/>
        </w:rPr>
        <w:t xml:space="preserve"> (Indole-D5, 98%) (d5-Trp, Cambridge </w:t>
      </w:r>
      <w:r w:rsidRPr="00D0517A">
        <w:rPr>
          <w:rFonts w:ascii="Times New Roman" w:hAnsi="Times New Roman" w:cs="Times New Roman"/>
          <w:sz w:val="20"/>
          <w:szCs w:val="20"/>
        </w:rPr>
        <w:lastRenderedPageBreak/>
        <w:t xml:space="preserve">Isotope Laboratories) were used as internal standards. The plasma and tumor homogenate samples were subjected to protein precipitation with trifluoroacetic acid, and the mixture was centrifuged (5000 × </w:t>
      </w:r>
      <w:r w:rsidRPr="00D0517A">
        <w:rPr>
          <w:rFonts w:ascii="Times New Roman" w:hAnsi="Times New Roman" w:cs="Times New Roman"/>
          <w:i/>
          <w:iCs/>
          <w:sz w:val="20"/>
          <w:szCs w:val="20"/>
        </w:rPr>
        <w:t>g</w:t>
      </w:r>
      <w:r w:rsidRPr="00D0517A">
        <w:rPr>
          <w:rFonts w:ascii="Times New Roman" w:hAnsi="Times New Roman" w:cs="Times New Roman"/>
          <w:sz w:val="20"/>
          <w:szCs w:val="20"/>
        </w:rPr>
        <w:t xml:space="preserve">, room temperature, 10 min). The supernatant was mixed with 0.05 vol% formic acid/methanol (75/25, v/v) and injected onto an Atlantis T3 column (3 µm, 4.6 mm × 75 mm) (Waters) coupled to a liquid chromatography-tandem mass spectrometry system consisting of Agilent 1200 (Agilent Technologies), HTC PAL (CTC Analytics), and API5000 mass spectrometer (AB SCIEX) using positive electrospray ionization mode. The mobile phase A was 0.05 vol% formic acid, and the mobile phase B was methanol. The gradient program was set as follows: mobile phase B was held at 5% for 0.2 min, gradually increased to 70% for 3.3 min (from 0.2 to 3.5 min), further increased to 90% for 1.5 min (from 3.51 to 5 min), and then decreased to 5% and held for 2 min (from 5.01 to 7 min). The flow rate was set at 0.6 mL/min. Multiple reaction monitoring was used to detect the analytes. The Q1/Q3 transitions were at m/z 205.1 &gt; 146.4 for </w:t>
      </w:r>
      <w:proofErr w:type="spellStart"/>
      <w:r w:rsidRPr="00D0517A">
        <w:rPr>
          <w:rFonts w:ascii="Times New Roman" w:hAnsi="Times New Roman" w:cs="Times New Roman"/>
          <w:sz w:val="20"/>
          <w:szCs w:val="20"/>
        </w:rPr>
        <w:t>Trp</w:t>
      </w:r>
      <w:proofErr w:type="spellEnd"/>
      <w:r w:rsidRPr="00D0517A">
        <w:rPr>
          <w:rFonts w:ascii="Times New Roman" w:hAnsi="Times New Roman" w:cs="Times New Roman"/>
          <w:sz w:val="20"/>
          <w:szCs w:val="20"/>
        </w:rPr>
        <w:t xml:space="preserve">, m/z 209.0 &gt; 94.2 for </w:t>
      </w:r>
      <w:proofErr w:type="spellStart"/>
      <w:r w:rsidRPr="00D0517A">
        <w:rPr>
          <w:rFonts w:ascii="Times New Roman" w:hAnsi="Times New Roman" w:cs="Times New Roman"/>
          <w:sz w:val="20"/>
          <w:szCs w:val="20"/>
        </w:rPr>
        <w:t>Kyn</w:t>
      </w:r>
      <w:proofErr w:type="spellEnd"/>
      <w:r w:rsidRPr="00D0517A">
        <w:rPr>
          <w:rFonts w:ascii="Times New Roman" w:hAnsi="Times New Roman" w:cs="Times New Roman"/>
          <w:sz w:val="20"/>
          <w:szCs w:val="20"/>
        </w:rPr>
        <w:t xml:space="preserve">, m/z 209.8 &gt; 150.2 for d5-Trp, m/z 212.8 &gt; 98.3 for d4-Kyn. The </w:t>
      </w:r>
      <w:proofErr w:type="spellStart"/>
      <w:r w:rsidRPr="00D0517A">
        <w:rPr>
          <w:rFonts w:ascii="Times New Roman" w:hAnsi="Times New Roman" w:cs="Times New Roman"/>
          <w:sz w:val="20"/>
          <w:szCs w:val="20"/>
        </w:rPr>
        <w:t>Kyn</w:t>
      </w:r>
      <w:proofErr w:type="spellEnd"/>
      <w:r w:rsidRPr="00D0517A">
        <w:rPr>
          <w:rFonts w:ascii="Times New Roman" w:hAnsi="Times New Roman" w:cs="Times New Roman"/>
          <w:sz w:val="20"/>
          <w:szCs w:val="20"/>
        </w:rPr>
        <w:t xml:space="preserve"> and </w:t>
      </w:r>
      <w:proofErr w:type="spellStart"/>
      <w:r w:rsidRPr="00D0517A">
        <w:rPr>
          <w:rFonts w:ascii="Times New Roman" w:hAnsi="Times New Roman" w:cs="Times New Roman"/>
          <w:sz w:val="20"/>
          <w:szCs w:val="20"/>
        </w:rPr>
        <w:t>Trp</w:t>
      </w:r>
      <w:proofErr w:type="spellEnd"/>
      <w:r w:rsidRPr="00D0517A">
        <w:rPr>
          <w:rFonts w:ascii="Times New Roman" w:hAnsi="Times New Roman" w:cs="Times New Roman"/>
          <w:sz w:val="20"/>
          <w:szCs w:val="20"/>
        </w:rPr>
        <w:t xml:space="preserve"> concentrations in the tumor specimens were individually calculated by multiplying the measured concentration (</w:t>
      </w:r>
      <w:proofErr w:type="spellStart"/>
      <w:r w:rsidRPr="00D0517A">
        <w:rPr>
          <w:rFonts w:ascii="Times New Roman" w:hAnsi="Times New Roman" w:cs="Times New Roman"/>
          <w:sz w:val="20"/>
          <w:szCs w:val="20"/>
        </w:rPr>
        <w:t>μmol</w:t>
      </w:r>
      <w:proofErr w:type="spellEnd"/>
      <w:r w:rsidRPr="00D0517A">
        <w:rPr>
          <w:rFonts w:ascii="Times New Roman" w:hAnsi="Times New Roman" w:cs="Times New Roman"/>
          <w:sz w:val="20"/>
          <w:szCs w:val="20"/>
        </w:rPr>
        <w:t xml:space="preserve">/L) by the dilution factor (4-fold for the preparation of tumor homogenate) and expressed in units of </w:t>
      </w:r>
      <w:proofErr w:type="spellStart"/>
      <w:r w:rsidRPr="00D0517A">
        <w:rPr>
          <w:rFonts w:ascii="Times New Roman" w:hAnsi="Times New Roman" w:cs="Times New Roman"/>
          <w:sz w:val="20"/>
          <w:szCs w:val="20"/>
        </w:rPr>
        <w:t>μmol</w:t>
      </w:r>
      <w:proofErr w:type="spellEnd"/>
      <w:r w:rsidRPr="00D0517A">
        <w:rPr>
          <w:rFonts w:ascii="Times New Roman" w:hAnsi="Times New Roman" w:cs="Times New Roman"/>
          <w:sz w:val="20"/>
          <w:szCs w:val="20"/>
        </w:rPr>
        <w:t xml:space="preserve">/L with the assumption that the specific volume of the tumor specimen is 1 mL/g. The </w:t>
      </w:r>
      <w:proofErr w:type="spellStart"/>
      <w:r w:rsidRPr="00D0517A">
        <w:rPr>
          <w:rFonts w:ascii="Times New Roman" w:hAnsi="Times New Roman" w:cs="Times New Roman"/>
          <w:sz w:val="20"/>
          <w:szCs w:val="20"/>
        </w:rPr>
        <w:t>Kyn</w:t>
      </w:r>
      <w:proofErr w:type="spellEnd"/>
      <w:r w:rsidRPr="00D0517A">
        <w:rPr>
          <w:rFonts w:ascii="Times New Roman" w:hAnsi="Times New Roman" w:cs="Times New Roman"/>
          <w:sz w:val="20"/>
          <w:szCs w:val="20"/>
        </w:rPr>
        <w:t>/</w:t>
      </w:r>
      <w:proofErr w:type="spellStart"/>
      <w:r w:rsidRPr="00D0517A">
        <w:rPr>
          <w:rFonts w:ascii="Times New Roman" w:hAnsi="Times New Roman" w:cs="Times New Roman"/>
          <w:sz w:val="20"/>
          <w:szCs w:val="20"/>
        </w:rPr>
        <w:t>Trp</w:t>
      </w:r>
      <w:proofErr w:type="spellEnd"/>
      <w:r w:rsidRPr="00D0517A">
        <w:rPr>
          <w:rFonts w:ascii="Times New Roman" w:hAnsi="Times New Roman" w:cs="Times New Roman"/>
          <w:sz w:val="20"/>
          <w:szCs w:val="20"/>
        </w:rPr>
        <w:t xml:space="preserve"> ratio in the plasma or tumor specimens was individually calculated using the following equation: </w:t>
      </w:r>
    </w:p>
    <w:p w14:paraId="7D1C6D96" w14:textId="77777777" w:rsidR="00FB70F8" w:rsidRPr="00D0517A" w:rsidRDefault="00FB70F8" w:rsidP="00FB70F8">
      <w:pPr>
        <w:widowControl/>
        <w:spacing w:line="480" w:lineRule="auto"/>
        <w:rPr>
          <w:rFonts w:ascii="Times New Roman" w:eastAsia="Meiryo UI" w:hAnsi="Times New Roman" w:cs="Times New Roman"/>
          <w:sz w:val="20"/>
          <w:szCs w:val="20"/>
        </w:rPr>
      </w:pPr>
      <w:proofErr w:type="spellStart"/>
      <m:oMathPara>
        <m:oMath>
          <m:r>
            <m:rPr>
              <m:nor/>
            </m:rPr>
            <w:rPr>
              <w:rFonts w:ascii="Times New Roman" w:hAnsi="Times New Roman" w:cs="Times New Roman"/>
              <w:sz w:val="20"/>
              <w:szCs w:val="20"/>
            </w:rPr>
            <m:t>Kyn</m:t>
          </m:r>
          <w:proofErr w:type="spellEnd"/>
          <m:r>
            <m:rPr>
              <m:nor/>
            </m:rPr>
            <w:rPr>
              <w:rFonts w:ascii="Times New Roman" w:hAnsi="Times New Roman" w:cs="Times New Roman"/>
              <w:sz w:val="20"/>
              <w:szCs w:val="20"/>
            </w:rPr>
            <m:t>/</m:t>
          </m:r>
          <w:proofErr w:type="spellStart"/>
          <m:r>
            <m:rPr>
              <m:nor/>
            </m:rPr>
            <w:rPr>
              <w:rFonts w:ascii="Times New Roman" w:hAnsi="Times New Roman" w:cs="Times New Roman"/>
              <w:sz w:val="20"/>
              <w:szCs w:val="20"/>
            </w:rPr>
            <m:t>Trp</m:t>
          </m:r>
          <w:proofErr w:type="spellEnd"/>
          <m:r>
            <m:rPr>
              <m:nor/>
            </m:rPr>
            <w:rPr>
              <w:rFonts w:ascii="Times New Roman" w:hAnsi="Times New Roman" w:cs="Times New Roman"/>
              <w:sz w:val="20"/>
              <w:szCs w:val="20"/>
            </w:rPr>
            <m:t xml:space="preserve"> ratio (</m:t>
          </m:r>
          <w:proofErr w:type="spellStart"/>
          <m:r>
            <m:rPr>
              <m:nor/>
            </m:rPr>
            <w:rPr>
              <w:rFonts w:ascii="Times New Roman" w:hAnsi="Times New Roman" w:cs="Times New Roman"/>
              <w:sz w:val="20"/>
              <w:szCs w:val="20"/>
            </w:rPr>
            <m:t>nM</m:t>
          </m:r>
          <w:proofErr w:type="spellEnd"/>
          <m:r>
            <m:rPr>
              <m:nor/>
            </m:rPr>
            <w:rPr>
              <w:rFonts w:ascii="Times New Roman" w:hAnsi="Times New Roman" w:cs="Times New Roman"/>
              <w:sz w:val="20"/>
              <w:szCs w:val="20"/>
            </w:rPr>
            <m:t>/</m:t>
          </m:r>
          <w:proofErr w:type="spellStart"/>
          <m:r>
            <m:rPr>
              <m:nor/>
            </m:rPr>
            <w:rPr>
              <w:rFonts w:ascii="Times New Roman" w:hAnsi="Times New Roman" w:cs="Times New Roman"/>
              <w:sz w:val="20"/>
              <w:szCs w:val="20"/>
            </w:rPr>
            <m:t>μM</m:t>
          </m:r>
          <w:proofErr w:type="spellEnd"/>
          <m:r>
            <m:rPr>
              <m:nor/>
            </m:rPr>
            <w:rPr>
              <w:rFonts w:ascii="Times New Roman" w:hAnsi="Times New Roman" w:cs="Times New Roman"/>
              <w:sz w:val="20"/>
              <w:szCs w:val="20"/>
            </w:rPr>
            <m:t xml:space="preserve">) = </m:t>
          </m:r>
          <m:f>
            <m:fPr>
              <m:ctrlPr>
                <w:rPr>
                  <w:rFonts w:ascii="Cambria Math" w:hAnsi="Cambria Math" w:cs="Times New Roman"/>
                  <w:sz w:val="20"/>
                  <w:szCs w:val="20"/>
                </w:rPr>
              </m:ctrlPr>
            </m:fPr>
            <m:num>
              <m:r>
                <m:rPr>
                  <m:nor/>
                </m:rPr>
                <w:rPr>
                  <w:rFonts w:ascii="Times New Roman" w:hAnsi="Times New Roman" w:cs="Times New Roman"/>
                  <w:sz w:val="20"/>
                  <w:szCs w:val="20"/>
                </w:rPr>
                <m:t>Kyn concentration (μmol/L)</m:t>
              </m:r>
            </m:num>
            <m:den>
              <m:r>
                <m:rPr>
                  <m:nor/>
                </m:rPr>
                <w:rPr>
                  <w:rFonts w:ascii="Times New Roman" w:hAnsi="Times New Roman" w:cs="Times New Roman"/>
                  <w:sz w:val="20"/>
                  <w:szCs w:val="20"/>
                </w:rPr>
                <m:t>Trp concentration (μmol/L)</m:t>
              </m:r>
            </m:den>
          </m:f>
          <m:r>
            <m:rPr>
              <m:nor/>
            </m:rPr>
            <w:rPr>
              <w:rFonts w:ascii="Times New Roman" w:hAnsi="Times New Roman" w:cs="Times New Roman"/>
              <w:sz w:val="20"/>
              <w:szCs w:val="20"/>
            </w:rPr>
            <m:t xml:space="preserve"> × 1000</m:t>
          </m:r>
        </m:oMath>
      </m:oMathPara>
    </w:p>
    <w:p w14:paraId="1BB3AE66" w14:textId="77777777" w:rsidR="00FB70F8" w:rsidRDefault="00FB70F8" w:rsidP="00C601BF">
      <w:pPr>
        <w:widowControl/>
        <w:tabs>
          <w:tab w:val="left" w:pos="984"/>
        </w:tabs>
        <w:spacing w:line="480" w:lineRule="auto"/>
        <w:rPr>
          <w:rFonts w:ascii="Times New Roman" w:hAnsi="Times New Roman" w:cs="Times New Roman"/>
          <w:color w:val="000000" w:themeColor="text1"/>
          <w:sz w:val="20"/>
          <w:szCs w:val="20"/>
        </w:rPr>
      </w:pPr>
    </w:p>
    <w:p w14:paraId="5EDD072B" w14:textId="77777777" w:rsidR="001633C0" w:rsidRPr="00FF0A52" w:rsidRDefault="001633C0" w:rsidP="001633C0">
      <w:pPr>
        <w:widowControl/>
        <w:spacing w:line="480" w:lineRule="auto"/>
        <w:rPr>
          <w:rFonts w:ascii="Times New Roman" w:hAnsi="Times New Roman" w:cs="Times New Roman"/>
          <w:b/>
          <w:bCs/>
          <w:color w:val="000000" w:themeColor="text1"/>
          <w:sz w:val="22"/>
        </w:rPr>
      </w:pPr>
      <w:r w:rsidRPr="00FF0A52">
        <w:rPr>
          <w:rFonts w:ascii="Times New Roman" w:hAnsi="Times New Roman" w:cs="Times New Roman"/>
          <w:b/>
          <w:bCs/>
          <w:color w:val="000000" w:themeColor="text1"/>
          <w:sz w:val="22"/>
        </w:rPr>
        <w:lastRenderedPageBreak/>
        <w:t>Immune-related gene expression analysis</w:t>
      </w:r>
    </w:p>
    <w:p w14:paraId="6068E6CB" w14:textId="77777777" w:rsidR="001633C0" w:rsidRPr="00D0517A" w:rsidRDefault="001633C0" w:rsidP="001633C0">
      <w:pPr>
        <w:widowControl/>
        <w:spacing w:line="480" w:lineRule="auto"/>
        <w:ind w:firstLine="840"/>
        <w:rPr>
          <w:rFonts w:ascii="Times New Roman" w:eastAsia="Meiryo UI" w:hAnsi="Times New Roman" w:cs="Times New Roman"/>
          <w:sz w:val="20"/>
          <w:szCs w:val="20"/>
        </w:rPr>
      </w:pPr>
      <w:r w:rsidRPr="00D0517A">
        <w:rPr>
          <w:rFonts w:ascii="Times New Roman" w:eastAsia="Meiryo UI" w:hAnsi="Times New Roman" w:cs="Times New Roman"/>
          <w:sz w:val="20"/>
          <w:szCs w:val="20"/>
        </w:rPr>
        <w:t>Total RNA was extracted from mouse tumor specimens collected on day</w:t>
      </w:r>
      <w:r>
        <w:rPr>
          <w:rFonts w:ascii="Times New Roman" w:eastAsia="Meiryo UI" w:hAnsi="Times New Roman" w:cs="Times New Roman" w:hint="eastAsia"/>
          <w:sz w:val="20"/>
          <w:szCs w:val="20"/>
        </w:rPr>
        <w:t xml:space="preserve"> </w:t>
      </w:r>
      <w:r w:rsidRPr="00D0517A">
        <w:rPr>
          <w:rFonts w:ascii="Times New Roman" w:eastAsia="Meiryo UI" w:hAnsi="Times New Roman" w:cs="Times New Roman"/>
          <w:sz w:val="20"/>
          <w:szCs w:val="20"/>
        </w:rPr>
        <w:t xml:space="preserve">10 using </w:t>
      </w:r>
      <w:proofErr w:type="spellStart"/>
      <w:r w:rsidRPr="00D0517A">
        <w:rPr>
          <w:rFonts w:ascii="Times New Roman" w:eastAsia="Meiryo UI" w:hAnsi="Times New Roman" w:cs="Times New Roman"/>
          <w:sz w:val="20"/>
          <w:szCs w:val="20"/>
        </w:rPr>
        <w:t>NucleoSpin</w:t>
      </w:r>
      <w:proofErr w:type="spellEnd"/>
      <w:r w:rsidRPr="00D0517A">
        <w:rPr>
          <w:rFonts w:ascii="Times New Roman" w:eastAsia="Meiryo UI" w:hAnsi="Times New Roman" w:cs="Times New Roman"/>
          <w:sz w:val="20"/>
          <w:szCs w:val="20"/>
        </w:rPr>
        <w:t xml:space="preserve"> RNA (MACHEREY-NAGEL). The concentration and quality of the RNA were assessed using Agilent 2200 </w:t>
      </w:r>
      <w:proofErr w:type="spellStart"/>
      <w:r w:rsidRPr="00D0517A">
        <w:rPr>
          <w:rFonts w:ascii="Times New Roman" w:eastAsia="Meiryo UI" w:hAnsi="Times New Roman" w:cs="Times New Roman"/>
          <w:sz w:val="20"/>
          <w:szCs w:val="20"/>
        </w:rPr>
        <w:t>TapeStation</w:t>
      </w:r>
      <w:proofErr w:type="spellEnd"/>
      <w:r w:rsidRPr="00D0517A">
        <w:rPr>
          <w:rFonts w:ascii="Times New Roman" w:eastAsia="Meiryo UI" w:hAnsi="Times New Roman" w:cs="Times New Roman"/>
          <w:sz w:val="20"/>
          <w:szCs w:val="20"/>
        </w:rPr>
        <w:t xml:space="preserve"> (Agilent). The nCounter Mouse </w:t>
      </w:r>
      <w:proofErr w:type="spellStart"/>
      <w:r w:rsidRPr="00D0517A">
        <w:rPr>
          <w:rFonts w:ascii="Times New Roman" w:eastAsia="Meiryo UI" w:hAnsi="Times New Roman" w:cs="Times New Roman"/>
          <w:sz w:val="20"/>
          <w:szCs w:val="20"/>
        </w:rPr>
        <w:t>PanCancer</w:t>
      </w:r>
      <w:proofErr w:type="spellEnd"/>
      <w:r w:rsidRPr="00D0517A">
        <w:rPr>
          <w:rFonts w:ascii="Times New Roman" w:eastAsia="Meiryo UI" w:hAnsi="Times New Roman" w:cs="Times New Roman"/>
          <w:sz w:val="20"/>
          <w:szCs w:val="20"/>
        </w:rPr>
        <w:t xml:space="preserve"> IO 360 Panel plate loaded with RNA samples was analyzed by the nCounter Analysis System (</w:t>
      </w:r>
      <w:proofErr w:type="spellStart"/>
      <w:r w:rsidRPr="00D0517A">
        <w:rPr>
          <w:rFonts w:ascii="Times New Roman" w:eastAsia="Meiryo UI" w:hAnsi="Times New Roman" w:cs="Times New Roman"/>
          <w:sz w:val="20"/>
          <w:szCs w:val="20"/>
        </w:rPr>
        <w:t>NanoString</w:t>
      </w:r>
      <w:proofErr w:type="spellEnd"/>
      <w:r w:rsidRPr="00D0517A">
        <w:rPr>
          <w:rFonts w:ascii="Times New Roman" w:eastAsia="Meiryo UI" w:hAnsi="Times New Roman" w:cs="Times New Roman"/>
          <w:sz w:val="20"/>
          <w:szCs w:val="20"/>
        </w:rPr>
        <w:t xml:space="preserve"> Technologies) according to the procedures for hybridization, detection, and scanning. These experiments were conducted at Takara Bio Inc.</w:t>
      </w:r>
    </w:p>
    <w:p w14:paraId="336AE259" w14:textId="77777777" w:rsidR="001633C0" w:rsidRPr="00D0517A" w:rsidRDefault="001633C0" w:rsidP="001633C0">
      <w:pPr>
        <w:widowControl/>
        <w:spacing w:line="480" w:lineRule="auto"/>
        <w:ind w:firstLine="840"/>
        <w:rPr>
          <w:rFonts w:ascii="Times New Roman" w:eastAsia="Meiryo UI" w:hAnsi="Times New Roman" w:cs="Times New Roman"/>
          <w:sz w:val="20"/>
          <w:szCs w:val="20"/>
        </w:rPr>
      </w:pPr>
      <w:r w:rsidRPr="00D0517A">
        <w:rPr>
          <w:rFonts w:ascii="Times New Roman" w:eastAsia="Meiryo UI" w:hAnsi="Times New Roman" w:cs="Times New Roman"/>
          <w:sz w:val="20"/>
          <w:szCs w:val="20"/>
        </w:rPr>
        <w:t xml:space="preserve">The raw data were analyzed using the </w:t>
      </w:r>
      <w:proofErr w:type="spellStart"/>
      <w:r w:rsidRPr="00D0517A">
        <w:rPr>
          <w:rFonts w:ascii="Times New Roman" w:eastAsia="Meiryo UI" w:hAnsi="Times New Roman" w:cs="Times New Roman"/>
          <w:sz w:val="20"/>
          <w:szCs w:val="20"/>
        </w:rPr>
        <w:t>nSolver</w:t>
      </w:r>
      <w:proofErr w:type="spellEnd"/>
      <w:r w:rsidRPr="00D0517A">
        <w:rPr>
          <w:rFonts w:ascii="Times New Roman" w:eastAsia="Meiryo UI" w:hAnsi="Times New Roman" w:cs="Times New Roman"/>
          <w:sz w:val="20"/>
          <w:szCs w:val="20"/>
        </w:rPr>
        <w:t xml:space="preserve"> Analysis Software program 4.0 and the Advanced Analysis software program 2.0 (</w:t>
      </w:r>
      <w:proofErr w:type="spellStart"/>
      <w:r w:rsidRPr="00D0517A">
        <w:rPr>
          <w:rFonts w:ascii="Times New Roman" w:eastAsia="Meiryo UI" w:hAnsi="Times New Roman" w:cs="Times New Roman"/>
          <w:sz w:val="20"/>
          <w:szCs w:val="20"/>
        </w:rPr>
        <w:t>NanoString</w:t>
      </w:r>
      <w:proofErr w:type="spellEnd"/>
      <w:r w:rsidRPr="00D0517A">
        <w:rPr>
          <w:rFonts w:ascii="Times New Roman" w:eastAsia="Meiryo UI" w:hAnsi="Times New Roman" w:cs="Times New Roman"/>
          <w:sz w:val="20"/>
          <w:szCs w:val="20"/>
        </w:rPr>
        <w:t xml:space="preserve"> Technologies) with the default parameter setting to obtain normalized gene expression data, </w:t>
      </w:r>
      <w:r>
        <w:rPr>
          <w:rFonts w:ascii="Times New Roman" w:eastAsia="Meiryo UI" w:hAnsi="Times New Roman" w:cs="Times New Roman"/>
          <w:sz w:val="20"/>
          <w:szCs w:val="20"/>
        </w:rPr>
        <w:t>differentially</w:t>
      </w:r>
      <w:r>
        <w:rPr>
          <w:rFonts w:ascii="Times New Roman" w:eastAsia="Meiryo UI" w:hAnsi="Times New Roman" w:cs="Times New Roman" w:hint="eastAsia"/>
          <w:sz w:val="20"/>
          <w:szCs w:val="20"/>
        </w:rPr>
        <w:t xml:space="preserve"> expressed genes (</w:t>
      </w:r>
      <w:r w:rsidRPr="00D0517A">
        <w:rPr>
          <w:rFonts w:ascii="Times New Roman" w:eastAsia="Meiryo UI" w:hAnsi="Times New Roman" w:cs="Times New Roman"/>
          <w:sz w:val="20"/>
          <w:szCs w:val="20"/>
        </w:rPr>
        <w:t>DEGs</w:t>
      </w:r>
      <w:r>
        <w:rPr>
          <w:rFonts w:ascii="Times New Roman" w:eastAsia="Meiryo UI" w:hAnsi="Times New Roman" w:cs="Times New Roman" w:hint="eastAsia"/>
          <w:sz w:val="20"/>
          <w:szCs w:val="20"/>
        </w:rPr>
        <w:t>)</w:t>
      </w:r>
      <w:r w:rsidRPr="00D0517A">
        <w:rPr>
          <w:rFonts w:ascii="Times New Roman" w:eastAsia="Meiryo UI" w:hAnsi="Times New Roman" w:cs="Times New Roman"/>
          <w:sz w:val="20"/>
          <w:szCs w:val="20"/>
        </w:rPr>
        <w:t xml:space="preserve"> between the groups, and the cell type profiling scor</w:t>
      </w:r>
      <w:r w:rsidRPr="00B65D01">
        <w:rPr>
          <w:rFonts w:ascii="Times New Roman" w:eastAsia="Meiryo UI" w:hAnsi="Times New Roman" w:cs="Times New Roman"/>
          <w:sz w:val="20"/>
          <w:szCs w:val="20"/>
        </w:rPr>
        <w:t xml:space="preserve">es. </w:t>
      </w:r>
      <w:r w:rsidRPr="00B65D01">
        <w:rPr>
          <w:rFonts w:ascii="Times New Roman" w:eastAsia="Meiryo UI" w:hAnsi="Times New Roman" w:cs="Times New Roman" w:hint="eastAsia"/>
          <w:sz w:val="20"/>
          <w:szCs w:val="20"/>
        </w:rPr>
        <w:t>G</w:t>
      </w:r>
      <w:r w:rsidRPr="00B65D01">
        <w:rPr>
          <w:rFonts w:ascii="Times New Roman" w:eastAsia="Meiryo UI" w:hAnsi="Times New Roman" w:cs="Times New Roman"/>
          <w:sz w:val="20"/>
          <w:szCs w:val="20"/>
        </w:rPr>
        <w:t xml:space="preserve">enes with </w:t>
      </w:r>
      <w:bookmarkStart w:id="5" w:name="_Hlk80792661"/>
      <w:r w:rsidRPr="00B65D01">
        <w:rPr>
          <w:rFonts w:ascii="Times New Roman" w:eastAsia="Meiryo UI" w:hAnsi="Times New Roman" w:cs="Times New Roman" w:hint="eastAsia"/>
          <w:sz w:val="20"/>
          <w:szCs w:val="20"/>
        </w:rPr>
        <w:t xml:space="preserve">a </w:t>
      </w:r>
      <w:r w:rsidRPr="00B65D01">
        <w:rPr>
          <w:rFonts w:ascii="Times New Roman" w:eastAsia="Meiryo UI" w:hAnsi="Times New Roman" w:cs="Times New Roman"/>
          <w:sz w:val="20"/>
          <w:szCs w:val="20"/>
        </w:rPr>
        <w:t>fold change</w:t>
      </w:r>
      <w:bookmarkEnd w:id="5"/>
      <w:r w:rsidRPr="00B65D01">
        <w:rPr>
          <w:rFonts w:ascii="Times New Roman" w:eastAsia="Meiryo UI" w:hAnsi="Times New Roman" w:cs="Times New Roman"/>
          <w:sz w:val="20"/>
          <w:szCs w:val="20"/>
        </w:rPr>
        <w:t xml:space="preserve"> ≥ 1.5 </w:t>
      </w:r>
      <w:r w:rsidRPr="00B65D01">
        <w:rPr>
          <w:rFonts w:ascii="Times New Roman" w:eastAsia="Meiryo UI" w:hAnsi="Times New Roman" w:cs="Times New Roman" w:hint="eastAsia"/>
          <w:sz w:val="20"/>
          <w:szCs w:val="20"/>
        </w:rPr>
        <w:t xml:space="preserve">or &lt; 0.67 </w:t>
      </w:r>
      <w:r w:rsidRPr="00B65D01">
        <w:rPr>
          <w:rFonts w:ascii="Times New Roman" w:eastAsia="Meiryo UI" w:hAnsi="Times New Roman" w:cs="Times New Roman"/>
          <w:sz w:val="20"/>
          <w:szCs w:val="20"/>
        </w:rPr>
        <w:t xml:space="preserve">and a </w:t>
      </w:r>
      <w:r w:rsidRPr="00B65D01">
        <w:rPr>
          <w:rFonts w:ascii="Times New Roman" w:eastAsia="Meiryo UI" w:hAnsi="Times New Roman" w:cs="Times New Roman"/>
          <w:i/>
          <w:iCs/>
          <w:sz w:val="20"/>
          <w:szCs w:val="20"/>
        </w:rPr>
        <w:t>P</w:t>
      </w:r>
      <w:r w:rsidRPr="00B65D01">
        <w:rPr>
          <w:rFonts w:ascii="Times New Roman" w:eastAsia="Meiryo UI" w:hAnsi="Times New Roman" w:cs="Times New Roman"/>
          <w:sz w:val="20"/>
          <w:szCs w:val="20"/>
        </w:rPr>
        <w:t>-value</w:t>
      </w:r>
      <w:r w:rsidRPr="00B65D01">
        <w:rPr>
          <w:rFonts w:ascii="Times New Roman" w:eastAsia="Meiryo UI" w:hAnsi="Times New Roman" w:cs="Times New Roman" w:hint="eastAsia"/>
          <w:sz w:val="20"/>
          <w:szCs w:val="20"/>
        </w:rPr>
        <w:t xml:space="preserve"> </w:t>
      </w:r>
      <w:r w:rsidRPr="00B65D01">
        <w:rPr>
          <w:rFonts w:ascii="Times New Roman" w:eastAsia="Meiryo UI" w:hAnsi="Times New Roman" w:cs="Times New Roman"/>
          <w:sz w:val="20"/>
          <w:szCs w:val="20"/>
        </w:rPr>
        <w:t>&lt;</w:t>
      </w:r>
      <w:r w:rsidRPr="00B65D01">
        <w:rPr>
          <w:rFonts w:ascii="Times New Roman" w:eastAsia="Meiryo UI" w:hAnsi="Times New Roman" w:cs="Times New Roman" w:hint="eastAsia"/>
          <w:sz w:val="20"/>
          <w:szCs w:val="20"/>
        </w:rPr>
        <w:t xml:space="preserve"> </w:t>
      </w:r>
      <w:r w:rsidRPr="00B65D01">
        <w:rPr>
          <w:rFonts w:ascii="Times New Roman" w:eastAsia="Meiryo UI" w:hAnsi="Times New Roman" w:cs="Times New Roman"/>
          <w:sz w:val="20"/>
          <w:szCs w:val="20"/>
        </w:rPr>
        <w:t xml:space="preserve">0.05 </w:t>
      </w:r>
      <w:r w:rsidRPr="00B65D01">
        <w:rPr>
          <w:rFonts w:ascii="Times New Roman" w:eastAsia="Meiryo UI" w:hAnsi="Times New Roman" w:cs="Times New Roman" w:hint="eastAsia"/>
          <w:sz w:val="20"/>
          <w:szCs w:val="20"/>
        </w:rPr>
        <w:t xml:space="preserve">were considered </w:t>
      </w:r>
      <w:r w:rsidRPr="00B65D01">
        <w:rPr>
          <w:rFonts w:ascii="Times New Roman" w:eastAsia="Meiryo UI" w:hAnsi="Times New Roman" w:cs="Times New Roman"/>
          <w:sz w:val="20"/>
          <w:szCs w:val="20"/>
        </w:rPr>
        <w:t>significantly</w:t>
      </w:r>
      <w:r w:rsidRPr="00B65D01">
        <w:rPr>
          <w:rFonts w:ascii="Times New Roman" w:eastAsia="Meiryo UI" w:hAnsi="Times New Roman" w:cs="Times New Roman" w:hint="eastAsia"/>
          <w:sz w:val="20"/>
          <w:szCs w:val="20"/>
        </w:rPr>
        <w:t xml:space="preserve"> differentially expressed</w:t>
      </w:r>
      <w:r w:rsidRPr="00B65D01">
        <w:rPr>
          <w:rFonts w:ascii="Times New Roman" w:eastAsia="Meiryo UI" w:hAnsi="Times New Roman" w:cs="Times New Roman"/>
          <w:sz w:val="20"/>
          <w:szCs w:val="20"/>
        </w:rPr>
        <w:t xml:space="preserve">. </w:t>
      </w:r>
      <w:r w:rsidRPr="00B65D01">
        <w:rPr>
          <w:rFonts w:ascii="Times New Roman" w:hAnsi="Times New Roman" w:cs="Times New Roman"/>
          <w:sz w:val="20"/>
          <w:szCs w:val="20"/>
        </w:rPr>
        <w:t>Ge</w:t>
      </w:r>
      <w:r w:rsidRPr="00D0517A">
        <w:rPr>
          <w:rFonts w:ascii="Times New Roman" w:hAnsi="Times New Roman" w:cs="Times New Roman"/>
          <w:color w:val="000000" w:themeColor="text1"/>
          <w:sz w:val="20"/>
          <w:szCs w:val="20"/>
        </w:rPr>
        <w:t>ne signature scoring was performed using R (R-4.0.2) and its package “</w:t>
      </w:r>
      <w:proofErr w:type="spellStart"/>
      <w:r w:rsidRPr="00D0517A">
        <w:rPr>
          <w:rFonts w:ascii="Times New Roman" w:hAnsi="Times New Roman" w:cs="Times New Roman"/>
          <w:color w:val="000000" w:themeColor="text1"/>
          <w:sz w:val="20"/>
          <w:szCs w:val="20"/>
        </w:rPr>
        <w:t>singscore</w:t>
      </w:r>
      <w:proofErr w:type="spellEnd"/>
      <w:r w:rsidRPr="00D0517A">
        <w:rPr>
          <w:rFonts w:ascii="Times New Roman" w:hAnsi="Times New Roman" w:cs="Times New Roman"/>
          <w:color w:val="000000" w:themeColor="text1"/>
          <w:sz w:val="20"/>
          <w:szCs w:val="20"/>
        </w:rPr>
        <w:t xml:space="preserve">” with a </w:t>
      </w:r>
      <w:proofErr w:type="spellStart"/>
      <w:r w:rsidRPr="00D0517A">
        <w:rPr>
          <w:rFonts w:ascii="Times New Roman" w:hAnsi="Times New Roman" w:cs="Times New Roman"/>
          <w:color w:val="000000" w:themeColor="text1"/>
          <w:sz w:val="20"/>
          <w:szCs w:val="20"/>
        </w:rPr>
        <w:t>simpleScore</w:t>
      </w:r>
      <w:proofErr w:type="spellEnd"/>
      <w:r w:rsidRPr="00D0517A">
        <w:rPr>
          <w:rFonts w:ascii="Times New Roman" w:hAnsi="Times New Roman" w:cs="Times New Roman"/>
          <w:color w:val="000000" w:themeColor="text1"/>
          <w:sz w:val="20"/>
          <w:szCs w:val="20"/>
        </w:rPr>
        <w:t xml:space="preserve"> function.</w:t>
      </w:r>
      <w:r w:rsidRPr="00D0517A">
        <w:rPr>
          <w:rFonts w:ascii="Times New Roman" w:eastAsia="Meiryo UI" w:hAnsi="Times New Roman" w:cs="Times New Roman"/>
          <w:sz w:val="20"/>
          <w:szCs w:val="20"/>
        </w:rPr>
        <w:t xml:space="preserve"> The pathway analysis was performed using the Ingenuity Pathway Analysis software program (IPA, Content version: 111725566, QIAGEN). The default parameter setting was applied.</w:t>
      </w:r>
    </w:p>
    <w:p w14:paraId="2F99BCB5" w14:textId="0700E977" w:rsidR="00A81CD5" w:rsidRPr="009355C5" w:rsidRDefault="00A81CD5" w:rsidP="006A0E69">
      <w:pPr>
        <w:widowControl/>
        <w:tabs>
          <w:tab w:val="left" w:pos="984"/>
        </w:tabs>
        <w:spacing w:line="480" w:lineRule="auto"/>
        <w:rPr>
          <w:rFonts w:ascii="Times New Roman" w:eastAsia="Meiryo UI" w:hAnsi="Times New Roman" w:cs="Times New Roman"/>
          <w:color w:val="0070C0"/>
          <w:sz w:val="20"/>
          <w:szCs w:val="20"/>
        </w:rPr>
      </w:pPr>
    </w:p>
    <w:p w14:paraId="480701E1" w14:textId="77777777" w:rsidR="000706F4" w:rsidRPr="00FF0A52" w:rsidRDefault="000706F4" w:rsidP="000706F4">
      <w:pPr>
        <w:widowControl/>
        <w:spacing w:line="480" w:lineRule="auto"/>
        <w:rPr>
          <w:rFonts w:ascii="Times New Roman" w:eastAsia="Meiryo UI" w:hAnsi="Times New Roman" w:cs="Times New Roman"/>
          <w:b/>
          <w:bCs/>
          <w:sz w:val="22"/>
        </w:rPr>
      </w:pPr>
      <w:r w:rsidRPr="00FF0A52">
        <w:rPr>
          <w:rFonts w:ascii="Times New Roman" w:hAnsi="Times New Roman" w:cs="Times New Roman"/>
          <w:b/>
          <w:bCs/>
          <w:color w:val="000000" w:themeColor="text1"/>
          <w:sz w:val="22"/>
        </w:rPr>
        <w:t>Statistical analysis</w:t>
      </w:r>
    </w:p>
    <w:p w14:paraId="4FDFE523" w14:textId="3FDFB1BF" w:rsidR="000706F4" w:rsidRPr="00E12913" w:rsidRDefault="000706F4" w:rsidP="00FE76B0">
      <w:pPr>
        <w:widowControl/>
        <w:spacing w:line="480" w:lineRule="auto"/>
        <w:ind w:firstLine="840"/>
        <w:rPr>
          <w:rFonts w:ascii="Times New Roman" w:eastAsia="Meiryo UI" w:hAnsi="Times New Roman" w:cs="Times New Roman"/>
          <w:sz w:val="20"/>
          <w:szCs w:val="20"/>
        </w:rPr>
      </w:pPr>
      <w:r w:rsidRPr="00D0517A">
        <w:rPr>
          <w:rFonts w:ascii="Times New Roman" w:eastAsia="Meiryo UI" w:hAnsi="Times New Roman" w:cs="Times New Roman"/>
          <w:sz w:val="20"/>
          <w:szCs w:val="20"/>
        </w:rPr>
        <w:t>Differences between the two groups were examined using the Wilcoxo</w:t>
      </w:r>
      <w:r w:rsidRPr="00067DAC">
        <w:rPr>
          <w:rFonts w:ascii="Times New Roman" w:eastAsia="Meiryo UI" w:hAnsi="Times New Roman" w:cs="Times New Roman"/>
          <w:sz w:val="20"/>
          <w:szCs w:val="20"/>
        </w:rPr>
        <w:t xml:space="preserve">n rank-sum test. </w:t>
      </w:r>
      <w:r w:rsidR="00D53AC5" w:rsidRPr="00067DAC">
        <w:rPr>
          <w:rFonts w:ascii="Times New Roman" w:eastAsia="Meiryo UI" w:hAnsi="Times New Roman" w:cs="Times New Roman"/>
          <w:sz w:val="20"/>
          <w:szCs w:val="20"/>
        </w:rPr>
        <w:t xml:space="preserve">Survival curves were analyzed using the Kaplan–Meier method, and survival comparisons between groups were </w:t>
      </w:r>
      <w:r w:rsidR="00D53AC5" w:rsidRPr="00067DAC">
        <w:rPr>
          <w:rFonts w:ascii="Times New Roman" w:eastAsia="Meiryo UI" w:hAnsi="Times New Roman" w:cs="Times New Roman"/>
          <w:sz w:val="20"/>
          <w:szCs w:val="20"/>
        </w:rPr>
        <w:lastRenderedPageBreak/>
        <w:t>performed using the log-rank test</w:t>
      </w:r>
      <w:r w:rsidR="001D4C79" w:rsidRPr="00067DAC">
        <w:rPr>
          <w:rFonts w:ascii="Times New Roman" w:eastAsia="Meiryo UI" w:hAnsi="Times New Roman" w:cs="Times New Roman" w:hint="eastAsia"/>
          <w:sz w:val="20"/>
          <w:szCs w:val="20"/>
        </w:rPr>
        <w:t xml:space="preserve"> </w:t>
      </w:r>
      <w:r w:rsidR="001D4C79" w:rsidRPr="00067DAC">
        <w:rPr>
          <w:rFonts w:ascii="Times New Roman" w:eastAsia="Meiryo UI" w:hAnsi="Times New Roman" w:cs="Times New Roman"/>
          <w:sz w:val="20"/>
          <w:szCs w:val="20"/>
        </w:rPr>
        <w:t>with Bonferroni correction for multiple comparisons</w:t>
      </w:r>
      <w:r w:rsidR="00D53AC5" w:rsidRPr="00067DAC">
        <w:rPr>
          <w:rFonts w:ascii="Times New Roman" w:eastAsia="Meiryo UI" w:hAnsi="Times New Roman" w:cs="Times New Roman"/>
          <w:sz w:val="20"/>
          <w:szCs w:val="20"/>
        </w:rPr>
        <w:t>.</w:t>
      </w:r>
      <w:r w:rsidR="00D53AC5" w:rsidRPr="00067DAC">
        <w:rPr>
          <w:rFonts w:ascii="Times New Roman" w:eastAsia="Meiryo UI" w:hAnsi="Times New Roman" w:cs="Times New Roman" w:hint="eastAsia"/>
          <w:sz w:val="20"/>
          <w:szCs w:val="20"/>
        </w:rPr>
        <w:t xml:space="preserve"> </w:t>
      </w:r>
      <w:r w:rsidRPr="00067DAC">
        <w:rPr>
          <w:rFonts w:ascii="Times New Roman" w:eastAsia="Meiryo UI" w:hAnsi="Times New Roman" w:cs="Times New Roman"/>
          <w:sz w:val="20"/>
          <w:szCs w:val="20"/>
        </w:rPr>
        <w:t>Differences in V</w:t>
      </w:r>
      <w:r w:rsidRPr="00D0517A">
        <w:rPr>
          <w:rFonts w:ascii="Times New Roman" w:eastAsia="Meiryo UI" w:hAnsi="Times New Roman" w:cs="Times New Roman"/>
          <w:sz w:val="20"/>
          <w:szCs w:val="20"/>
          <w:vertAlign w:val="subscript"/>
        </w:rPr>
        <w:t xml:space="preserve">AUC </w:t>
      </w:r>
      <w:r w:rsidR="00DB7F62">
        <w:rPr>
          <w:rFonts w:ascii="Times New Roman" w:eastAsia="Meiryo UI" w:hAnsi="Times New Roman" w:cs="Times New Roman" w:hint="eastAsia"/>
          <w:sz w:val="20"/>
          <w:szCs w:val="20"/>
        </w:rPr>
        <w:t>observed in the</w:t>
      </w:r>
      <w:r w:rsidR="00DB7F62" w:rsidRPr="00DB7F62">
        <w:rPr>
          <w:rFonts w:ascii="Times New Roman" w:eastAsia="Meiryo UI" w:hAnsi="Times New Roman" w:cs="Times New Roman" w:hint="eastAsia"/>
          <w:sz w:val="20"/>
          <w:szCs w:val="20"/>
        </w:rPr>
        <w:t xml:space="preserve"> </w:t>
      </w:r>
      <w:r w:rsidR="00DB7F62" w:rsidRPr="00DB7F62">
        <w:rPr>
          <w:rFonts w:ascii="Times New Roman" w:hAnsi="Times New Roman" w:cs="Times New Roman"/>
          <w:spacing w:val="2"/>
          <w:sz w:val="20"/>
          <w:szCs w:val="21"/>
        </w:rPr>
        <w:t>B16.F10.Luc.NY-ESO-1</w:t>
      </w:r>
      <w:r w:rsidR="00DB7F62" w:rsidRPr="00DB7F62">
        <w:rPr>
          <w:rFonts w:ascii="Times New Roman" w:hAnsi="Times New Roman" w:cs="Times New Roman" w:hint="eastAsia"/>
          <w:spacing w:val="2"/>
          <w:sz w:val="18"/>
          <w:szCs w:val="20"/>
        </w:rPr>
        <w:t xml:space="preserve"> </w:t>
      </w:r>
      <w:r w:rsidR="00DB7F62" w:rsidRPr="00DB7F62">
        <w:rPr>
          <w:rFonts w:ascii="Times New Roman" w:hAnsi="Times New Roman" w:cs="Times New Roman" w:hint="eastAsia"/>
          <w:spacing w:val="2"/>
          <w:sz w:val="20"/>
          <w:szCs w:val="21"/>
        </w:rPr>
        <w:t>model</w:t>
      </w:r>
      <w:r w:rsidR="00DB7F62" w:rsidRPr="00DB7F62">
        <w:rPr>
          <w:rFonts w:ascii="Times New Roman" w:eastAsia="Meiryo UI" w:hAnsi="Times New Roman" w:cs="Times New Roman"/>
          <w:sz w:val="18"/>
          <w:szCs w:val="18"/>
        </w:rPr>
        <w:t xml:space="preserve"> </w:t>
      </w:r>
      <w:r w:rsidR="00DB7F62">
        <w:rPr>
          <w:rFonts w:ascii="Times New Roman" w:eastAsia="Meiryo UI" w:hAnsi="Times New Roman" w:cs="Times New Roman" w:hint="eastAsia"/>
          <w:sz w:val="20"/>
          <w:szCs w:val="20"/>
        </w:rPr>
        <w:t xml:space="preserve">across </w:t>
      </w:r>
      <w:r w:rsidRPr="00D0517A">
        <w:rPr>
          <w:rFonts w:ascii="Times New Roman" w:eastAsia="Meiryo UI" w:hAnsi="Times New Roman" w:cs="Times New Roman"/>
          <w:sz w:val="20"/>
          <w:szCs w:val="20"/>
        </w:rPr>
        <w:t xml:space="preserve">treatment </w:t>
      </w:r>
      <w:r w:rsidR="00DB7F62">
        <w:rPr>
          <w:rFonts w:ascii="Times New Roman" w:eastAsia="Meiryo UI" w:hAnsi="Times New Roman" w:cs="Times New Roman" w:hint="eastAsia"/>
          <w:sz w:val="20"/>
          <w:szCs w:val="20"/>
        </w:rPr>
        <w:t>groups</w:t>
      </w:r>
      <w:r w:rsidRPr="00D0517A">
        <w:rPr>
          <w:rFonts w:ascii="Times New Roman" w:eastAsia="Meiryo UI" w:hAnsi="Times New Roman" w:cs="Times New Roman"/>
          <w:sz w:val="20"/>
          <w:szCs w:val="20"/>
        </w:rPr>
        <w:t xml:space="preserve"> were evaluated using closed testing procedures with </w:t>
      </w:r>
      <w:r w:rsidR="00DB7F62">
        <w:rPr>
          <w:rFonts w:ascii="Times New Roman" w:eastAsia="Meiryo UI" w:hAnsi="Times New Roman" w:cs="Times New Roman" w:hint="eastAsia"/>
          <w:sz w:val="20"/>
          <w:szCs w:val="20"/>
        </w:rPr>
        <w:t xml:space="preserve">the </w:t>
      </w:r>
      <w:r w:rsidRPr="00D0517A">
        <w:rPr>
          <w:rFonts w:ascii="Times New Roman" w:eastAsia="Meiryo UI" w:hAnsi="Times New Roman" w:cs="Times New Roman"/>
          <w:sz w:val="20"/>
          <w:szCs w:val="20"/>
        </w:rPr>
        <w:t>hierarchical evaluation</w:t>
      </w:r>
      <w:r w:rsidR="00DB7F62">
        <w:rPr>
          <w:rFonts w:ascii="Times New Roman" w:eastAsia="Meiryo UI" w:hAnsi="Times New Roman" w:cs="Times New Roman" w:hint="eastAsia"/>
          <w:sz w:val="20"/>
          <w:szCs w:val="20"/>
        </w:rPr>
        <w:t xml:space="preserve"> described below</w:t>
      </w:r>
      <w:r w:rsidRPr="00D0517A">
        <w:rPr>
          <w:rFonts w:ascii="Times New Roman" w:eastAsia="Meiryo UI" w:hAnsi="Times New Roman" w:cs="Times New Roman"/>
          <w:sz w:val="20"/>
          <w:szCs w:val="20"/>
        </w:rPr>
        <w:t xml:space="preserve">. The antitumor activity of the combination therapy was </w:t>
      </w:r>
      <w:r w:rsidR="00DB7F62">
        <w:rPr>
          <w:rFonts w:ascii="Times New Roman" w:eastAsia="Meiryo UI" w:hAnsi="Times New Roman" w:cs="Times New Roman" w:hint="eastAsia"/>
          <w:sz w:val="20"/>
          <w:szCs w:val="20"/>
        </w:rPr>
        <w:t xml:space="preserve">first </w:t>
      </w:r>
      <w:r w:rsidRPr="00D0517A">
        <w:rPr>
          <w:rFonts w:ascii="Times New Roman" w:eastAsia="Meiryo UI" w:hAnsi="Times New Roman" w:cs="Times New Roman"/>
          <w:sz w:val="20"/>
          <w:szCs w:val="20"/>
        </w:rPr>
        <w:t xml:space="preserve">confirmed by analyzing the difference between groups 1 and 4. The superiority of the combination therapy over each monotherapy was </w:t>
      </w:r>
      <w:r w:rsidR="00DB7F62">
        <w:rPr>
          <w:rFonts w:ascii="Times New Roman" w:eastAsia="Meiryo UI" w:hAnsi="Times New Roman" w:cs="Times New Roman" w:hint="eastAsia"/>
          <w:sz w:val="20"/>
          <w:szCs w:val="20"/>
        </w:rPr>
        <w:t>subsequently</w:t>
      </w:r>
      <w:r w:rsidRPr="00D0517A">
        <w:rPr>
          <w:rFonts w:ascii="Times New Roman" w:eastAsia="Meiryo UI" w:hAnsi="Times New Roman" w:cs="Times New Roman"/>
          <w:sz w:val="20"/>
          <w:szCs w:val="20"/>
        </w:rPr>
        <w:t xml:space="preserve"> evaluated by analyzing the differences between groups 2 and 4 and groups 3 and 4. When the V</w:t>
      </w:r>
      <w:r w:rsidRPr="00D0517A">
        <w:rPr>
          <w:rFonts w:ascii="Times New Roman" w:eastAsia="Meiryo UI" w:hAnsi="Times New Roman" w:cs="Times New Roman"/>
          <w:sz w:val="20"/>
          <w:szCs w:val="20"/>
          <w:vertAlign w:val="subscript"/>
        </w:rPr>
        <w:t>AUC</w:t>
      </w:r>
      <w:r w:rsidRPr="00D0517A">
        <w:rPr>
          <w:rFonts w:ascii="Times New Roman" w:eastAsia="Meiryo UI" w:hAnsi="Times New Roman" w:cs="Times New Roman"/>
          <w:sz w:val="20"/>
          <w:szCs w:val="20"/>
        </w:rPr>
        <w:t xml:space="preserve"> of group 4 was significantly smaller than those of groups 2 and 3, the antitumor activity of the combination therapy was regarded to be superior to that of each monotherapy. For other multiple comparisons, the Holm method was used to correct for multiple tests. All analyses were performed with R (R-4.0.2). In this study, an adjusted </w:t>
      </w:r>
      <w:r w:rsidRPr="00D0517A">
        <w:rPr>
          <w:rFonts w:ascii="Times New Roman" w:eastAsia="Meiryo UI" w:hAnsi="Times New Roman" w:cs="Times New Roman"/>
          <w:i/>
          <w:iCs/>
          <w:sz w:val="20"/>
          <w:szCs w:val="20"/>
        </w:rPr>
        <w:t>P</w:t>
      </w:r>
      <w:r w:rsidRPr="00D0517A">
        <w:rPr>
          <w:rFonts w:ascii="Times New Roman" w:eastAsia="Meiryo UI" w:hAnsi="Times New Roman" w:cs="Times New Roman"/>
          <w:sz w:val="20"/>
          <w:szCs w:val="20"/>
        </w:rPr>
        <w:t xml:space="preserve"> &lt; 0.05 was considered significant.</w:t>
      </w:r>
    </w:p>
    <w:p w14:paraId="354644FF" w14:textId="77777777" w:rsidR="00DB548A" w:rsidRPr="000706F4" w:rsidRDefault="00DB548A" w:rsidP="00F85810">
      <w:pPr>
        <w:spacing w:line="480" w:lineRule="auto"/>
        <w:rPr>
          <w:rFonts w:ascii="Times New Roman" w:hAnsi="Times New Roman" w:cs="Times New Roman"/>
          <w:color w:val="0070C0"/>
          <w:sz w:val="24"/>
          <w:szCs w:val="28"/>
        </w:rPr>
      </w:pPr>
    </w:p>
    <w:sectPr w:rsidR="00DB548A" w:rsidRPr="000706F4" w:rsidSect="009D2E34">
      <w:footerReference w:type="defaul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CE242" w14:textId="77777777" w:rsidR="00D21EF6" w:rsidRDefault="00D21EF6" w:rsidP="009C614C">
      <w:r>
        <w:separator/>
      </w:r>
    </w:p>
  </w:endnote>
  <w:endnote w:type="continuationSeparator" w:id="0">
    <w:p w14:paraId="0FFF8205" w14:textId="77777777" w:rsidR="00D21EF6" w:rsidRDefault="00D21EF6" w:rsidP="009C614C">
      <w:r>
        <w:continuationSeparator/>
      </w:r>
    </w:p>
  </w:endnote>
  <w:endnote w:type="continuationNotice" w:id="1">
    <w:p w14:paraId="2010F77F" w14:textId="77777777" w:rsidR="00D21EF6" w:rsidRDefault="00D21E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852528"/>
      <w:docPartObj>
        <w:docPartGallery w:val="Page Numbers (Bottom of Page)"/>
        <w:docPartUnique/>
      </w:docPartObj>
    </w:sdtPr>
    <w:sdtContent>
      <w:p w14:paraId="5B42FF35" w14:textId="66A60000" w:rsidR="001C3776" w:rsidRDefault="001C3776">
        <w:pPr>
          <w:pStyle w:val="a9"/>
          <w:jc w:val="center"/>
        </w:pPr>
        <w:r>
          <w:fldChar w:fldCharType="begin"/>
        </w:r>
        <w:r>
          <w:instrText>PAGE   \* MERGEFORMAT</w:instrText>
        </w:r>
        <w:r>
          <w:fldChar w:fldCharType="separate"/>
        </w:r>
        <w:r w:rsidR="00744533" w:rsidRPr="00744533">
          <w:rPr>
            <w:noProof/>
            <w:lang w:val="ja-JP"/>
          </w:rPr>
          <w:t>9</w:t>
        </w:r>
        <w:r>
          <w:fldChar w:fldCharType="end"/>
        </w:r>
      </w:p>
    </w:sdtContent>
  </w:sdt>
  <w:p w14:paraId="59D304DB" w14:textId="77777777" w:rsidR="001C3776" w:rsidRDefault="001C377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6F57A" w14:textId="77777777" w:rsidR="00D21EF6" w:rsidRDefault="00D21EF6" w:rsidP="009C614C">
      <w:r>
        <w:separator/>
      </w:r>
    </w:p>
  </w:footnote>
  <w:footnote w:type="continuationSeparator" w:id="0">
    <w:p w14:paraId="690F1EC0" w14:textId="77777777" w:rsidR="00D21EF6" w:rsidRDefault="00D21EF6" w:rsidP="009C614C">
      <w:r>
        <w:continuationSeparator/>
      </w:r>
    </w:p>
  </w:footnote>
  <w:footnote w:type="continuationNotice" w:id="1">
    <w:p w14:paraId="329278FB" w14:textId="77777777" w:rsidR="00D21EF6" w:rsidRDefault="00D21E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3903"/>
    <w:multiLevelType w:val="hybridMultilevel"/>
    <w:tmpl w:val="EC3C7A5E"/>
    <w:lvl w:ilvl="0" w:tplc="12D4C25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F11D6D"/>
    <w:multiLevelType w:val="multilevel"/>
    <w:tmpl w:val="1A6A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42FB2"/>
    <w:multiLevelType w:val="multilevel"/>
    <w:tmpl w:val="DB32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E1109"/>
    <w:multiLevelType w:val="multilevel"/>
    <w:tmpl w:val="80AC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4E359B"/>
    <w:multiLevelType w:val="multilevel"/>
    <w:tmpl w:val="4FCE2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E2F71"/>
    <w:multiLevelType w:val="hybridMultilevel"/>
    <w:tmpl w:val="99D89C6A"/>
    <w:lvl w:ilvl="0" w:tplc="FFA63842">
      <w:start w:val="1"/>
      <w:numFmt w:val="bullet"/>
      <w:lvlText w:val=""/>
      <w:lvlJc w:val="left"/>
      <w:pPr>
        <w:ind w:left="720" w:hanging="360"/>
      </w:pPr>
      <w:rPr>
        <w:rFonts w:ascii="Symbol" w:hAnsi="Symbol"/>
      </w:rPr>
    </w:lvl>
    <w:lvl w:ilvl="1" w:tplc="9B5217BA">
      <w:start w:val="1"/>
      <w:numFmt w:val="bullet"/>
      <w:lvlText w:val=""/>
      <w:lvlJc w:val="left"/>
      <w:pPr>
        <w:ind w:left="720" w:hanging="360"/>
      </w:pPr>
      <w:rPr>
        <w:rFonts w:ascii="Symbol" w:hAnsi="Symbol"/>
      </w:rPr>
    </w:lvl>
    <w:lvl w:ilvl="2" w:tplc="7FA2FBC4">
      <w:start w:val="1"/>
      <w:numFmt w:val="bullet"/>
      <w:lvlText w:val=""/>
      <w:lvlJc w:val="left"/>
      <w:pPr>
        <w:ind w:left="720" w:hanging="360"/>
      </w:pPr>
      <w:rPr>
        <w:rFonts w:ascii="Symbol" w:hAnsi="Symbol"/>
      </w:rPr>
    </w:lvl>
    <w:lvl w:ilvl="3" w:tplc="4BD0DD76">
      <w:start w:val="1"/>
      <w:numFmt w:val="bullet"/>
      <w:lvlText w:val=""/>
      <w:lvlJc w:val="left"/>
      <w:pPr>
        <w:ind w:left="720" w:hanging="360"/>
      </w:pPr>
      <w:rPr>
        <w:rFonts w:ascii="Symbol" w:hAnsi="Symbol"/>
      </w:rPr>
    </w:lvl>
    <w:lvl w:ilvl="4" w:tplc="82DEEEDA">
      <w:start w:val="1"/>
      <w:numFmt w:val="bullet"/>
      <w:lvlText w:val=""/>
      <w:lvlJc w:val="left"/>
      <w:pPr>
        <w:ind w:left="720" w:hanging="360"/>
      </w:pPr>
      <w:rPr>
        <w:rFonts w:ascii="Symbol" w:hAnsi="Symbol"/>
      </w:rPr>
    </w:lvl>
    <w:lvl w:ilvl="5" w:tplc="BA3AF886">
      <w:start w:val="1"/>
      <w:numFmt w:val="bullet"/>
      <w:lvlText w:val=""/>
      <w:lvlJc w:val="left"/>
      <w:pPr>
        <w:ind w:left="720" w:hanging="360"/>
      </w:pPr>
      <w:rPr>
        <w:rFonts w:ascii="Symbol" w:hAnsi="Symbol"/>
      </w:rPr>
    </w:lvl>
    <w:lvl w:ilvl="6" w:tplc="DD20B6F8">
      <w:start w:val="1"/>
      <w:numFmt w:val="bullet"/>
      <w:lvlText w:val=""/>
      <w:lvlJc w:val="left"/>
      <w:pPr>
        <w:ind w:left="720" w:hanging="360"/>
      </w:pPr>
      <w:rPr>
        <w:rFonts w:ascii="Symbol" w:hAnsi="Symbol"/>
      </w:rPr>
    </w:lvl>
    <w:lvl w:ilvl="7" w:tplc="B52E38B8">
      <w:start w:val="1"/>
      <w:numFmt w:val="bullet"/>
      <w:lvlText w:val=""/>
      <w:lvlJc w:val="left"/>
      <w:pPr>
        <w:ind w:left="720" w:hanging="360"/>
      </w:pPr>
      <w:rPr>
        <w:rFonts w:ascii="Symbol" w:hAnsi="Symbol"/>
      </w:rPr>
    </w:lvl>
    <w:lvl w:ilvl="8" w:tplc="6B3095A8">
      <w:start w:val="1"/>
      <w:numFmt w:val="bullet"/>
      <w:lvlText w:val=""/>
      <w:lvlJc w:val="left"/>
      <w:pPr>
        <w:ind w:left="720" w:hanging="360"/>
      </w:pPr>
      <w:rPr>
        <w:rFonts w:ascii="Symbol" w:hAnsi="Symbol"/>
      </w:rPr>
    </w:lvl>
  </w:abstractNum>
  <w:abstractNum w:abstractNumId="6" w15:restartNumberingAfterBreak="0">
    <w:nsid w:val="0F317C98"/>
    <w:multiLevelType w:val="hybridMultilevel"/>
    <w:tmpl w:val="5130F0D8"/>
    <w:lvl w:ilvl="0" w:tplc="2F3A2E88">
      <w:start w:val="1"/>
      <w:numFmt w:val="bullet"/>
      <w:lvlText w:val=""/>
      <w:lvlJc w:val="left"/>
      <w:pPr>
        <w:ind w:left="1480" w:hanging="360"/>
      </w:pPr>
      <w:rPr>
        <w:rFonts w:ascii="Symbol" w:hAnsi="Symbol"/>
      </w:rPr>
    </w:lvl>
    <w:lvl w:ilvl="1" w:tplc="758CDF56">
      <w:start w:val="1"/>
      <w:numFmt w:val="bullet"/>
      <w:lvlText w:val=""/>
      <w:lvlJc w:val="left"/>
      <w:pPr>
        <w:ind w:left="1480" w:hanging="360"/>
      </w:pPr>
      <w:rPr>
        <w:rFonts w:ascii="Symbol" w:hAnsi="Symbol"/>
      </w:rPr>
    </w:lvl>
    <w:lvl w:ilvl="2" w:tplc="68608CD4">
      <w:start w:val="1"/>
      <w:numFmt w:val="bullet"/>
      <w:lvlText w:val=""/>
      <w:lvlJc w:val="left"/>
      <w:pPr>
        <w:ind w:left="1480" w:hanging="360"/>
      </w:pPr>
      <w:rPr>
        <w:rFonts w:ascii="Symbol" w:hAnsi="Symbol"/>
      </w:rPr>
    </w:lvl>
    <w:lvl w:ilvl="3" w:tplc="2CA64658">
      <w:start w:val="1"/>
      <w:numFmt w:val="bullet"/>
      <w:lvlText w:val=""/>
      <w:lvlJc w:val="left"/>
      <w:pPr>
        <w:ind w:left="1480" w:hanging="360"/>
      </w:pPr>
      <w:rPr>
        <w:rFonts w:ascii="Symbol" w:hAnsi="Symbol"/>
      </w:rPr>
    </w:lvl>
    <w:lvl w:ilvl="4" w:tplc="17069904">
      <w:start w:val="1"/>
      <w:numFmt w:val="bullet"/>
      <w:lvlText w:val=""/>
      <w:lvlJc w:val="left"/>
      <w:pPr>
        <w:ind w:left="1480" w:hanging="360"/>
      </w:pPr>
      <w:rPr>
        <w:rFonts w:ascii="Symbol" w:hAnsi="Symbol"/>
      </w:rPr>
    </w:lvl>
    <w:lvl w:ilvl="5" w:tplc="D3B6AA94">
      <w:start w:val="1"/>
      <w:numFmt w:val="bullet"/>
      <w:lvlText w:val=""/>
      <w:lvlJc w:val="left"/>
      <w:pPr>
        <w:ind w:left="1480" w:hanging="360"/>
      </w:pPr>
      <w:rPr>
        <w:rFonts w:ascii="Symbol" w:hAnsi="Symbol"/>
      </w:rPr>
    </w:lvl>
    <w:lvl w:ilvl="6" w:tplc="84566504">
      <w:start w:val="1"/>
      <w:numFmt w:val="bullet"/>
      <w:lvlText w:val=""/>
      <w:lvlJc w:val="left"/>
      <w:pPr>
        <w:ind w:left="1480" w:hanging="360"/>
      </w:pPr>
      <w:rPr>
        <w:rFonts w:ascii="Symbol" w:hAnsi="Symbol"/>
      </w:rPr>
    </w:lvl>
    <w:lvl w:ilvl="7" w:tplc="BC686FDE">
      <w:start w:val="1"/>
      <w:numFmt w:val="bullet"/>
      <w:lvlText w:val=""/>
      <w:lvlJc w:val="left"/>
      <w:pPr>
        <w:ind w:left="1480" w:hanging="360"/>
      </w:pPr>
      <w:rPr>
        <w:rFonts w:ascii="Symbol" w:hAnsi="Symbol"/>
      </w:rPr>
    </w:lvl>
    <w:lvl w:ilvl="8" w:tplc="39CCB882">
      <w:start w:val="1"/>
      <w:numFmt w:val="bullet"/>
      <w:lvlText w:val=""/>
      <w:lvlJc w:val="left"/>
      <w:pPr>
        <w:ind w:left="1480" w:hanging="360"/>
      </w:pPr>
      <w:rPr>
        <w:rFonts w:ascii="Symbol" w:hAnsi="Symbol"/>
      </w:rPr>
    </w:lvl>
  </w:abstractNum>
  <w:abstractNum w:abstractNumId="7" w15:restartNumberingAfterBreak="0">
    <w:nsid w:val="15C60059"/>
    <w:multiLevelType w:val="hybridMultilevel"/>
    <w:tmpl w:val="24D204FC"/>
    <w:lvl w:ilvl="0" w:tplc="B67AE132">
      <w:start w:val="1"/>
      <w:numFmt w:val="bullet"/>
      <w:lvlText w:val=""/>
      <w:lvlJc w:val="left"/>
      <w:pPr>
        <w:ind w:left="720" w:hanging="360"/>
      </w:pPr>
      <w:rPr>
        <w:rFonts w:ascii="Symbol" w:hAnsi="Symbol"/>
      </w:rPr>
    </w:lvl>
    <w:lvl w:ilvl="1" w:tplc="E3D872BA">
      <w:start w:val="1"/>
      <w:numFmt w:val="bullet"/>
      <w:lvlText w:val=""/>
      <w:lvlJc w:val="left"/>
      <w:pPr>
        <w:ind w:left="720" w:hanging="360"/>
      </w:pPr>
      <w:rPr>
        <w:rFonts w:ascii="Symbol" w:hAnsi="Symbol"/>
      </w:rPr>
    </w:lvl>
    <w:lvl w:ilvl="2" w:tplc="E6DE689A">
      <w:start w:val="1"/>
      <w:numFmt w:val="bullet"/>
      <w:lvlText w:val=""/>
      <w:lvlJc w:val="left"/>
      <w:pPr>
        <w:ind w:left="720" w:hanging="360"/>
      </w:pPr>
      <w:rPr>
        <w:rFonts w:ascii="Symbol" w:hAnsi="Symbol"/>
      </w:rPr>
    </w:lvl>
    <w:lvl w:ilvl="3" w:tplc="7494EA78">
      <w:start w:val="1"/>
      <w:numFmt w:val="bullet"/>
      <w:lvlText w:val=""/>
      <w:lvlJc w:val="left"/>
      <w:pPr>
        <w:ind w:left="720" w:hanging="360"/>
      </w:pPr>
      <w:rPr>
        <w:rFonts w:ascii="Symbol" w:hAnsi="Symbol"/>
      </w:rPr>
    </w:lvl>
    <w:lvl w:ilvl="4" w:tplc="8B48F0D6">
      <w:start w:val="1"/>
      <w:numFmt w:val="bullet"/>
      <w:lvlText w:val=""/>
      <w:lvlJc w:val="left"/>
      <w:pPr>
        <w:ind w:left="720" w:hanging="360"/>
      </w:pPr>
      <w:rPr>
        <w:rFonts w:ascii="Symbol" w:hAnsi="Symbol"/>
      </w:rPr>
    </w:lvl>
    <w:lvl w:ilvl="5" w:tplc="F84E6DEA">
      <w:start w:val="1"/>
      <w:numFmt w:val="bullet"/>
      <w:lvlText w:val=""/>
      <w:lvlJc w:val="left"/>
      <w:pPr>
        <w:ind w:left="720" w:hanging="360"/>
      </w:pPr>
      <w:rPr>
        <w:rFonts w:ascii="Symbol" w:hAnsi="Symbol"/>
      </w:rPr>
    </w:lvl>
    <w:lvl w:ilvl="6" w:tplc="01CC5566">
      <w:start w:val="1"/>
      <w:numFmt w:val="bullet"/>
      <w:lvlText w:val=""/>
      <w:lvlJc w:val="left"/>
      <w:pPr>
        <w:ind w:left="720" w:hanging="360"/>
      </w:pPr>
      <w:rPr>
        <w:rFonts w:ascii="Symbol" w:hAnsi="Symbol"/>
      </w:rPr>
    </w:lvl>
    <w:lvl w:ilvl="7" w:tplc="895ABAB0">
      <w:start w:val="1"/>
      <w:numFmt w:val="bullet"/>
      <w:lvlText w:val=""/>
      <w:lvlJc w:val="left"/>
      <w:pPr>
        <w:ind w:left="720" w:hanging="360"/>
      </w:pPr>
      <w:rPr>
        <w:rFonts w:ascii="Symbol" w:hAnsi="Symbol"/>
      </w:rPr>
    </w:lvl>
    <w:lvl w:ilvl="8" w:tplc="86607D26">
      <w:start w:val="1"/>
      <w:numFmt w:val="bullet"/>
      <w:lvlText w:val=""/>
      <w:lvlJc w:val="left"/>
      <w:pPr>
        <w:ind w:left="720" w:hanging="360"/>
      </w:pPr>
      <w:rPr>
        <w:rFonts w:ascii="Symbol" w:hAnsi="Symbol"/>
      </w:rPr>
    </w:lvl>
  </w:abstractNum>
  <w:abstractNum w:abstractNumId="8" w15:restartNumberingAfterBreak="0">
    <w:nsid w:val="18801885"/>
    <w:multiLevelType w:val="multilevel"/>
    <w:tmpl w:val="9184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905DA"/>
    <w:multiLevelType w:val="hybridMultilevel"/>
    <w:tmpl w:val="6C3A5E32"/>
    <w:lvl w:ilvl="0" w:tplc="37DC74CC">
      <w:start w:val="1"/>
      <w:numFmt w:val="bullet"/>
      <w:lvlText w:val=""/>
      <w:lvlJc w:val="left"/>
      <w:pPr>
        <w:ind w:left="720" w:hanging="360"/>
      </w:pPr>
      <w:rPr>
        <w:rFonts w:ascii="Symbol" w:hAnsi="Symbol"/>
      </w:rPr>
    </w:lvl>
    <w:lvl w:ilvl="1" w:tplc="37BA3F82">
      <w:start w:val="1"/>
      <w:numFmt w:val="bullet"/>
      <w:lvlText w:val=""/>
      <w:lvlJc w:val="left"/>
      <w:pPr>
        <w:ind w:left="720" w:hanging="360"/>
      </w:pPr>
      <w:rPr>
        <w:rFonts w:ascii="Symbol" w:hAnsi="Symbol"/>
      </w:rPr>
    </w:lvl>
    <w:lvl w:ilvl="2" w:tplc="AE4AFACC">
      <w:start w:val="1"/>
      <w:numFmt w:val="bullet"/>
      <w:lvlText w:val=""/>
      <w:lvlJc w:val="left"/>
      <w:pPr>
        <w:ind w:left="720" w:hanging="360"/>
      </w:pPr>
      <w:rPr>
        <w:rFonts w:ascii="Symbol" w:hAnsi="Symbol"/>
      </w:rPr>
    </w:lvl>
    <w:lvl w:ilvl="3" w:tplc="084E1342">
      <w:start w:val="1"/>
      <w:numFmt w:val="bullet"/>
      <w:lvlText w:val=""/>
      <w:lvlJc w:val="left"/>
      <w:pPr>
        <w:ind w:left="720" w:hanging="360"/>
      </w:pPr>
      <w:rPr>
        <w:rFonts w:ascii="Symbol" w:hAnsi="Symbol"/>
      </w:rPr>
    </w:lvl>
    <w:lvl w:ilvl="4" w:tplc="07E8A554">
      <w:start w:val="1"/>
      <w:numFmt w:val="bullet"/>
      <w:lvlText w:val=""/>
      <w:lvlJc w:val="left"/>
      <w:pPr>
        <w:ind w:left="720" w:hanging="360"/>
      </w:pPr>
      <w:rPr>
        <w:rFonts w:ascii="Symbol" w:hAnsi="Symbol"/>
      </w:rPr>
    </w:lvl>
    <w:lvl w:ilvl="5" w:tplc="1D746360">
      <w:start w:val="1"/>
      <w:numFmt w:val="bullet"/>
      <w:lvlText w:val=""/>
      <w:lvlJc w:val="left"/>
      <w:pPr>
        <w:ind w:left="720" w:hanging="360"/>
      </w:pPr>
      <w:rPr>
        <w:rFonts w:ascii="Symbol" w:hAnsi="Symbol"/>
      </w:rPr>
    </w:lvl>
    <w:lvl w:ilvl="6" w:tplc="DA0C8C64">
      <w:start w:val="1"/>
      <w:numFmt w:val="bullet"/>
      <w:lvlText w:val=""/>
      <w:lvlJc w:val="left"/>
      <w:pPr>
        <w:ind w:left="720" w:hanging="360"/>
      </w:pPr>
      <w:rPr>
        <w:rFonts w:ascii="Symbol" w:hAnsi="Symbol"/>
      </w:rPr>
    </w:lvl>
    <w:lvl w:ilvl="7" w:tplc="4F80437C">
      <w:start w:val="1"/>
      <w:numFmt w:val="bullet"/>
      <w:lvlText w:val=""/>
      <w:lvlJc w:val="left"/>
      <w:pPr>
        <w:ind w:left="720" w:hanging="360"/>
      </w:pPr>
      <w:rPr>
        <w:rFonts w:ascii="Symbol" w:hAnsi="Symbol"/>
      </w:rPr>
    </w:lvl>
    <w:lvl w:ilvl="8" w:tplc="6056402A">
      <w:start w:val="1"/>
      <w:numFmt w:val="bullet"/>
      <w:lvlText w:val=""/>
      <w:lvlJc w:val="left"/>
      <w:pPr>
        <w:ind w:left="720" w:hanging="360"/>
      </w:pPr>
      <w:rPr>
        <w:rFonts w:ascii="Symbol" w:hAnsi="Symbol"/>
      </w:rPr>
    </w:lvl>
  </w:abstractNum>
  <w:abstractNum w:abstractNumId="10" w15:restartNumberingAfterBreak="0">
    <w:nsid w:val="1DBF57F0"/>
    <w:multiLevelType w:val="multilevel"/>
    <w:tmpl w:val="C69A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E60206"/>
    <w:multiLevelType w:val="hybridMultilevel"/>
    <w:tmpl w:val="900EFEA4"/>
    <w:lvl w:ilvl="0" w:tplc="6E088E86">
      <w:start w:val="1"/>
      <w:numFmt w:val="bullet"/>
      <w:lvlText w:val=""/>
      <w:lvlJc w:val="left"/>
      <w:pPr>
        <w:ind w:left="1480" w:hanging="360"/>
      </w:pPr>
      <w:rPr>
        <w:rFonts w:ascii="Symbol" w:hAnsi="Symbol"/>
      </w:rPr>
    </w:lvl>
    <w:lvl w:ilvl="1" w:tplc="3CBECAF2">
      <w:start w:val="1"/>
      <w:numFmt w:val="bullet"/>
      <w:lvlText w:val=""/>
      <w:lvlJc w:val="left"/>
      <w:pPr>
        <w:ind w:left="1480" w:hanging="360"/>
      </w:pPr>
      <w:rPr>
        <w:rFonts w:ascii="Symbol" w:hAnsi="Symbol"/>
      </w:rPr>
    </w:lvl>
    <w:lvl w:ilvl="2" w:tplc="625E272E">
      <w:start w:val="1"/>
      <w:numFmt w:val="bullet"/>
      <w:lvlText w:val=""/>
      <w:lvlJc w:val="left"/>
      <w:pPr>
        <w:ind w:left="1480" w:hanging="360"/>
      </w:pPr>
      <w:rPr>
        <w:rFonts w:ascii="Symbol" w:hAnsi="Symbol"/>
      </w:rPr>
    </w:lvl>
    <w:lvl w:ilvl="3" w:tplc="72BE8112">
      <w:start w:val="1"/>
      <w:numFmt w:val="bullet"/>
      <w:lvlText w:val=""/>
      <w:lvlJc w:val="left"/>
      <w:pPr>
        <w:ind w:left="1480" w:hanging="360"/>
      </w:pPr>
      <w:rPr>
        <w:rFonts w:ascii="Symbol" w:hAnsi="Symbol"/>
      </w:rPr>
    </w:lvl>
    <w:lvl w:ilvl="4" w:tplc="21BC7FE2">
      <w:start w:val="1"/>
      <w:numFmt w:val="bullet"/>
      <w:lvlText w:val=""/>
      <w:lvlJc w:val="left"/>
      <w:pPr>
        <w:ind w:left="1480" w:hanging="360"/>
      </w:pPr>
      <w:rPr>
        <w:rFonts w:ascii="Symbol" w:hAnsi="Symbol"/>
      </w:rPr>
    </w:lvl>
    <w:lvl w:ilvl="5" w:tplc="6EC4BF0A">
      <w:start w:val="1"/>
      <w:numFmt w:val="bullet"/>
      <w:lvlText w:val=""/>
      <w:lvlJc w:val="left"/>
      <w:pPr>
        <w:ind w:left="1480" w:hanging="360"/>
      </w:pPr>
      <w:rPr>
        <w:rFonts w:ascii="Symbol" w:hAnsi="Symbol"/>
      </w:rPr>
    </w:lvl>
    <w:lvl w:ilvl="6" w:tplc="55C0FF50">
      <w:start w:val="1"/>
      <w:numFmt w:val="bullet"/>
      <w:lvlText w:val=""/>
      <w:lvlJc w:val="left"/>
      <w:pPr>
        <w:ind w:left="1480" w:hanging="360"/>
      </w:pPr>
      <w:rPr>
        <w:rFonts w:ascii="Symbol" w:hAnsi="Symbol"/>
      </w:rPr>
    </w:lvl>
    <w:lvl w:ilvl="7" w:tplc="316434C4">
      <w:start w:val="1"/>
      <w:numFmt w:val="bullet"/>
      <w:lvlText w:val=""/>
      <w:lvlJc w:val="left"/>
      <w:pPr>
        <w:ind w:left="1480" w:hanging="360"/>
      </w:pPr>
      <w:rPr>
        <w:rFonts w:ascii="Symbol" w:hAnsi="Symbol"/>
      </w:rPr>
    </w:lvl>
    <w:lvl w:ilvl="8" w:tplc="CD04B0DC">
      <w:start w:val="1"/>
      <w:numFmt w:val="bullet"/>
      <w:lvlText w:val=""/>
      <w:lvlJc w:val="left"/>
      <w:pPr>
        <w:ind w:left="1480" w:hanging="360"/>
      </w:pPr>
      <w:rPr>
        <w:rFonts w:ascii="Symbol" w:hAnsi="Symbol"/>
      </w:rPr>
    </w:lvl>
  </w:abstractNum>
  <w:abstractNum w:abstractNumId="12" w15:restartNumberingAfterBreak="0">
    <w:nsid w:val="244E0728"/>
    <w:multiLevelType w:val="hybridMultilevel"/>
    <w:tmpl w:val="9DAA0216"/>
    <w:lvl w:ilvl="0" w:tplc="A938677C">
      <w:start w:val="1"/>
      <w:numFmt w:val="upperLetter"/>
      <w:lvlText w:val="%1)"/>
      <w:lvlJc w:val="left"/>
      <w:pPr>
        <w:ind w:left="360" w:hanging="360"/>
      </w:pPr>
      <w:rPr>
        <w:rFonts w:asciiTheme="minorHAnsi" w:hAnsiTheme="minorHAnsi" w:cstheme="minorBidi"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BAE5CD7"/>
    <w:multiLevelType w:val="multilevel"/>
    <w:tmpl w:val="E7E8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BA30B2"/>
    <w:multiLevelType w:val="hybridMultilevel"/>
    <w:tmpl w:val="EA6A674E"/>
    <w:lvl w:ilvl="0" w:tplc="3C76D47A">
      <w:start w:val="1"/>
      <w:numFmt w:val="upperLetter"/>
      <w:lvlText w:val="(%1)"/>
      <w:lvlJc w:val="left"/>
      <w:pPr>
        <w:ind w:left="360" w:hanging="360"/>
      </w:pPr>
      <w:rPr>
        <w:rFonts w:asciiTheme="minorHAnsi" w:hAnsiTheme="minorHAnsi" w:cstheme="minorBidi"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24F2EA3"/>
    <w:multiLevelType w:val="hybridMultilevel"/>
    <w:tmpl w:val="BE925BA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4613CAA"/>
    <w:multiLevelType w:val="multilevel"/>
    <w:tmpl w:val="777E7910"/>
    <w:lvl w:ilvl="0">
      <w:start w:val="1"/>
      <w:numFmt w:val="decimal"/>
      <w:pStyle w:val="RefTex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6D420BF"/>
    <w:multiLevelType w:val="hybridMultilevel"/>
    <w:tmpl w:val="F5E0354A"/>
    <w:lvl w:ilvl="0" w:tplc="C44E826C">
      <w:start w:val="1"/>
      <w:numFmt w:val="upperLetter"/>
      <w:lvlText w:val="(%1)"/>
      <w:lvlJc w:val="left"/>
      <w:pPr>
        <w:ind w:left="360" w:hanging="360"/>
      </w:pPr>
      <w:rPr>
        <w:rFonts w:asciiTheme="minorHAnsi" w:hAnsiTheme="minorHAnsi" w:cstheme="minorBidi"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D6E6CEA"/>
    <w:multiLevelType w:val="hybridMultilevel"/>
    <w:tmpl w:val="1AFA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56318"/>
    <w:multiLevelType w:val="multilevel"/>
    <w:tmpl w:val="C9A8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1C765A"/>
    <w:multiLevelType w:val="hybridMultilevel"/>
    <w:tmpl w:val="6890D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8949B2"/>
    <w:multiLevelType w:val="multilevel"/>
    <w:tmpl w:val="D87A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5F6810"/>
    <w:multiLevelType w:val="hybridMultilevel"/>
    <w:tmpl w:val="1B8C15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9817FF5"/>
    <w:multiLevelType w:val="hybridMultilevel"/>
    <w:tmpl w:val="542206E4"/>
    <w:lvl w:ilvl="0" w:tplc="D7E2A942">
      <w:start w:val="1"/>
      <w:numFmt w:val="bullet"/>
      <w:lvlText w:val=""/>
      <w:lvlJc w:val="left"/>
      <w:pPr>
        <w:ind w:left="720" w:hanging="360"/>
      </w:pPr>
      <w:rPr>
        <w:rFonts w:ascii="Symbol" w:hAnsi="Symbol"/>
      </w:rPr>
    </w:lvl>
    <w:lvl w:ilvl="1" w:tplc="FD7C3DD4">
      <w:start w:val="1"/>
      <w:numFmt w:val="bullet"/>
      <w:lvlText w:val=""/>
      <w:lvlJc w:val="left"/>
      <w:pPr>
        <w:ind w:left="720" w:hanging="360"/>
      </w:pPr>
      <w:rPr>
        <w:rFonts w:ascii="Symbol" w:hAnsi="Symbol"/>
      </w:rPr>
    </w:lvl>
    <w:lvl w:ilvl="2" w:tplc="56DC9C6C">
      <w:start w:val="1"/>
      <w:numFmt w:val="bullet"/>
      <w:lvlText w:val=""/>
      <w:lvlJc w:val="left"/>
      <w:pPr>
        <w:ind w:left="720" w:hanging="360"/>
      </w:pPr>
      <w:rPr>
        <w:rFonts w:ascii="Symbol" w:hAnsi="Symbol"/>
      </w:rPr>
    </w:lvl>
    <w:lvl w:ilvl="3" w:tplc="45D8F37A">
      <w:start w:val="1"/>
      <w:numFmt w:val="bullet"/>
      <w:lvlText w:val=""/>
      <w:lvlJc w:val="left"/>
      <w:pPr>
        <w:ind w:left="720" w:hanging="360"/>
      </w:pPr>
      <w:rPr>
        <w:rFonts w:ascii="Symbol" w:hAnsi="Symbol"/>
      </w:rPr>
    </w:lvl>
    <w:lvl w:ilvl="4" w:tplc="4782C424">
      <w:start w:val="1"/>
      <w:numFmt w:val="bullet"/>
      <w:lvlText w:val=""/>
      <w:lvlJc w:val="left"/>
      <w:pPr>
        <w:ind w:left="720" w:hanging="360"/>
      </w:pPr>
      <w:rPr>
        <w:rFonts w:ascii="Symbol" w:hAnsi="Symbol"/>
      </w:rPr>
    </w:lvl>
    <w:lvl w:ilvl="5" w:tplc="3E64CC88">
      <w:start w:val="1"/>
      <w:numFmt w:val="bullet"/>
      <w:lvlText w:val=""/>
      <w:lvlJc w:val="left"/>
      <w:pPr>
        <w:ind w:left="720" w:hanging="360"/>
      </w:pPr>
      <w:rPr>
        <w:rFonts w:ascii="Symbol" w:hAnsi="Symbol"/>
      </w:rPr>
    </w:lvl>
    <w:lvl w:ilvl="6" w:tplc="392A791E">
      <w:start w:val="1"/>
      <w:numFmt w:val="bullet"/>
      <w:lvlText w:val=""/>
      <w:lvlJc w:val="left"/>
      <w:pPr>
        <w:ind w:left="720" w:hanging="360"/>
      </w:pPr>
      <w:rPr>
        <w:rFonts w:ascii="Symbol" w:hAnsi="Symbol"/>
      </w:rPr>
    </w:lvl>
    <w:lvl w:ilvl="7" w:tplc="DC7C44DA">
      <w:start w:val="1"/>
      <w:numFmt w:val="bullet"/>
      <w:lvlText w:val=""/>
      <w:lvlJc w:val="left"/>
      <w:pPr>
        <w:ind w:left="720" w:hanging="360"/>
      </w:pPr>
      <w:rPr>
        <w:rFonts w:ascii="Symbol" w:hAnsi="Symbol"/>
      </w:rPr>
    </w:lvl>
    <w:lvl w:ilvl="8" w:tplc="C892140A">
      <w:start w:val="1"/>
      <w:numFmt w:val="bullet"/>
      <w:lvlText w:val=""/>
      <w:lvlJc w:val="left"/>
      <w:pPr>
        <w:ind w:left="720" w:hanging="360"/>
      </w:pPr>
      <w:rPr>
        <w:rFonts w:ascii="Symbol" w:hAnsi="Symbol"/>
      </w:rPr>
    </w:lvl>
  </w:abstractNum>
  <w:abstractNum w:abstractNumId="24" w15:restartNumberingAfterBreak="0">
    <w:nsid w:val="61065D14"/>
    <w:multiLevelType w:val="multilevel"/>
    <w:tmpl w:val="276A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4D58B9"/>
    <w:multiLevelType w:val="hybridMultilevel"/>
    <w:tmpl w:val="F5BCD334"/>
    <w:lvl w:ilvl="0" w:tplc="D2A48E70">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3660AE7"/>
    <w:multiLevelType w:val="hybridMultilevel"/>
    <w:tmpl w:val="DB4C8D24"/>
    <w:lvl w:ilvl="0" w:tplc="B37AD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3D652E8"/>
    <w:multiLevelType w:val="hybridMultilevel"/>
    <w:tmpl w:val="A77E3408"/>
    <w:lvl w:ilvl="0" w:tplc="12D4C25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4794CE6"/>
    <w:multiLevelType w:val="hybridMultilevel"/>
    <w:tmpl w:val="8E3AEA7C"/>
    <w:lvl w:ilvl="0" w:tplc="2DBE501E">
      <w:start w:val="1"/>
      <w:numFmt w:val="bullet"/>
      <w:lvlText w:val=""/>
      <w:lvlJc w:val="left"/>
      <w:pPr>
        <w:ind w:left="720" w:hanging="360"/>
      </w:pPr>
      <w:rPr>
        <w:rFonts w:ascii="Symbol" w:hAnsi="Symbol"/>
      </w:rPr>
    </w:lvl>
    <w:lvl w:ilvl="1" w:tplc="EE3AEE0C">
      <w:start w:val="1"/>
      <w:numFmt w:val="bullet"/>
      <w:lvlText w:val=""/>
      <w:lvlJc w:val="left"/>
      <w:pPr>
        <w:ind w:left="720" w:hanging="360"/>
      </w:pPr>
      <w:rPr>
        <w:rFonts w:ascii="Symbol" w:hAnsi="Symbol"/>
      </w:rPr>
    </w:lvl>
    <w:lvl w:ilvl="2" w:tplc="D0CA9330">
      <w:start w:val="1"/>
      <w:numFmt w:val="bullet"/>
      <w:lvlText w:val=""/>
      <w:lvlJc w:val="left"/>
      <w:pPr>
        <w:ind w:left="720" w:hanging="360"/>
      </w:pPr>
      <w:rPr>
        <w:rFonts w:ascii="Symbol" w:hAnsi="Symbol"/>
      </w:rPr>
    </w:lvl>
    <w:lvl w:ilvl="3" w:tplc="17FC7504">
      <w:start w:val="1"/>
      <w:numFmt w:val="bullet"/>
      <w:lvlText w:val=""/>
      <w:lvlJc w:val="left"/>
      <w:pPr>
        <w:ind w:left="720" w:hanging="360"/>
      </w:pPr>
      <w:rPr>
        <w:rFonts w:ascii="Symbol" w:hAnsi="Symbol"/>
      </w:rPr>
    </w:lvl>
    <w:lvl w:ilvl="4" w:tplc="BE148FC8">
      <w:start w:val="1"/>
      <w:numFmt w:val="bullet"/>
      <w:lvlText w:val=""/>
      <w:lvlJc w:val="left"/>
      <w:pPr>
        <w:ind w:left="720" w:hanging="360"/>
      </w:pPr>
      <w:rPr>
        <w:rFonts w:ascii="Symbol" w:hAnsi="Symbol"/>
      </w:rPr>
    </w:lvl>
    <w:lvl w:ilvl="5" w:tplc="8A208E06">
      <w:start w:val="1"/>
      <w:numFmt w:val="bullet"/>
      <w:lvlText w:val=""/>
      <w:lvlJc w:val="left"/>
      <w:pPr>
        <w:ind w:left="720" w:hanging="360"/>
      </w:pPr>
      <w:rPr>
        <w:rFonts w:ascii="Symbol" w:hAnsi="Symbol"/>
      </w:rPr>
    </w:lvl>
    <w:lvl w:ilvl="6" w:tplc="EDBE4564">
      <w:start w:val="1"/>
      <w:numFmt w:val="bullet"/>
      <w:lvlText w:val=""/>
      <w:lvlJc w:val="left"/>
      <w:pPr>
        <w:ind w:left="720" w:hanging="360"/>
      </w:pPr>
      <w:rPr>
        <w:rFonts w:ascii="Symbol" w:hAnsi="Symbol"/>
      </w:rPr>
    </w:lvl>
    <w:lvl w:ilvl="7" w:tplc="99501A6C">
      <w:start w:val="1"/>
      <w:numFmt w:val="bullet"/>
      <w:lvlText w:val=""/>
      <w:lvlJc w:val="left"/>
      <w:pPr>
        <w:ind w:left="720" w:hanging="360"/>
      </w:pPr>
      <w:rPr>
        <w:rFonts w:ascii="Symbol" w:hAnsi="Symbol"/>
      </w:rPr>
    </w:lvl>
    <w:lvl w:ilvl="8" w:tplc="F5B4810A">
      <w:start w:val="1"/>
      <w:numFmt w:val="bullet"/>
      <w:lvlText w:val=""/>
      <w:lvlJc w:val="left"/>
      <w:pPr>
        <w:ind w:left="720" w:hanging="360"/>
      </w:pPr>
      <w:rPr>
        <w:rFonts w:ascii="Symbol" w:hAnsi="Symbol"/>
      </w:rPr>
    </w:lvl>
  </w:abstractNum>
  <w:abstractNum w:abstractNumId="29" w15:restartNumberingAfterBreak="0">
    <w:nsid w:val="653F66DB"/>
    <w:multiLevelType w:val="multilevel"/>
    <w:tmpl w:val="5FBC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D54639"/>
    <w:multiLevelType w:val="hybridMultilevel"/>
    <w:tmpl w:val="B4CC8D7C"/>
    <w:lvl w:ilvl="0" w:tplc="1DB4EAD6">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0000ABC"/>
    <w:multiLevelType w:val="multilevel"/>
    <w:tmpl w:val="DD2E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184389"/>
    <w:multiLevelType w:val="hybridMultilevel"/>
    <w:tmpl w:val="61964A62"/>
    <w:lvl w:ilvl="0" w:tplc="E20A55E8">
      <w:start w:val="1"/>
      <w:numFmt w:val="bullet"/>
      <w:lvlText w:val=""/>
      <w:lvlJc w:val="left"/>
      <w:pPr>
        <w:ind w:left="1480" w:hanging="360"/>
      </w:pPr>
      <w:rPr>
        <w:rFonts w:ascii="Symbol" w:hAnsi="Symbol"/>
      </w:rPr>
    </w:lvl>
    <w:lvl w:ilvl="1" w:tplc="160627C2">
      <w:start w:val="1"/>
      <w:numFmt w:val="bullet"/>
      <w:lvlText w:val=""/>
      <w:lvlJc w:val="left"/>
      <w:pPr>
        <w:ind w:left="1480" w:hanging="360"/>
      </w:pPr>
      <w:rPr>
        <w:rFonts w:ascii="Symbol" w:hAnsi="Symbol"/>
      </w:rPr>
    </w:lvl>
    <w:lvl w:ilvl="2" w:tplc="BF6E7052">
      <w:start w:val="1"/>
      <w:numFmt w:val="bullet"/>
      <w:lvlText w:val=""/>
      <w:lvlJc w:val="left"/>
      <w:pPr>
        <w:ind w:left="1480" w:hanging="360"/>
      </w:pPr>
      <w:rPr>
        <w:rFonts w:ascii="Symbol" w:hAnsi="Symbol"/>
      </w:rPr>
    </w:lvl>
    <w:lvl w:ilvl="3" w:tplc="5F9078B0">
      <w:start w:val="1"/>
      <w:numFmt w:val="bullet"/>
      <w:lvlText w:val=""/>
      <w:lvlJc w:val="left"/>
      <w:pPr>
        <w:ind w:left="1480" w:hanging="360"/>
      </w:pPr>
      <w:rPr>
        <w:rFonts w:ascii="Symbol" w:hAnsi="Symbol"/>
      </w:rPr>
    </w:lvl>
    <w:lvl w:ilvl="4" w:tplc="83A6D598">
      <w:start w:val="1"/>
      <w:numFmt w:val="bullet"/>
      <w:lvlText w:val=""/>
      <w:lvlJc w:val="left"/>
      <w:pPr>
        <w:ind w:left="1480" w:hanging="360"/>
      </w:pPr>
      <w:rPr>
        <w:rFonts w:ascii="Symbol" w:hAnsi="Symbol"/>
      </w:rPr>
    </w:lvl>
    <w:lvl w:ilvl="5" w:tplc="D18C8782">
      <w:start w:val="1"/>
      <w:numFmt w:val="bullet"/>
      <w:lvlText w:val=""/>
      <w:lvlJc w:val="left"/>
      <w:pPr>
        <w:ind w:left="1480" w:hanging="360"/>
      </w:pPr>
      <w:rPr>
        <w:rFonts w:ascii="Symbol" w:hAnsi="Symbol"/>
      </w:rPr>
    </w:lvl>
    <w:lvl w:ilvl="6" w:tplc="E5487D92">
      <w:start w:val="1"/>
      <w:numFmt w:val="bullet"/>
      <w:lvlText w:val=""/>
      <w:lvlJc w:val="left"/>
      <w:pPr>
        <w:ind w:left="1480" w:hanging="360"/>
      </w:pPr>
      <w:rPr>
        <w:rFonts w:ascii="Symbol" w:hAnsi="Symbol"/>
      </w:rPr>
    </w:lvl>
    <w:lvl w:ilvl="7" w:tplc="E7FC31BC">
      <w:start w:val="1"/>
      <w:numFmt w:val="bullet"/>
      <w:lvlText w:val=""/>
      <w:lvlJc w:val="left"/>
      <w:pPr>
        <w:ind w:left="1480" w:hanging="360"/>
      </w:pPr>
      <w:rPr>
        <w:rFonts w:ascii="Symbol" w:hAnsi="Symbol"/>
      </w:rPr>
    </w:lvl>
    <w:lvl w:ilvl="8" w:tplc="6504EADE">
      <w:start w:val="1"/>
      <w:numFmt w:val="bullet"/>
      <w:lvlText w:val=""/>
      <w:lvlJc w:val="left"/>
      <w:pPr>
        <w:ind w:left="1480" w:hanging="360"/>
      </w:pPr>
      <w:rPr>
        <w:rFonts w:ascii="Symbol" w:hAnsi="Symbol"/>
      </w:rPr>
    </w:lvl>
  </w:abstractNum>
  <w:abstractNum w:abstractNumId="33" w15:restartNumberingAfterBreak="0">
    <w:nsid w:val="77F25A4F"/>
    <w:multiLevelType w:val="hybridMultilevel"/>
    <w:tmpl w:val="FD3EE0FA"/>
    <w:lvl w:ilvl="0" w:tplc="B2DC3606">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AE15367"/>
    <w:multiLevelType w:val="multilevel"/>
    <w:tmpl w:val="BE92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018971">
    <w:abstractNumId w:val="22"/>
  </w:num>
  <w:num w:numId="2" w16cid:durableId="970862540">
    <w:abstractNumId w:val="15"/>
  </w:num>
  <w:num w:numId="3" w16cid:durableId="1715737589">
    <w:abstractNumId w:val="16"/>
  </w:num>
  <w:num w:numId="4" w16cid:durableId="1025251638">
    <w:abstractNumId w:val="4"/>
  </w:num>
  <w:num w:numId="5" w16cid:durableId="359169163">
    <w:abstractNumId w:val="13"/>
  </w:num>
  <w:num w:numId="6" w16cid:durableId="1885481188">
    <w:abstractNumId w:val="10"/>
  </w:num>
  <w:num w:numId="7" w16cid:durableId="2002847883">
    <w:abstractNumId w:val="1"/>
  </w:num>
  <w:num w:numId="8" w16cid:durableId="1226062124">
    <w:abstractNumId w:val="3"/>
  </w:num>
  <w:num w:numId="9" w16cid:durableId="1530878226">
    <w:abstractNumId w:val="2"/>
  </w:num>
  <w:num w:numId="10" w16cid:durableId="1854033301">
    <w:abstractNumId w:val="21"/>
  </w:num>
  <w:num w:numId="11" w16cid:durableId="1793481123">
    <w:abstractNumId w:val="8"/>
  </w:num>
  <w:num w:numId="12" w16cid:durableId="298147718">
    <w:abstractNumId w:val="24"/>
  </w:num>
  <w:num w:numId="13" w16cid:durableId="264389526">
    <w:abstractNumId w:val="31"/>
  </w:num>
  <w:num w:numId="14" w16cid:durableId="1428110929">
    <w:abstractNumId w:val="29"/>
  </w:num>
  <w:num w:numId="15" w16cid:durableId="935795179">
    <w:abstractNumId w:val="34"/>
  </w:num>
  <w:num w:numId="16" w16cid:durableId="2067532870">
    <w:abstractNumId w:val="26"/>
  </w:num>
  <w:num w:numId="17" w16cid:durableId="1727217838">
    <w:abstractNumId w:val="0"/>
  </w:num>
  <w:num w:numId="18" w16cid:durableId="1971588958">
    <w:abstractNumId w:val="27"/>
  </w:num>
  <w:num w:numId="19" w16cid:durableId="1845589859">
    <w:abstractNumId w:val="23"/>
  </w:num>
  <w:num w:numId="20" w16cid:durableId="321585851">
    <w:abstractNumId w:val="20"/>
  </w:num>
  <w:num w:numId="21" w16cid:durableId="1645088072">
    <w:abstractNumId w:val="19"/>
  </w:num>
  <w:num w:numId="22" w16cid:durableId="824206564">
    <w:abstractNumId w:val="11"/>
  </w:num>
  <w:num w:numId="23" w16cid:durableId="1445731743">
    <w:abstractNumId w:val="7"/>
  </w:num>
  <w:num w:numId="24" w16cid:durableId="864947769">
    <w:abstractNumId w:val="5"/>
  </w:num>
  <w:num w:numId="25" w16cid:durableId="341515881">
    <w:abstractNumId w:val="18"/>
  </w:num>
  <w:num w:numId="26" w16cid:durableId="273901184">
    <w:abstractNumId w:val="28"/>
  </w:num>
  <w:num w:numId="27" w16cid:durableId="2023896106">
    <w:abstractNumId w:val="32"/>
  </w:num>
  <w:num w:numId="28" w16cid:durableId="32269254">
    <w:abstractNumId w:val="6"/>
  </w:num>
  <w:num w:numId="29" w16cid:durableId="1723823355">
    <w:abstractNumId w:val="9"/>
  </w:num>
  <w:num w:numId="30" w16cid:durableId="1428623689">
    <w:abstractNumId w:val="33"/>
  </w:num>
  <w:num w:numId="31" w16cid:durableId="1740588904">
    <w:abstractNumId w:val="30"/>
  </w:num>
  <w:num w:numId="32" w16cid:durableId="470485864">
    <w:abstractNumId w:val="25"/>
  </w:num>
  <w:num w:numId="33" w16cid:durableId="151530852">
    <w:abstractNumId w:val="17"/>
  </w:num>
  <w:num w:numId="34" w16cid:durableId="2040933258">
    <w:abstractNumId w:val="12"/>
  </w:num>
  <w:num w:numId="35" w16cid:durableId="5530812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468"/>
    <w:rsid w:val="0000329B"/>
    <w:rsid w:val="000060F0"/>
    <w:rsid w:val="00006EBF"/>
    <w:rsid w:val="00007B85"/>
    <w:rsid w:val="0001249D"/>
    <w:rsid w:val="000125FB"/>
    <w:rsid w:val="0001265E"/>
    <w:rsid w:val="00012886"/>
    <w:rsid w:val="000153BF"/>
    <w:rsid w:val="00015D55"/>
    <w:rsid w:val="00016DCE"/>
    <w:rsid w:val="00017933"/>
    <w:rsid w:val="00020219"/>
    <w:rsid w:val="00023CEA"/>
    <w:rsid w:val="000250F4"/>
    <w:rsid w:val="0002570F"/>
    <w:rsid w:val="00025E07"/>
    <w:rsid w:val="00027C65"/>
    <w:rsid w:val="00030A47"/>
    <w:rsid w:val="00030B4E"/>
    <w:rsid w:val="00031C29"/>
    <w:rsid w:val="00031D1E"/>
    <w:rsid w:val="00031F58"/>
    <w:rsid w:val="00032D0D"/>
    <w:rsid w:val="00033D6E"/>
    <w:rsid w:val="00034425"/>
    <w:rsid w:val="000349A8"/>
    <w:rsid w:val="00034D98"/>
    <w:rsid w:val="0003532F"/>
    <w:rsid w:val="000358C4"/>
    <w:rsid w:val="00036275"/>
    <w:rsid w:val="00037D07"/>
    <w:rsid w:val="000405A1"/>
    <w:rsid w:val="000411F7"/>
    <w:rsid w:val="00042262"/>
    <w:rsid w:val="0004290C"/>
    <w:rsid w:val="0004308E"/>
    <w:rsid w:val="00043C6D"/>
    <w:rsid w:val="00045016"/>
    <w:rsid w:val="000450A7"/>
    <w:rsid w:val="000458D4"/>
    <w:rsid w:val="00045AF4"/>
    <w:rsid w:val="00045F34"/>
    <w:rsid w:val="00047E15"/>
    <w:rsid w:val="00050009"/>
    <w:rsid w:val="00050B93"/>
    <w:rsid w:val="000512C1"/>
    <w:rsid w:val="00053C66"/>
    <w:rsid w:val="000540F2"/>
    <w:rsid w:val="000555F3"/>
    <w:rsid w:val="00056C46"/>
    <w:rsid w:val="00057B74"/>
    <w:rsid w:val="00060141"/>
    <w:rsid w:val="0006257C"/>
    <w:rsid w:val="00063389"/>
    <w:rsid w:val="00064E6F"/>
    <w:rsid w:val="00065D86"/>
    <w:rsid w:val="00066701"/>
    <w:rsid w:val="000671D0"/>
    <w:rsid w:val="00067DAC"/>
    <w:rsid w:val="00067F73"/>
    <w:rsid w:val="0007002A"/>
    <w:rsid w:val="0007035C"/>
    <w:rsid w:val="000706F4"/>
    <w:rsid w:val="00072A3C"/>
    <w:rsid w:val="00073C76"/>
    <w:rsid w:val="00073F3A"/>
    <w:rsid w:val="00075102"/>
    <w:rsid w:val="000754EA"/>
    <w:rsid w:val="00075AD2"/>
    <w:rsid w:val="00075FFA"/>
    <w:rsid w:val="000762BD"/>
    <w:rsid w:val="00076727"/>
    <w:rsid w:val="000767D9"/>
    <w:rsid w:val="00077D5A"/>
    <w:rsid w:val="00080F0D"/>
    <w:rsid w:val="000815B6"/>
    <w:rsid w:val="0008164F"/>
    <w:rsid w:val="0008171D"/>
    <w:rsid w:val="000824F4"/>
    <w:rsid w:val="00082B42"/>
    <w:rsid w:val="00082CB3"/>
    <w:rsid w:val="00082F32"/>
    <w:rsid w:val="00083607"/>
    <w:rsid w:val="00086C7F"/>
    <w:rsid w:val="0009070C"/>
    <w:rsid w:val="000910F2"/>
    <w:rsid w:val="000919D6"/>
    <w:rsid w:val="00091D99"/>
    <w:rsid w:val="00091FE7"/>
    <w:rsid w:val="00092553"/>
    <w:rsid w:val="000932AB"/>
    <w:rsid w:val="00093529"/>
    <w:rsid w:val="00095445"/>
    <w:rsid w:val="00095D05"/>
    <w:rsid w:val="000973E6"/>
    <w:rsid w:val="00097541"/>
    <w:rsid w:val="000976BE"/>
    <w:rsid w:val="000A1282"/>
    <w:rsid w:val="000A2975"/>
    <w:rsid w:val="000A2D9B"/>
    <w:rsid w:val="000A3A57"/>
    <w:rsid w:val="000A68CF"/>
    <w:rsid w:val="000A75EB"/>
    <w:rsid w:val="000A7C2B"/>
    <w:rsid w:val="000B1B94"/>
    <w:rsid w:val="000B2903"/>
    <w:rsid w:val="000B42B6"/>
    <w:rsid w:val="000B5325"/>
    <w:rsid w:val="000B66D8"/>
    <w:rsid w:val="000B78E6"/>
    <w:rsid w:val="000C178C"/>
    <w:rsid w:val="000C1C38"/>
    <w:rsid w:val="000C246B"/>
    <w:rsid w:val="000C24AF"/>
    <w:rsid w:val="000C2E06"/>
    <w:rsid w:val="000C3C55"/>
    <w:rsid w:val="000C4191"/>
    <w:rsid w:val="000C59C7"/>
    <w:rsid w:val="000C6879"/>
    <w:rsid w:val="000C6F8A"/>
    <w:rsid w:val="000C7555"/>
    <w:rsid w:val="000C7DF0"/>
    <w:rsid w:val="000D14B7"/>
    <w:rsid w:val="000D33A8"/>
    <w:rsid w:val="000D44C8"/>
    <w:rsid w:val="000D53FE"/>
    <w:rsid w:val="000D6637"/>
    <w:rsid w:val="000D7040"/>
    <w:rsid w:val="000D7897"/>
    <w:rsid w:val="000E24D2"/>
    <w:rsid w:val="000E34FE"/>
    <w:rsid w:val="000E363C"/>
    <w:rsid w:val="000E3804"/>
    <w:rsid w:val="000E43F7"/>
    <w:rsid w:val="000E5007"/>
    <w:rsid w:val="000E64FB"/>
    <w:rsid w:val="000E76F5"/>
    <w:rsid w:val="000F1266"/>
    <w:rsid w:val="000F1692"/>
    <w:rsid w:val="000F24F7"/>
    <w:rsid w:val="000F3122"/>
    <w:rsid w:val="000F37BD"/>
    <w:rsid w:val="000F3AEA"/>
    <w:rsid w:val="000F3FA1"/>
    <w:rsid w:val="000F40A4"/>
    <w:rsid w:val="000F4E58"/>
    <w:rsid w:val="000F5097"/>
    <w:rsid w:val="000F5EB5"/>
    <w:rsid w:val="000F5ED8"/>
    <w:rsid w:val="000F5EF8"/>
    <w:rsid w:val="000F6335"/>
    <w:rsid w:val="000F717F"/>
    <w:rsid w:val="000F7714"/>
    <w:rsid w:val="0010044A"/>
    <w:rsid w:val="001004EB"/>
    <w:rsid w:val="00101DF0"/>
    <w:rsid w:val="00102ED2"/>
    <w:rsid w:val="001031B7"/>
    <w:rsid w:val="001032C6"/>
    <w:rsid w:val="0010375A"/>
    <w:rsid w:val="00104F78"/>
    <w:rsid w:val="001055DC"/>
    <w:rsid w:val="00106841"/>
    <w:rsid w:val="00110039"/>
    <w:rsid w:val="0011042B"/>
    <w:rsid w:val="00111117"/>
    <w:rsid w:val="00111CBD"/>
    <w:rsid w:val="00112CD1"/>
    <w:rsid w:val="00112EFE"/>
    <w:rsid w:val="00114209"/>
    <w:rsid w:val="00115C44"/>
    <w:rsid w:val="00116A96"/>
    <w:rsid w:val="00116B62"/>
    <w:rsid w:val="001172DA"/>
    <w:rsid w:val="00117D7C"/>
    <w:rsid w:val="00120948"/>
    <w:rsid w:val="001223AA"/>
    <w:rsid w:val="00122A22"/>
    <w:rsid w:val="00122E09"/>
    <w:rsid w:val="00123240"/>
    <w:rsid w:val="001239A3"/>
    <w:rsid w:val="001241E1"/>
    <w:rsid w:val="00124C1A"/>
    <w:rsid w:val="001255CA"/>
    <w:rsid w:val="00125AF0"/>
    <w:rsid w:val="00126CE2"/>
    <w:rsid w:val="00127000"/>
    <w:rsid w:val="00127BD3"/>
    <w:rsid w:val="00127BE4"/>
    <w:rsid w:val="00130B60"/>
    <w:rsid w:val="0013432A"/>
    <w:rsid w:val="00135779"/>
    <w:rsid w:val="001364F9"/>
    <w:rsid w:val="00137F4F"/>
    <w:rsid w:val="00140727"/>
    <w:rsid w:val="00141999"/>
    <w:rsid w:val="00142832"/>
    <w:rsid w:val="0014484F"/>
    <w:rsid w:val="00144C33"/>
    <w:rsid w:val="00145B4D"/>
    <w:rsid w:val="0014791D"/>
    <w:rsid w:val="00150895"/>
    <w:rsid w:val="00151691"/>
    <w:rsid w:val="00151A3D"/>
    <w:rsid w:val="00152088"/>
    <w:rsid w:val="0015209E"/>
    <w:rsid w:val="00152244"/>
    <w:rsid w:val="00153ED5"/>
    <w:rsid w:val="0015481F"/>
    <w:rsid w:val="001562B4"/>
    <w:rsid w:val="00160973"/>
    <w:rsid w:val="001609EF"/>
    <w:rsid w:val="00160A5B"/>
    <w:rsid w:val="00160B8D"/>
    <w:rsid w:val="00160F54"/>
    <w:rsid w:val="00161983"/>
    <w:rsid w:val="00161A96"/>
    <w:rsid w:val="00161EBB"/>
    <w:rsid w:val="001633C0"/>
    <w:rsid w:val="001642D0"/>
    <w:rsid w:val="001648D2"/>
    <w:rsid w:val="00165F47"/>
    <w:rsid w:val="001665D3"/>
    <w:rsid w:val="00167A4E"/>
    <w:rsid w:val="001701B9"/>
    <w:rsid w:val="00170AD0"/>
    <w:rsid w:val="0017139D"/>
    <w:rsid w:val="0017145E"/>
    <w:rsid w:val="0017209C"/>
    <w:rsid w:val="001727D6"/>
    <w:rsid w:val="00172E9F"/>
    <w:rsid w:val="001741B9"/>
    <w:rsid w:val="0017456D"/>
    <w:rsid w:val="0017486B"/>
    <w:rsid w:val="001765A1"/>
    <w:rsid w:val="00176F91"/>
    <w:rsid w:val="00177D60"/>
    <w:rsid w:val="00180455"/>
    <w:rsid w:val="00180483"/>
    <w:rsid w:val="00182013"/>
    <w:rsid w:val="00182495"/>
    <w:rsid w:val="00182B3F"/>
    <w:rsid w:val="001830D8"/>
    <w:rsid w:val="001830EE"/>
    <w:rsid w:val="001837BC"/>
    <w:rsid w:val="00185F2B"/>
    <w:rsid w:val="0018693F"/>
    <w:rsid w:val="00186C93"/>
    <w:rsid w:val="00186CCE"/>
    <w:rsid w:val="00190579"/>
    <w:rsid w:val="00191D13"/>
    <w:rsid w:val="00193126"/>
    <w:rsid w:val="00193470"/>
    <w:rsid w:val="001942AC"/>
    <w:rsid w:val="0019485D"/>
    <w:rsid w:val="00195416"/>
    <w:rsid w:val="001956EC"/>
    <w:rsid w:val="00196667"/>
    <w:rsid w:val="0019758F"/>
    <w:rsid w:val="00197661"/>
    <w:rsid w:val="001A0036"/>
    <w:rsid w:val="001A0E13"/>
    <w:rsid w:val="001A1211"/>
    <w:rsid w:val="001A14D3"/>
    <w:rsid w:val="001A2614"/>
    <w:rsid w:val="001A319A"/>
    <w:rsid w:val="001A3E03"/>
    <w:rsid w:val="001A3E62"/>
    <w:rsid w:val="001A49C4"/>
    <w:rsid w:val="001A4C68"/>
    <w:rsid w:val="001A52B7"/>
    <w:rsid w:val="001A61D3"/>
    <w:rsid w:val="001A6E57"/>
    <w:rsid w:val="001B0095"/>
    <w:rsid w:val="001B03AE"/>
    <w:rsid w:val="001B0BE4"/>
    <w:rsid w:val="001B0ED4"/>
    <w:rsid w:val="001B4525"/>
    <w:rsid w:val="001B4EFB"/>
    <w:rsid w:val="001B57FF"/>
    <w:rsid w:val="001B720A"/>
    <w:rsid w:val="001C08DE"/>
    <w:rsid w:val="001C1223"/>
    <w:rsid w:val="001C1727"/>
    <w:rsid w:val="001C332A"/>
    <w:rsid w:val="001C3649"/>
    <w:rsid w:val="001C3776"/>
    <w:rsid w:val="001C4265"/>
    <w:rsid w:val="001C5301"/>
    <w:rsid w:val="001C531C"/>
    <w:rsid w:val="001C797F"/>
    <w:rsid w:val="001D0B75"/>
    <w:rsid w:val="001D107A"/>
    <w:rsid w:val="001D10C6"/>
    <w:rsid w:val="001D21D6"/>
    <w:rsid w:val="001D254F"/>
    <w:rsid w:val="001D3486"/>
    <w:rsid w:val="001D49DE"/>
    <w:rsid w:val="001D4C79"/>
    <w:rsid w:val="001D515A"/>
    <w:rsid w:val="001D74DE"/>
    <w:rsid w:val="001D74F7"/>
    <w:rsid w:val="001E11B0"/>
    <w:rsid w:val="001E1F31"/>
    <w:rsid w:val="001E1FAC"/>
    <w:rsid w:val="001E2555"/>
    <w:rsid w:val="001E3060"/>
    <w:rsid w:val="001E36BD"/>
    <w:rsid w:val="001E4838"/>
    <w:rsid w:val="001E5564"/>
    <w:rsid w:val="001E66BC"/>
    <w:rsid w:val="001E7B3E"/>
    <w:rsid w:val="001E7E3B"/>
    <w:rsid w:val="001F0C42"/>
    <w:rsid w:val="001F1E60"/>
    <w:rsid w:val="001F359C"/>
    <w:rsid w:val="001F3626"/>
    <w:rsid w:val="001F4103"/>
    <w:rsid w:val="001F46B4"/>
    <w:rsid w:val="001F4D96"/>
    <w:rsid w:val="001F5C91"/>
    <w:rsid w:val="001F5F25"/>
    <w:rsid w:val="001F69E5"/>
    <w:rsid w:val="001F6AAB"/>
    <w:rsid w:val="001F721A"/>
    <w:rsid w:val="00200114"/>
    <w:rsid w:val="002008E0"/>
    <w:rsid w:val="00202F8A"/>
    <w:rsid w:val="00204CA0"/>
    <w:rsid w:val="00205496"/>
    <w:rsid w:val="0020623C"/>
    <w:rsid w:val="002063CF"/>
    <w:rsid w:val="00206F74"/>
    <w:rsid w:val="0020767B"/>
    <w:rsid w:val="00207EC1"/>
    <w:rsid w:val="0021000D"/>
    <w:rsid w:val="00210A15"/>
    <w:rsid w:val="00211A9D"/>
    <w:rsid w:val="00211C7C"/>
    <w:rsid w:val="002122F8"/>
    <w:rsid w:val="00213330"/>
    <w:rsid w:val="0021448D"/>
    <w:rsid w:val="00214D53"/>
    <w:rsid w:val="002165D9"/>
    <w:rsid w:val="002209AA"/>
    <w:rsid w:val="00221111"/>
    <w:rsid w:val="002215A5"/>
    <w:rsid w:val="0022239B"/>
    <w:rsid w:val="00222A18"/>
    <w:rsid w:val="00222E56"/>
    <w:rsid w:val="00224249"/>
    <w:rsid w:val="00227CBA"/>
    <w:rsid w:val="0023058C"/>
    <w:rsid w:val="002306E7"/>
    <w:rsid w:val="00230AC2"/>
    <w:rsid w:val="00231BD6"/>
    <w:rsid w:val="0023305C"/>
    <w:rsid w:val="00233216"/>
    <w:rsid w:val="00233370"/>
    <w:rsid w:val="00235E5C"/>
    <w:rsid w:val="00236022"/>
    <w:rsid w:val="00236316"/>
    <w:rsid w:val="00237C7B"/>
    <w:rsid w:val="002406E5"/>
    <w:rsid w:val="00242A41"/>
    <w:rsid w:val="00243DCE"/>
    <w:rsid w:val="002445CF"/>
    <w:rsid w:val="00244960"/>
    <w:rsid w:val="00244D39"/>
    <w:rsid w:val="00245A8A"/>
    <w:rsid w:val="00245C6E"/>
    <w:rsid w:val="00245E72"/>
    <w:rsid w:val="00246817"/>
    <w:rsid w:val="00250DF9"/>
    <w:rsid w:val="00250E85"/>
    <w:rsid w:val="00252838"/>
    <w:rsid w:val="00252F27"/>
    <w:rsid w:val="002535B7"/>
    <w:rsid w:val="0025393E"/>
    <w:rsid w:val="00255076"/>
    <w:rsid w:val="002551FD"/>
    <w:rsid w:val="00255D41"/>
    <w:rsid w:val="00256289"/>
    <w:rsid w:val="00257945"/>
    <w:rsid w:val="002607EF"/>
    <w:rsid w:val="00260DA5"/>
    <w:rsid w:val="00262BF1"/>
    <w:rsid w:val="00262F96"/>
    <w:rsid w:val="00264285"/>
    <w:rsid w:val="00266258"/>
    <w:rsid w:val="00266AAB"/>
    <w:rsid w:val="0026728E"/>
    <w:rsid w:val="00267B59"/>
    <w:rsid w:val="00267BA1"/>
    <w:rsid w:val="00267F06"/>
    <w:rsid w:val="002712AD"/>
    <w:rsid w:val="00272971"/>
    <w:rsid w:val="002736A5"/>
    <w:rsid w:val="00275D42"/>
    <w:rsid w:val="0027634F"/>
    <w:rsid w:val="002765C2"/>
    <w:rsid w:val="00277DAA"/>
    <w:rsid w:val="00280469"/>
    <w:rsid w:val="00280C10"/>
    <w:rsid w:val="002845AB"/>
    <w:rsid w:val="002859CA"/>
    <w:rsid w:val="00286510"/>
    <w:rsid w:val="0028699A"/>
    <w:rsid w:val="00286C20"/>
    <w:rsid w:val="00286C91"/>
    <w:rsid w:val="00286E0C"/>
    <w:rsid w:val="00287239"/>
    <w:rsid w:val="00287308"/>
    <w:rsid w:val="00291549"/>
    <w:rsid w:val="00293595"/>
    <w:rsid w:val="00294010"/>
    <w:rsid w:val="002951E4"/>
    <w:rsid w:val="002966B2"/>
    <w:rsid w:val="00296737"/>
    <w:rsid w:val="00296EBD"/>
    <w:rsid w:val="002A04AC"/>
    <w:rsid w:val="002A10EF"/>
    <w:rsid w:val="002A14A9"/>
    <w:rsid w:val="002A15C7"/>
    <w:rsid w:val="002A24B8"/>
    <w:rsid w:val="002A28DB"/>
    <w:rsid w:val="002A49E7"/>
    <w:rsid w:val="002A4BE3"/>
    <w:rsid w:val="002A6452"/>
    <w:rsid w:val="002A697B"/>
    <w:rsid w:val="002A6B0F"/>
    <w:rsid w:val="002A6E20"/>
    <w:rsid w:val="002A6F4D"/>
    <w:rsid w:val="002B0526"/>
    <w:rsid w:val="002B1DB5"/>
    <w:rsid w:val="002B27DA"/>
    <w:rsid w:val="002B38C7"/>
    <w:rsid w:val="002B54CC"/>
    <w:rsid w:val="002B5D6D"/>
    <w:rsid w:val="002B6434"/>
    <w:rsid w:val="002B64A0"/>
    <w:rsid w:val="002B6963"/>
    <w:rsid w:val="002C0049"/>
    <w:rsid w:val="002C4D69"/>
    <w:rsid w:val="002C5730"/>
    <w:rsid w:val="002C6488"/>
    <w:rsid w:val="002C6EC5"/>
    <w:rsid w:val="002C728E"/>
    <w:rsid w:val="002C7D9C"/>
    <w:rsid w:val="002D0B02"/>
    <w:rsid w:val="002D1E6E"/>
    <w:rsid w:val="002D2253"/>
    <w:rsid w:val="002D35D5"/>
    <w:rsid w:val="002D37EB"/>
    <w:rsid w:val="002D3C30"/>
    <w:rsid w:val="002D3E97"/>
    <w:rsid w:val="002D406E"/>
    <w:rsid w:val="002D4276"/>
    <w:rsid w:val="002D49CD"/>
    <w:rsid w:val="002D50CF"/>
    <w:rsid w:val="002D7669"/>
    <w:rsid w:val="002E0440"/>
    <w:rsid w:val="002E1E50"/>
    <w:rsid w:val="002E2B37"/>
    <w:rsid w:val="002E3971"/>
    <w:rsid w:val="002E4BA0"/>
    <w:rsid w:val="002E5306"/>
    <w:rsid w:val="002E538E"/>
    <w:rsid w:val="002E58E4"/>
    <w:rsid w:val="002E6AAC"/>
    <w:rsid w:val="002E75CB"/>
    <w:rsid w:val="002F0DA4"/>
    <w:rsid w:val="002F104C"/>
    <w:rsid w:val="002F1D38"/>
    <w:rsid w:val="002F216C"/>
    <w:rsid w:val="002F2380"/>
    <w:rsid w:val="002F2710"/>
    <w:rsid w:val="002F34D6"/>
    <w:rsid w:val="002F4FFC"/>
    <w:rsid w:val="002F509A"/>
    <w:rsid w:val="002F52FD"/>
    <w:rsid w:val="002F5C06"/>
    <w:rsid w:val="002F70E1"/>
    <w:rsid w:val="002F752A"/>
    <w:rsid w:val="0030036A"/>
    <w:rsid w:val="00300AEB"/>
    <w:rsid w:val="00301284"/>
    <w:rsid w:val="00301CF2"/>
    <w:rsid w:val="00302D7E"/>
    <w:rsid w:val="00302EF1"/>
    <w:rsid w:val="0030394F"/>
    <w:rsid w:val="00303BCA"/>
    <w:rsid w:val="003043FB"/>
    <w:rsid w:val="00304A1B"/>
    <w:rsid w:val="0030528C"/>
    <w:rsid w:val="0030576F"/>
    <w:rsid w:val="00306255"/>
    <w:rsid w:val="00306C00"/>
    <w:rsid w:val="00307696"/>
    <w:rsid w:val="00310394"/>
    <w:rsid w:val="00311CCD"/>
    <w:rsid w:val="00312C5C"/>
    <w:rsid w:val="00313688"/>
    <w:rsid w:val="003137DD"/>
    <w:rsid w:val="00313EA3"/>
    <w:rsid w:val="00314AF8"/>
    <w:rsid w:val="00316374"/>
    <w:rsid w:val="003166BF"/>
    <w:rsid w:val="003167B4"/>
    <w:rsid w:val="00316BAE"/>
    <w:rsid w:val="00316D86"/>
    <w:rsid w:val="00317425"/>
    <w:rsid w:val="003206CC"/>
    <w:rsid w:val="003217C2"/>
    <w:rsid w:val="003221E2"/>
    <w:rsid w:val="0032286C"/>
    <w:rsid w:val="00323038"/>
    <w:rsid w:val="0032346C"/>
    <w:rsid w:val="0032353D"/>
    <w:rsid w:val="00323AFE"/>
    <w:rsid w:val="003243EA"/>
    <w:rsid w:val="003246CB"/>
    <w:rsid w:val="0032530C"/>
    <w:rsid w:val="00325FC6"/>
    <w:rsid w:val="003265AE"/>
    <w:rsid w:val="003265D0"/>
    <w:rsid w:val="00326A49"/>
    <w:rsid w:val="003279D9"/>
    <w:rsid w:val="00327C31"/>
    <w:rsid w:val="00330582"/>
    <w:rsid w:val="00330953"/>
    <w:rsid w:val="00332179"/>
    <w:rsid w:val="00334651"/>
    <w:rsid w:val="00334CB6"/>
    <w:rsid w:val="00335D84"/>
    <w:rsid w:val="0033756B"/>
    <w:rsid w:val="00340538"/>
    <w:rsid w:val="0034053B"/>
    <w:rsid w:val="00340777"/>
    <w:rsid w:val="00342144"/>
    <w:rsid w:val="00342660"/>
    <w:rsid w:val="0034294F"/>
    <w:rsid w:val="0034329B"/>
    <w:rsid w:val="003441EB"/>
    <w:rsid w:val="00344E7B"/>
    <w:rsid w:val="0034697F"/>
    <w:rsid w:val="00347265"/>
    <w:rsid w:val="00350572"/>
    <w:rsid w:val="003509A1"/>
    <w:rsid w:val="00350B95"/>
    <w:rsid w:val="00350E6E"/>
    <w:rsid w:val="00351343"/>
    <w:rsid w:val="0035318F"/>
    <w:rsid w:val="00353C8E"/>
    <w:rsid w:val="0035422C"/>
    <w:rsid w:val="0035434E"/>
    <w:rsid w:val="00355060"/>
    <w:rsid w:val="00355D6D"/>
    <w:rsid w:val="00356793"/>
    <w:rsid w:val="00357123"/>
    <w:rsid w:val="003573CD"/>
    <w:rsid w:val="00360CE5"/>
    <w:rsid w:val="003621D0"/>
    <w:rsid w:val="00363139"/>
    <w:rsid w:val="00363339"/>
    <w:rsid w:val="00363E6E"/>
    <w:rsid w:val="00364055"/>
    <w:rsid w:val="003646E9"/>
    <w:rsid w:val="00364C16"/>
    <w:rsid w:val="00366A93"/>
    <w:rsid w:val="00370278"/>
    <w:rsid w:val="0037038C"/>
    <w:rsid w:val="00371FE7"/>
    <w:rsid w:val="003726BE"/>
    <w:rsid w:val="00372AFA"/>
    <w:rsid w:val="00374823"/>
    <w:rsid w:val="00374FDF"/>
    <w:rsid w:val="003760E3"/>
    <w:rsid w:val="00376684"/>
    <w:rsid w:val="00376C70"/>
    <w:rsid w:val="00380747"/>
    <w:rsid w:val="00380975"/>
    <w:rsid w:val="00380DC4"/>
    <w:rsid w:val="00380DF9"/>
    <w:rsid w:val="00381553"/>
    <w:rsid w:val="003819A5"/>
    <w:rsid w:val="00384B80"/>
    <w:rsid w:val="00385FEE"/>
    <w:rsid w:val="003874C2"/>
    <w:rsid w:val="003908BC"/>
    <w:rsid w:val="00392D34"/>
    <w:rsid w:val="003932D5"/>
    <w:rsid w:val="00393E89"/>
    <w:rsid w:val="003952C1"/>
    <w:rsid w:val="003959AE"/>
    <w:rsid w:val="00396DCB"/>
    <w:rsid w:val="00397467"/>
    <w:rsid w:val="00397C7A"/>
    <w:rsid w:val="003A0C1A"/>
    <w:rsid w:val="003A1FDC"/>
    <w:rsid w:val="003A2F29"/>
    <w:rsid w:val="003A3054"/>
    <w:rsid w:val="003A4130"/>
    <w:rsid w:val="003A428D"/>
    <w:rsid w:val="003A503C"/>
    <w:rsid w:val="003A56CD"/>
    <w:rsid w:val="003A5EA2"/>
    <w:rsid w:val="003A6536"/>
    <w:rsid w:val="003A6B17"/>
    <w:rsid w:val="003A78D9"/>
    <w:rsid w:val="003B0AF3"/>
    <w:rsid w:val="003B0E74"/>
    <w:rsid w:val="003B1E15"/>
    <w:rsid w:val="003B1FBA"/>
    <w:rsid w:val="003B3030"/>
    <w:rsid w:val="003B52CC"/>
    <w:rsid w:val="003B575A"/>
    <w:rsid w:val="003C0889"/>
    <w:rsid w:val="003C1985"/>
    <w:rsid w:val="003C258D"/>
    <w:rsid w:val="003C3111"/>
    <w:rsid w:val="003C3841"/>
    <w:rsid w:val="003C40A2"/>
    <w:rsid w:val="003C48D8"/>
    <w:rsid w:val="003C4BBE"/>
    <w:rsid w:val="003C5219"/>
    <w:rsid w:val="003C655C"/>
    <w:rsid w:val="003C6CB8"/>
    <w:rsid w:val="003C6EB3"/>
    <w:rsid w:val="003C74EF"/>
    <w:rsid w:val="003D051E"/>
    <w:rsid w:val="003D0A3B"/>
    <w:rsid w:val="003D12AC"/>
    <w:rsid w:val="003D273C"/>
    <w:rsid w:val="003D38E2"/>
    <w:rsid w:val="003D4BF7"/>
    <w:rsid w:val="003D62F9"/>
    <w:rsid w:val="003D65AD"/>
    <w:rsid w:val="003E052A"/>
    <w:rsid w:val="003E0564"/>
    <w:rsid w:val="003E1E0A"/>
    <w:rsid w:val="003E2279"/>
    <w:rsid w:val="003E3F9A"/>
    <w:rsid w:val="003E5F7F"/>
    <w:rsid w:val="003E6541"/>
    <w:rsid w:val="003E7B6A"/>
    <w:rsid w:val="003F0233"/>
    <w:rsid w:val="003F0907"/>
    <w:rsid w:val="003F0F0A"/>
    <w:rsid w:val="003F2154"/>
    <w:rsid w:val="003F2CBE"/>
    <w:rsid w:val="003F6231"/>
    <w:rsid w:val="003F7FF9"/>
    <w:rsid w:val="0040122B"/>
    <w:rsid w:val="004027B8"/>
    <w:rsid w:val="00403322"/>
    <w:rsid w:val="00404B5A"/>
    <w:rsid w:val="0040509B"/>
    <w:rsid w:val="00407CC7"/>
    <w:rsid w:val="00410719"/>
    <w:rsid w:val="00410C3B"/>
    <w:rsid w:val="00411396"/>
    <w:rsid w:val="00412A7D"/>
    <w:rsid w:val="004157B0"/>
    <w:rsid w:val="004163A4"/>
    <w:rsid w:val="00417D5F"/>
    <w:rsid w:val="00417D66"/>
    <w:rsid w:val="0042011B"/>
    <w:rsid w:val="0042096B"/>
    <w:rsid w:val="0042280D"/>
    <w:rsid w:val="00422E16"/>
    <w:rsid w:val="00423A38"/>
    <w:rsid w:val="004240BE"/>
    <w:rsid w:val="00424E66"/>
    <w:rsid w:val="00424E81"/>
    <w:rsid w:val="004250FA"/>
    <w:rsid w:val="0042663D"/>
    <w:rsid w:val="00426A40"/>
    <w:rsid w:val="004276FE"/>
    <w:rsid w:val="00427916"/>
    <w:rsid w:val="00430486"/>
    <w:rsid w:val="0043121F"/>
    <w:rsid w:val="00431850"/>
    <w:rsid w:val="0043325B"/>
    <w:rsid w:val="004355E2"/>
    <w:rsid w:val="004371BE"/>
    <w:rsid w:val="0044017F"/>
    <w:rsid w:val="004405A1"/>
    <w:rsid w:val="00441142"/>
    <w:rsid w:val="0044162F"/>
    <w:rsid w:val="00443F1C"/>
    <w:rsid w:val="0044401B"/>
    <w:rsid w:val="00445A18"/>
    <w:rsid w:val="00446845"/>
    <w:rsid w:val="004468BD"/>
    <w:rsid w:val="0044696B"/>
    <w:rsid w:val="00446AF8"/>
    <w:rsid w:val="00446D6A"/>
    <w:rsid w:val="00446DE1"/>
    <w:rsid w:val="00447404"/>
    <w:rsid w:val="00450596"/>
    <w:rsid w:val="004505B8"/>
    <w:rsid w:val="00452649"/>
    <w:rsid w:val="00452FDD"/>
    <w:rsid w:val="00453B3E"/>
    <w:rsid w:val="00455331"/>
    <w:rsid w:val="00455955"/>
    <w:rsid w:val="00456327"/>
    <w:rsid w:val="0046022C"/>
    <w:rsid w:val="004606F5"/>
    <w:rsid w:val="00461152"/>
    <w:rsid w:val="00465804"/>
    <w:rsid w:val="00467502"/>
    <w:rsid w:val="00467C1D"/>
    <w:rsid w:val="0047017B"/>
    <w:rsid w:val="00470FA3"/>
    <w:rsid w:val="004725AB"/>
    <w:rsid w:val="00473652"/>
    <w:rsid w:val="00474FA0"/>
    <w:rsid w:val="0047544E"/>
    <w:rsid w:val="0047584F"/>
    <w:rsid w:val="004763F2"/>
    <w:rsid w:val="00476FDE"/>
    <w:rsid w:val="00477BD4"/>
    <w:rsid w:val="0048005D"/>
    <w:rsid w:val="00480E8F"/>
    <w:rsid w:val="00481556"/>
    <w:rsid w:val="0048194B"/>
    <w:rsid w:val="00481C0D"/>
    <w:rsid w:val="00483ABB"/>
    <w:rsid w:val="00483B3D"/>
    <w:rsid w:val="00486B18"/>
    <w:rsid w:val="0049009D"/>
    <w:rsid w:val="0049085D"/>
    <w:rsid w:val="004926EF"/>
    <w:rsid w:val="00493BB2"/>
    <w:rsid w:val="00494DA8"/>
    <w:rsid w:val="004950B5"/>
    <w:rsid w:val="00496CC2"/>
    <w:rsid w:val="004A004D"/>
    <w:rsid w:val="004A098A"/>
    <w:rsid w:val="004A1014"/>
    <w:rsid w:val="004A139F"/>
    <w:rsid w:val="004A1A70"/>
    <w:rsid w:val="004A409E"/>
    <w:rsid w:val="004A4254"/>
    <w:rsid w:val="004A44C6"/>
    <w:rsid w:val="004A4F25"/>
    <w:rsid w:val="004A6A5E"/>
    <w:rsid w:val="004A7023"/>
    <w:rsid w:val="004A769A"/>
    <w:rsid w:val="004A7A12"/>
    <w:rsid w:val="004A7ABA"/>
    <w:rsid w:val="004B13D7"/>
    <w:rsid w:val="004B14A7"/>
    <w:rsid w:val="004B1B7D"/>
    <w:rsid w:val="004B1E35"/>
    <w:rsid w:val="004B2004"/>
    <w:rsid w:val="004B38A5"/>
    <w:rsid w:val="004B445B"/>
    <w:rsid w:val="004B7047"/>
    <w:rsid w:val="004B7C36"/>
    <w:rsid w:val="004C0F1C"/>
    <w:rsid w:val="004C20E8"/>
    <w:rsid w:val="004C2E19"/>
    <w:rsid w:val="004C3961"/>
    <w:rsid w:val="004C47AF"/>
    <w:rsid w:val="004D0F05"/>
    <w:rsid w:val="004D1F5F"/>
    <w:rsid w:val="004D2E92"/>
    <w:rsid w:val="004D3214"/>
    <w:rsid w:val="004D373A"/>
    <w:rsid w:val="004D3D21"/>
    <w:rsid w:val="004D4A22"/>
    <w:rsid w:val="004D763E"/>
    <w:rsid w:val="004D7AF1"/>
    <w:rsid w:val="004E0255"/>
    <w:rsid w:val="004E086D"/>
    <w:rsid w:val="004E0978"/>
    <w:rsid w:val="004E0E05"/>
    <w:rsid w:val="004E1BC7"/>
    <w:rsid w:val="004E2E20"/>
    <w:rsid w:val="004E32E5"/>
    <w:rsid w:val="004E367E"/>
    <w:rsid w:val="004E3791"/>
    <w:rsid w:val="004E4CD8"/>
    <w:rsid w:val="004E502F"/>
    <w:rsid w:val="004E6C8E"/>
    <w:rsid w:val="004F0240"/>
    <w:rsid w:val="004F289F"/>
    <w:rsid w:val="004F435F"/>
    <w:rsid w:val="004F4A58"/>
    <w:rsid w:val="004F5289"/>
    <w:rsid w:val="00500F96"/>
    <w:rsid w:val="00501477"/>
    <w:rsid w:val="005030EA"/>
    <w:rsid w:val="005039CC"/>
    <w:rsid w:val="00504292"/>
    <w:rsid w:val="00504EFB"/>
    <w:rsid w:val="00505CD2"/>
    <w:rsid w:val="00505EBA"/>
    <w:rsid w:val="00506175"/>
    <w:rsid w:val="00506B72"/>
    <w:rsid w:val="00506F68"/>
    <w:rsid w:val="00513A57"/>
    <w:rsid w:val="0051430D"/>
    <w:rsid w:val="00514F1E"/>
    <w:rsid w:val="00515522"/>
    <w:rsid w:val="00515D38"/>
    <w:rsid w:val="0051612D"/>
    <w:rsid w:val="00516CC8"/>
    <w:rsid w:val="005237EA"/>
    <w:rsid w:val="00523AF0"/>
    <w:rsid w:val="00523F54"/>
    <w:rsid w:val="005247DD"/>
    <w:rsid w:val="00526474"/>
    <w:rsid w:val="00526B29"/>
    <w:rsid w:val="0052775C"/>
    <w:rsid w:val="00531447"/>
    <w:rsid w:val="00531CC4"/>
    <w:rsid w:val="00532A96"/>
    <w:rsid w:val="00532EA3"/>
    <w:rsid w:val="005342E7"/>
    <w:rsid w:val="00534E65"/>
    <w:rsid w:val="00535D8A"/>
    <w:rsid w:val="00536B10"/>
    <w:rsid w:val="00540284"/>
    <w:rsid w:val="005406F6"/>
    <w:rsid w:val="00540CB8"/>
    <w:rsid w:val="005414D4"/>
    <w:rsid w:val="00541522"/>
    <w:rsid w:val="00541CB7"/>
    <w:rsid w:val="00542B5B"/>
    <w:rsid w:val="0054313B"/>
    <w:rsid w:val="005435E4"/>
    <w:rsid w:val="00544CBA"/>
    <w:rsid w:val="0054605C"/>
    <w:rsid w:val="00550AB5"/>
    <w:rsid w:val="005512B7"/>
    <w:rsid w:val="00551397"/>
    <w:rsid w:val="00552F07"/>
    <w:rsid w:val="005550B9"/>
    <w:rsid w:val="0055618D"/>
    <w:rsid w:val="0056072E"/>
    <w:rsid w:val="00560D5C"/>
    <w:rsid w:val="005611C1"/>
    <w:rsid w:val="005618B3"/>
    <w:rsid w:val="00562632"/>
    <w:rsid w:val="00563079"/>
    <w:rsid w:val="00563A2F"/>
    <w:rsid w:val="005641AA"/>
    <w:rsid w:val="005660DB"/>
    <w:rsid w:val="00566FB0"/>
    <w:rsid w:val="00567A0E"/>
    <w:rsid w:val="00570593"/>
    <w:rsid w:val="00570BF3"/>
    <w:rsid w:val="005715B9"/>
    <w:rsid w:val="0057238E"/>
    <w:rsid w:val="005737F5"/>
    <w:rsid w:val="00574A60"/>
    <w:rsid w:val="00574A6C"/>
    <w:rsid w:val="00574B61"/>
    <w:rsid w:val="00575F67"/>
    <w:rsid w:val="00580726"/>
    <w:rsid w:val="00581168"/>
    <w:rsid w:val="005820CB"/>
    <w:rsid w:val="00583760"/>
    <w:rsid w:val="00583DB0"/>
    <w:rsid w:val="00585327"/>
    <w:rsid w:val="00585C84"/>
    <w:rsid w:val="005873A7"/>
    <w:rsid w:val="00587B8E"/>
    <w:rsid w:val="005906A3"/>
    <w:rsid w:val="00591698"/>
    <w:rsid w:val="00593B34"/>
    <w:rsid w:val="00593F16"/>
    <w:rsid w:val="0059581D"/>
    <w:rsid w:val="00597178"/>
    <w:rsid w:val="00597CFE"/>
    <w:rsid w:val="005A03AE"/>
    <w:rsid w:val="005A06E0"/>
    <w:rsid w:val="005A1C9B"/>
    <w:rsid w:val="005A3110"/>
    <w:rsid w:val="005A36EF"/>
    <w:rsid w:val="005A69A0"/>
    <w:rsid w:val="005A6B18"/>
    <w:rsid w:val="005A6BE3"/>
    <w:rsid w:val="005B0AE1"/>
    <w:rsid w:val="005B0EB8"/>
    <w:rsid w:val="005B139D"/>
    <w:rsid w:val="005B150E"/>
    <w:rsid w:val="005B279A"/>
    <w:rsid w:val="005B35EC"/>
    <w:rsid w:val="005B56A0"/>
    <w:rsid w:val="005B57A0"/>
    <w:rsid w:val="005B69B3"/>
    <w:rsid w:val="005B7020"/>
    <w:rsid w:val="005B7719"/>
    <w:rsid w:val="005C0918"/>
    <w:rsid w:val="005C2153"/>
    <w:rsid w:val="005C2A9F"/>
    <w:rsid w:val="005C3534"/>
    <w:rsid w:val="005C3709"/>
    <w:rsid w:val="005C6690"/>
    <w:rsid w:val="005D0A71"/>
    <w:rsid w:val="005D0CBE"/>
    <w:rsid w:val="005D1ACC"/>
    <w:rsid w:val="005D1B44"/>
    <w:rsid w:val="005D3D59"/>
    <w:rsid w:val="005D4331"/>
    <w:rsid w:val="005D499B"/>
    <w:rsid w:val="005D4A99"/>
    <w:rsid w:val="005D5288"/>
    <w:rsid w:val="005D619E"/>
    <w:rsid w:val="005D7435"/>
    <w:rsid w:val="005D776F"/>
    <w:rsid w:val="005E0651"/>
    <w:rsid w:val="005E151A"/>
    <w:rsid w:val="005E1BD4"/>
    <w:rsid w:val="005E2504"/>
    <w:rsid w:val="005E29E6"/>
    <w:rsid w:val="005E33A0"/>
    <w:rsid w:val="005E3F91"/>
    <w:rsid w:val="005E52F8"/>
    <w:rsid w:val="005E58B3"/>
    <w:rsid w:val="005E630B"/>
    <w:rsid w:val="005E70C9"/>
    <w:rsid w:val="005E7A46"/>
    <w:rsid w:val="005F0AD1"/>
    <w:rsid w:val="005F2767"/>
    <w:rsid w:val="005F27B0"/>
    <w:rsid w:val="005F2880"/>
    <w:rsid w:val="005F3655"/>
    <w:rsid w:val="005F3A6E"/>
    <w:rsid w:val="005F476A"/>
    <w:rsid w:val="005F5F8A"/>
    <w:rsid w:val="005F75A3"/>
    <w:rsid w:val="005F76E5"/>
    <w:rsid w:val="006013B7"/>
    <w:rsid w:val="006016F2"/>
    <w:rsid w:val="006018E8"/>
    <w:rsid w:val="00601A48"/>
    <w:rsid w:val="006029D0"/>
    <w:rsid w:val="00602D01"/>
    <w:rsid w:val="00604249"/>
    <w:rsid w:val="00604FE0"/>
    <w:rsid w:val="00606136"/>
    <w:rsid w:val="00607E2E"/>
    <w:rsid w:val="00607EA5"/>
    <w:rsid w:val="006101E4"/>
    <w:rsid w:val="0061166C"/>
    <w:rsid w:val="00611DB3"/>
    <w:rsid w:val="0061371A"/>
    <w:rsid w:val="00613B74"/>
    <w:rsid w:val="00614293"/>
    <w:rsid w:val="00615783"/>
    <w:rsid w:val="006170A4"/>
    <w:rsid w:val="00617AAA"/>
    <w:rsid w:val="00617B61"/>
    <w:rsid w:val="00620326"/>
    <w:rsid w:val="00620438"/>
    <w:rsid w:val="00622373"/>
    <w:rsid w:val="00624160"/>
    <w:rsid w:val="006253D9"/>
    <w:rsid w:val="006259A1"/>
    <w:rsid w:val="00625DA3"/>
    <w:rsid w:val="00625EF9"/>
    <w:rsid w:val="0062773E"/>
    <w:rsid w:val="006306BD"/>
    <w:rsid w:val="00630E0B"/>
    <w:rsid w:val="00631066"/>
    <w:rsid w:val="006314C4"/>
    <w:rsid w:val="00632DF9"/>
    <w:rsid w:val="00633898"/>
    <w:rsid w:val="00633E57"/>
    <w:rsid w:val="006371EA"/>
    <w:rsid w:val="0063733F"/>
    <w:rsid w:val="00637C17"/>
    <w:rsid w:val="00640D5E"/>
    <w:rsid w:val="00640EC9"/>
    <w:rsid w:val="006417DA"/>
    <w:rsid w:val="00641A8F"/>
    <w:rsid w:val="00641E02"/>
    <w:rsid w:val="00644D05"/>
    <w:rsid w:val="00644E8D"/>
    <w:rsid w:val="00645789"/>
    <w:rsid w:val="00646EE6"/>
    <w:rsid w:val="00650639"/>
    <w:rsid w:val="00650E21"/>
    <w:rsid w:val="0065120E"/>
    <w:rsid w:val="006555B9"/>
    <w:rsid w:val="006579ED"/>
    <w:rsid w:val="00657DC9"/>
    <w:rsid w:val="00657EE3"/>
    <w:rsid w:val="00660E80"/>
    <w:rsid w:val="00661018"/>
    <w:rsid w:val="006627CB"/>
    <w:rsid w:val="006628C9"/>
    <w:rsid w:val="00663472"/>
    <w:rsid w:val="0066358A"/>
    <w:rsid w:val="006652C8"/>
    <w:rsid w:val="006654B3"/>
    <w:rsid w:val="00665693"/>
    <w:rsid w:val="00666A99"/>
    <w:rsid w:val="00671BDF"/>
    <w:rsid w:val="00672CCE"/>
    <w:rsid w:val="00672F35"/>
    <w:rsid w:val="00673F9D"/>
    <w:rsid w:val="006742C4"/>
    <w:rsid w:val="00675C3E"/>
    <w:rsid w:val="00677B9A"/>
    <w:rsid w:val="00680E16"/>
    <w:rsid w:val="006819C8"/>
    <w:rsid w:val="00682144"/>
    <w:rsid w:val="006835A1"/>
    <w:rsid w:val="00683F04"/>
    <w:rsid w:val="006850AC"/>
    <w:rsid w:val="00685D4F"/>
    <w:rsid w:val="0068668D"/>
    <w:rsid w:val="00690576"/>
    <w:rsid w:val="00692752"/>
    <w:rsid w:val="006942CA"/>
    <w:rsid w:val="006946AD"/>
    <w:rsid w:val="00694C0C"/>
    <w:rsid w:val="00696247"/>
    <w:rsid w:val="0069639E"/>
    <w:rsid w:val="0069731B"/>
    <w:rsid w:val="006A0410"/>
    <w:rsid w:val="006A0792"/>
    <w:rsid w:val="006A0A8F"/>
    <w:rsid w:val="006A0E48"/>
    <w:rsid w:val="006A0E69"/>
    <w:rsid w:val="006A2376"/>
    <w:rsid w:val="006A2954"/>
    <w:rsid w:val="006A3394"/>
    <w:rsid w:val="006A3A1C"/>
    <w:rsid w:val="006A4F34"/>
    <w:rsid w:val="006A6EA5"/>
    <w:rsid w:val="006A7819"/>
    <w:rsid w:val="006B07DA"/>
    <w:rsid w:val="006B2328"/>
    <w:rsid w:val="006B24CB"/>
    <w:rsid w:val="006B2851"/>
    <w:rsid w:val="006B4480"/>
    <w:rsid w:val="006B5CC8"/>
    <w:rsid w:val="006B6CA5"/>
    <w:rsid w:val="006B75F6"/>
    <w:rsid w:val="006C0512"/>
    <w:rsid w:val="006C0586"/>
    <w:rsid w:val="006C180D"/>
    <w:rsid w:val="006C30DB"/>
    <w:rsid w:val="006C5BFD"/>
    <w:rsid w:val="006C6053"/>
    <w:rsid w:val="006C61A2"/>
    <w:rsid w:val="006C6B4B"/>
    <w:rsid w:val="006C6C74"/>
    <w:rsid w:val="006C7A26"/>
    <w:rsid w:val="006D1644"/>
    <w:rsid w:val="006D1D21"/>
    <w:rsid w:val="006D307B"/>
    <w:rsid w:val="006D33D0"/>
    <w:rsid w:val="006D62B0"/>
    <w:rsid w:val="006E0618"/>
    <w:rsid w:val="006E0917"/>
    <w:rsid w:val="006E0D06"/>
    <w:rsid w:val="006E156F"/>
    <w:rsid w:val="006E364D"/>
    <w:rsid w:val="006E56FA"/>
    <w:rsid w:val="006E5F94"/>
    <w:rsid w:val="006E63A9"/>
    <w:rsid w:val="006E7341"/>
    <w:rsid w:val="006F01F6"/>
    <w:rsid w:val="006F0D15"/>
    <w:rsid w:val="006F300E"/>
    <w:rsid w:val="006F32BB"/>
    <w:rsid w:val="006F3335"/>
    <w:rsid w:val="006F3515"/>
    <w:rsid w:val="006F5A61"/>
    <w:rsid w:val="006F5DE2"/>
    <w:rsid w:val="006F7E40"/>
    <w:rsid w:val="006F7F62"/>
    <w:rsid w:val="00700C1D"/>
    <w:rsid w:val="00701033"/>
    <w:rsid w:val="007010BA"/>
    <w:rsid w:val="00702558"/>
    <w:rsid w:val="00702C39"/>
    <w:rsid w:val="007038F3"/>
    <w:rsid w:val="00704C82"/>
    <w:rsid w:val="0070504A"/>
    <w:rsid w:val="0071139E"/>
    <w:rsid w:val="007117FE"/>
    <w:rsid w:val="00711CBD"/>
    <w:rsid w:val="00712519"/>
    <w:rsid w:val="00716100"/>
    <w:rsid w:val="00716B67"/>
    <w:rsid w:val="0071768B"/>
    <w:rsid w:val="007213AA"/>
    <w:rsid w:val="00722028"/>
    <w:rsid w:val="00725BF2"/>
    <w:rsid w:val="0072687F"/>
    <w:rsid w:val="0072724A"/>
    <w:rsid w:val="007306A0"/>
    <w:rsid w:val="00730A09"/>
    <w:rsid w:val="00730B4D"/>
    <w:rsid w:val="00731FF1"/>
    <w:rsid w:val="007335DF"/>
    <w:rsid w:val="007338CD"/>
    <w:rsid w:val="00733A26"/>
    <w:rsid w:val="00733F9B"/>
    <w:rsid w:val="00734F96"/>
    <w:rsid w:val="007356E9"/>
    <w:rsid w:val="00736248"/>
    <w:rsid w:val="00736A68"/>
    <w:rsid w:val="00736D6A"/>
    <w:rsid w:val="007370D1"/>
    <w:rsid w:val="00737DE9"/>
    <w:rsid w:val="0074015A"/>
    <w:rsid w:val="0074032E"/>
    <w:rsid w:val="007407D1"/>
    <w:rsid w:val="00741434"/>
    <w:rsid w:val="00741C83"/>
    <w:rsid w:val="00742010"/>
    <w:rsid w:val="00743707"/>
    <w:rsid w:val="007440BF"/>
    <w:rsid w:val="00744533"/>
    <w:rsid w:val="0074457F"/>
    <w:rsid w:val="00753742"/>
    <w:rsid w:val="00754B83"/>
    <w:rsid w:val="00754F83"/>
    <w:rsid w:val="00756497"/>
    <w:rsid w:val="0075658C"/>
    <w:rsid w:val="0075753C"/>
    <w:rsid w:val="00757A3F"/>
    <w:rsid w:val="00757BF2"/>
    <w:rsid w:val="00760165"/>
    <w:rsid w:val="00761BA7"/>
    <w:rsid w:val="00761DB8"/>
    <w:rsid w:val="00763668"/>
    <w:rsid w:val="007665F5"/>
    <w:rsid w:val="0077128B"/>
    <w:rsid w:val="00771459"/>
    <w:rsid w:val="00771C92"/>
    <w:rsid w:val="007721BF"/>
    <w:rsid w:val="00772838"/>
    <w:rsid w:val="00772C01"/>
    <w:rsid w:val="0077303E"/>
    <w:rsid w:val="00780747"/>
    <w:rsid w:val="00780B65"/>
    <w:rsid w:val="00780BCF"/>
    <w:rsid w:val="007812B1"/>
    <w:rsid w:val="00781D9E"/>
    <w:rsid w:val="00783F01"/>
    <w:rsid w:val="007842F2"/>
    <w:rsid w:val="007844F2"/>
    <w:rsid w:val="00784712"/>
    <w:rsid w:val="00786205"/>
    <w:rsid w:val="007862B2"/>
    <w:rsid w:val="00790139"/>
    <w:rsid w:val="00791767"/>
    <w:rsid w:val="00791E2C"/>
    <w:rsid w:val="00791FC2"/>
    <w:rsid w:val="00791FE9"/>
    <w:rsid w:val="007928AE"/>
    <w:rsid w:val="00792F32"/>
    <w:rsid w:val="007938E4"/>
    <w:rsid w:val="00794108"/>
    <w:rsid w:val="007954D8"/>
    <w:rsid w:val="00796247"/>
    <w:rsid w:val="00797138"/>
    <w:rsid w:val="00797F10"/>
    <w:rsid w:val="007A11BA"/>
    <w:rsid w:val="007A29ED"/>
    <w:rsid w:val="007A2C37"/>
    <w:rsid w:val="007A4240"/>
    <w:rsid w:val="007A5BD7"/>
    <w:rsid w:val="007A6EED"/>
    <w:rsid w:val="007B0B5C"/>
    <w:rsid w:val="007B190B"/>
    <w:rsid w:val="007B253E"/>
    <w:rsid w:val="007B2FC9"/>
    <w:rsid w:val="007B343E"/>
    <w:rsid w:val="007B3790"/>
    <w:rsid w:val="007B6A56"/>
    <w:rsid w:val="007B6CDC"/>
    <w:rsid w:val="007B7A72"/>
    <w:rsid w:val="007C19CE"/>
    <w:rsid w:val="007C47BF"/>
    <w:rsid w:val="007C5133"/>
    <w:rsid w:val="007C5A81"/>
    <w:rsid w:val="007C5B2F"/>
    <w:rsid w:val="007C64FF"/>
    <w:rsid w:val="007C7D94"/>
    <w:rsid w:val="007C7E55"/>
    <w:rsid w:val="007D1A5D"/>
    <w:rsid w:val="007D1C00"/>
    <w:rsid w:val="007D2CAF"/>
    <w:rsid w:val="007D3BFF"/>
    <w:rsid w:val="007D3CF9"/>
    <w:rsid w:val="007D3E06"/>
    <w:rsid w:val="007D42C8"/>
    <w:rsid w:val="007D47CF"/>
    <w:rsid w:val="007D6177"/>
    <w:rsid w:val="007D71A7"/>
    <w:rsid w:val="007E143A"/>
    <w:rsid w:val="007E1FB2"/>
    <w:rsid w:val="007E3226"/>
    <w:rsid w:val="007E4B94"/>
    <w:rsid w:val="007E4E5C"/>
    <w:rsid w:val="007E55D2"/>
    <w:rsid w:val="007E634F"/>
    <w:rsid w:val="007E6503"/>
    <w:rsid w:val="007E69F8"/>
    <w:rsid w:val="007E6ABD"/>
    <w:rsid w:val="007E6B35"/>
    <w:rsid w:val="007E6C13"/>
    <w:rsid w:val="007E78DA"/>
    <w:rsid w:val="007F08BD"/>
    <w:rsid w:val="007F20C8"/>
    <w:rsid w:val="007F3651"/>
    <w:rsid w:val="007F3A96"/>
    <w:rsid w:val="007F65D9"/>
    <w:rsid w:val="008010F2"/>
    <w:rsid w:val="0080113C"/>
    <w:rsid w:val="00803968"/>
    <w:rsid w:val="00807921"/>
    <w:rsid w:val="0080796C"/>
    <w:rsid w:val="00807AD3"/>
    <w:rsid w:val="008144AE"/>
    <w:rsid w:val="0081482D"/>
    <w:rsid w:val="00814D5D"/>
    <w:rsid w:val="00815E78"/>
    <w:rsid w:val="00815EDF"/>
    <w:rsid w:val="00817C5C"/>
    <w:rsid w:val="00820716"/>
    <w:rsid w:val="00820CE8"/>
    <w:rsid w:val="00820E5B"/>
    <w:rsid w:val="0082206F"/>
    <w:rsid w:val="00822206"/>
    <w:rsid w:val="00822858"/>
    <w:rsid w:val="00822B4D"/>
    <w:rsid w:val="008232E8"/>
    <w:rsid w:val="00824197"/>
    <w:rsid w:val="0082447B"/>
    <w:rsid w:val="008245E3"/>
    <w:rsid w:val="00825007"/>
    <w:rsid w:val="00826DC1"/>
    <w:rsid w:val="00827412"/>
    <w:rsid w:val="00827ABB"/>
    <w:rsid w:val="0083014D"/>
    <w:rsid w:val="008304DC"/>
    <w:rsid w:val="00830796"/>
    <w:rsid w:val="00832AB6"/>
    <w:rsid w:val="00832C29"/>
    <w:rsid w:val="008330F6"/>
    <w:rsid w:val="00833530"/>
    <w:rsid w:val="008335C6"/>
    <w:rsid w:val="00834158"/>
    <w:rsid w:val="00834BB3"/>
    <w:rsid w:val="00837A76"/>
    <w:rsid w:val="0084026D"/>
    <w:rsid w:val="008438C8"/>
    <w:rsid w:val="00843C8D"/>
    <w:rsid w:val="00844B1D"/>
    <w:rsid w:val="00846F36"/>
    <w:rsid w:val="00847217"/>
    <w:rsid w:val="00847AEA"/>
    <w:rsid w:val="00847AEC"/>
    <w:rsid w:val="00851608"/>
    <w:rsid w:val="008519CA"/>
    <w:rsid w:val="00851E77"/>
    <w:rsid w:val="008536A7"/>
    <w:rsid w:val="008542FF"/>
    <w:rsid w:val="00854A17"/>
    <w:rsid w:val="0085666A"/>
    <w:rsid w:val="008571D1"/>
    <w:rsid w:val="008601CB"/>
    <w:rsid w:val="008602B5"/>
    <w:rsid w:val="008608C6"/>
    <w:rsid w:val="008613A1"/>
    <w:rsid w:val="00861606"/>
    <w:rsid w:val="0086182B"/>
    <w:rsid w:val="00861937"/>
    <w:rsid w:val="00861EE7"/>
    <w:rsid w:val="00861F6A"/>
    <w:rsid w:val="00866317"/>
    <w:rsid w:val="008670A0"/>
    <w:rsid w:val="00870BF4"/>
    <w:rsid w:val="00871DE5"/>
    <w:rsid w:val="008726D8"/>
    <w:rsid w:val="00872CFC"/>
    <w:rsid w:val="00873A96"/>
    <w:rsid w:val="00874134"/>
    <w:rsid w:val="0087465D"/>
    <w:rsid w:val="00874A3B"/>
    <w:rsid w:val="00876186"/>
    <w:rsid w:val="00876EC2"/>
    <w:rsid w:val="008770A3"/>
    <w:rsid w:val="00877AC3"/>
    <w:rsid w:val="00880184"/>
    <w:rsid w:val="00880DAD"/>
    <w:rsid w:val="00881426"/>
    <w:rsid w:val="00881F8E"/>
    <w:rsid w:val="00882E8A"/>
    <w:rsid w:val="008841FF"/>
    <w:rsid w:val="00884C88"/>
    <w:rsid w:val="00885C1C"/>
    <w:rsid w:val="008864B8"/>
    <w:rsid w:val="008864F2"/>
    <w:rsid w:val="00886DEF"/>
    <w:rsid w:val="008872A1"/>
    <w:rsid w:val="0088737D"/>
    <w:rsid w:val="00890208"/>
    <w:rsid w:val="008914AD"/>
    <w:rsid w:val="0089265E"/>
    <w:rsid w:val="00893A44"/>
    <w:rsid w:val="00894460"/>
    <w:rsid w:val="00894DDE"/>
    <w:rsid w:val="0089591C"/>
    <w:rsid w:val="008959C0"/>
    <w:rsid w:val="00897215"/>
    <w:rsid w:val="00897418"/>
    <w:rsid w:val="00897B43"/>
    <w:rsid w:val="008A1353"/>
    <w:rsid w:val="008A1A1D"/>
    <w:rsid w:val="008A1DF9"/>
    <w:rsid w:val="008A21E1"/>
    <w:rsid w:val="008A58F9"/>
    <w:rsid w:val="008A6AD4"/>
    <w:rsid w:val="008A7E0E"/>
    <w:rsid w:val="008B0ABF"/>
    <w:rsid w:val="008B1351"/>
    <w:rsid w:val="008B260D"/>
    <w:rsid w:val="008B5AAD"/>
    <w:rsid w:val="008B653C"/>
    <w:rsid w:val="008B6651"/>
    <w:rsid w:val="008B7399"/>
    <w:rsid w:val="008B7AAF"/>
    <w:rsid w:val="008C03E7"/>
    <w:rsid w:val="008C0738"/>
    <w:rsid w:val="008C0782"/>
    <w:rsid w:val="008C19E6"/>
    <w:rsid w:val="008C1FC1"/>
    <w:rsid w:val="008C24CD"/>
    <w:rsid w:val="008C4178"/>
    <w:rsid w:val="008C70DF"/>
    <w:rsid w:val="008D15EC"/>
    <w:rsid w:val="008D3C0E"/>
    <w:rsid w:val="008D45CA"/>
    <w:rsid w:val="008D4D42"/>
    <w:rsid w:val="008D552D"/>
    <w:rsid w:val="008D5849"/>
    <w:rsid w:val="008D6AEC"/>
    <w:rsid w:val="008D79AE"/>
    <w:rsid w:val="008D7E3E"/>
    <w:rsid w:val="008E20A5"/>
    <w:rsid w:val="008E23E2"/>
    <w:rsid w:val="008E4301"/>
    <w:rsid w:val="008E46FE"/>
    <w:rsid w:val="008E4811"/>
    <w:rsid w:val="008E661D"/>
    <w:rsid w:val="008F03B2"/>
    <w:rsid w:val="008F0B42"/>
    <w:rsid w:val="008F3212"/>
    <w:rsid w:val="008F36BE"/>
    <w:rsid w:val="008F44B6"/>
    <w:rsid w:val="008F44E4"/>
    <w:rsid w:val="008F4CA8"/>
    <w:rsid w:val="008F58A9"/>
    <w:rsid w:val="008F630A"/>
    <w:rsid w:val="008F6FFF"/>
    <w:rsid w:val="008F78F0"/>
    <w:rsid w:val="008F7C9E"/>
    <w:rsid w:val="008F7EE7"/>
    <w:rsid w:val="0090090C"/>
    <w:rsid w:val="00900913"/>
    <w:rsid w:val="009025B4"/>
    <w:rsid w:val="00903518"/>
    <w:rsid w:val="00904684"/>
    <w:rsid w:val="009048FF"/>
    <w:rsid w:val="009054FD"/>
    <w:rsid w:val="00905D6A"/>
    <w:rsid w:val="009068D6"/>
    <w:rsid w:val="00907D82"/>
    <w:rsid w:val="00910491"/>
    <w:rsid w:val="00911DC5"/>
    <w:rsid w:val="00911FB1"/>
    <w:rsid w:val="00913156"/>
    <w:rsid w:val="00913433"/>
    <w:rsid w:val="00914331"/>
    <w:rsid w:val="00916051"/>
    <w:rsid w:val="00917523"/>
    <w:rsid w:val="00917ACC"/>
    <w:rsid w:val="00920411"/>
    <w:rsid w:val="00920E86"/>
    <w:rsid w:val="00920F95"/>
    <w:rsid w:val="0092205C"/>
    <w:rsid w:val="0092340F"/>
    <w:rsid w:val="00923C7E"/>
    <w:rsid w:val="00925BC2"/>
    <w:rsid w:val="009260B8"/>
    <w:rsid w:val="00926226"/>
    <w:rsid w:val="00930599"/>
    <w:rsid w:val="00932B6D"/>
    <w:rsid w:val="00932CD5"/>
    <w:rsid w:val="009345B3"/>
    <w:rsid w:val="00934D0E"/>
    <w:rsid w:val="009355C5"/>
    <w:rsid w:val="009359B4"/>
    <w:rsid w:val="00935A7F"/>
    <w:rsid w:val="00936095"/>
    <w:rsid w:val="009367F7"/>
    <w:rsid w:val="0093699B"/>
    <w:rsid w:val="00937240"/>
    <w:rsid w:val="009372D9"/>
    <w:rsid w:val="009374A8"/>
    <w:rsid w:val="009417F5"/>
    <w:rsid w:val="00942EB9"/>
    <w:rsid w:val="00942F7C"/>
    <w:rsid w:val="00943F86"/>
    <w:rsid w:val="009453B7"/>
    <w:rsid w:val="00950C1E"/>
    <w:rsid w:val="00951423"/>
    <w:rsid w:val="00951961"/>
    <w:rsid w:val="00951BC7"/>
    <w:rsid w:val="009537CF"/>
    <w:rsid w:val="00956D38"/>
    <w:rsid w:val="009574FF"/>
    <w:rsid w:val="009602A1"/>
    <w:rsid w:val="0096073A"/>
    <w:rsid w:val="00962359"/>
    <w:rsid w:val="00962FED"/>
    <w:rsid w:val="00963190"/>
    <w:rsid w:val="00964AE5"/>
    <w:rsid w:val="00966F61"/>
    <w:rsid w:val="00967A69"/>
    <w:rsid w:val="00967C30"/>
    <w:rsid w:val="00967FA7"/>
    <w:rsid w:val="009701B1"/>
    <w:rsid w:val="00970474"/>
    <w:rsid w:val="00970901"/>
    <w:rsid w:val="0097123E"/>
    <w:rsid w:val="00972E2B"/>
    <w:rsid w:val="00973394"/>
    <w:rsid w:val="00975646"/>
    <w:rsid w:val="00976343"/>
    <w:rsid w:val="00976A20"/>
    <w:rsid w:val="00980568"/>
    <w:rsid w:val="0098239B"/>
    <w:rsid w:val="00982F56"/>
    <w:rsid w:val="009840BC"/>
    <w:rsid w:val="00984E7B"/>
    <w:rsid w:val="00985D0D"/>
    <w:rsid w:val="00986519"/>
    <w:rsid w:val="0098686A"/>
    <w:rsid w:val="009873F2"/>
    <w:rsid w:val="00987DD8"/>
    <w:rsid w:val="009902A8"/>
    <w:rsid w:val="009919D3"/>
    <w:rsid w:val="0099319D"/>
    <w:rsid w:val="00993BC9"/>
    <w:rsid w:val="0099618A"/>
    <w:rsid w:val="00996975"/>
    <w:rsid w:val="009A075C"/>
    <w:rsid w:val="009A1959"/>
    <w:rsid w:val="009A1F1B"/>
    <w:rsid w:val="009A2B1C"/>
    <w:rsid w:val="009A462F"/>
    <w:rsid w:val="009A4FDD"/>
    <w:rsid w:val="009A5C9E"/>
    <w:rsid w:val="009A7E35"/>
    <w:rsid w:val="009B04F3"/>
    <w:rsid w:val="009B0523"/>
    <w:rsid w:val="009B0696"/>
    <w:rsid w:val="009B176B"/>
    <w:rsid w:val="009B1B66"/>
    <w:rsid w:val="009B1E54"/>
    <w:rsid w:val="009B2D8F"/>
    <w:rsid w:val="009B394B"/>
    <w:rsid w:val="009B41A9"/>
    <w:rsid w:val="009B439A"/>
    <w:rsid w:val="009B63B5"/>
    <w:rsid w:val="009B64C1"/>
    <w:rsid w:val="009B7354"/>
    <w:rsid w:val="009B7EE3"/>
    <w:rsid w:val="009C0B11"/>
    <w:rsid w:val="009C21DE"/>
    <w:rsid w:val="009C3B8E"/>
    <w:rsid w:val="009C497D"/>
    <w:rsid w:val="009C4D7A"/>
    <w:rsid w:val="009C5860"/>
    <w:rsid w:val="009C5CC7"/>
    <w:rsid w:val="009C6075"/>
    <w:rsid w:val="009C614C"/>
    <w:rsid w:val="009C699C"/>
    <w:rsid w:val="009D021B"/>
    <w:rsid w:val="009D1B59"/>
    <w:rsid w:val="009D2024"/>
    <w:rsid w:val="009D212C"/>
    <w:rsid w:val="009D2A47"/>
    <w:rsid w:val="009D2E34"/>
    <w:rsid w:val="009D476F"/>
    <w:rsid w:val="009D4A76"/>
    <w:rsid w:val="009E0A98"/>
    <w:rsid w:val="009E281A"/>
    <w:rsid w:val="009E40C1"/>
    <w:rsid w:val="009E7D20"/>
    <w:rsid w:val="009E7E17"/>
    <w:rsid w:val="009E7FAF"/>
    <w:rsid w:val="009F0D18"/>
    <w:rsid w:val="009F10E7"/>
    <w:rsid w:val="009F1B8C"/>
    <w:rsid w:val="009F1D7D"/>
    <w:rsid w:val="009F1F3D"/>
    <w:rsid w:val="009F3A38"/>
    <w:rsid w:val="009F4BCD"/>
    <w:rsid w:val="00A01B4A"/>
    <w:rsid w:val="00A02A2C"/>
    <w:rsid w:val="00A02F14"/>
    <w:rsid w:val="00A02FF1"/>
    <w:rsid w:val="00A040B8"/>
    <w:rsid w:val="00A04B45"/>
    <w:rsid w:val="00A04C80"/>
    <w:rsid w:val="00A076B1"/>
    <w:rsid w:val="00A077BC"/>
    <w:rsid w:val="00A101B8"/>
    <w:rsid w:val="00A1307E"/>
    <w:rsid w:val="00A16A25"/>
    <w:rsid w:val="00A17DBF"/>
    <w:rsid w:val="00A20B80"/>
    <w:rsid w:val="00A2397E"/>
    <w:rsid w:val="00A2420B"/>
    <w:rsid w:val="00A2574C"/>
    <w:rsid w:val="00A27A45"/>
    <w:rsid w:val="00A30407"/>
    <w:rsid w:val="00A3153C"/>
    <w:rsid w:val="00A321DB"/>
    <w:rsid w:val="00A33309"/>
    <w:rsid w:val="00A33A24"/>
    <w:rsid w:val="00A33A55"/>
    <w:rsid w:val="00A33F4F"/>
    <w:rsid w:val="00A35444"/>
    <w:rsid w:val="00A35F00"/>
    <w:rsid w:val="00A3632C"/>
    <w:rsid w:val="00A3723C"/>
    <w:rsid w:val="00A403A8"/>
    <w:rsid w:val="00A414A1"/>
    <w:rsid w:val="00A41C9E"/>
    <w:rsid w:val="00A43174"/>
    <w:rsid w:val="00A438CE"/>
    <w:rsid w:val="00A43A84"/>
    <w:rsid w:val="00A44448"/>
    <w:rsid w:val="00A44653"/>
    <w:rsid w:val="00A45191"/>
    <w:rsid w:val="00A468D4"/>
    <w:rsid w:val="00A47E4A"/>
    <w:rsid w:val="00A50673"/>
    <w:rsid w:val="00A50D6E"/>
    <w:rsid w:val="00A51AA7"/>
    <w:rsid w:val="00A52597"/>
    <w:rsid w:val="00A52B90"/>
    <w:rsid w:val="00A52D67"/>
    <w:rsid w:val="00A53453"/>
    <w:rsid w:val="00A539D0"/>
    <w:rsid w:val="00A53FCF"/>
    <w:rsid w:val="00A54659"/>
    <w:rsid w:val="00A55A55"/>
    <w:rsid w:val="00A561CA"/>
    <w:rsid w:val="00A563D9"/>
    <w:rsid w:val="00A57839"/>
    <w:rsid w:val="00A601BC"/>
    <w:rsid w:val="00A6059F"/>
    <w:rsid w:val="00A6063C"/>
    <w:rsid w:val="00A615B0"/>
    <w:rsid w:val="00A63334"/>
    <w:rsid w:val="00A63C75"/>
    <w:rsid w:val="00A65725"/>
    <w:rsid w:val="00A668DB"/>
    <w:rsid w:val="00A67936"/>
    <w:rsid w:val="00A70069"/>
    <w:rsid w:val="00A70090"/>
    <w:rsid w:val="00A7142A"/>
    <w:rsid w:val="00A716E9"/>
    <w:rsid w:val="00A71E66"/>
    <w:rsid w:val="00A71F37"/>
    <w:rsid w:val="00A721C7"/>
    <w:rsid w:val="00A730AE"/>
    <w:rsid w:val="00A769CA"/>
    <w:rsid w:val="00A76D76"/>
    <w:rsid w:val="00A77468"/>
    <w:rsid w:val="00A77AF7"/>
    <w:rsid w:val="00A80800"/>
    <w:rsid w:val="00A80C4E"/>
    <w:rsid w:val="00A814B6"/>
    <w:rsid w:val="00A81CD5"/>
    <w:rsid w:val="00A82966"/>
    <w:rsid w:val="00A8495F"/>
    <w:rsid w:val="00A84DB6"/>
    <w:rsid w:val="00A853C0"/>
    <w:rsid w:val="00A855B2"/>
    <w:rsid w:val="00A866C2"/>
    <w:rsid w:val="00A86D3B"/>
    <w:rsid w:val="00A86F89"/>
    <w:rsid w:val="00A874E4"/>
    <w:rsid w:val="00A878ED"/>
    <w:rsid w:val="00A92358"/>
    <w:rsid w:val="00A93A72"/>
    <w:rsid w:val="00A94E5B"/>
    <w:rsid w:val="00A958E8"/>
    <w:rsid w:val="00A959EA"/>
    <w:rsid w:val="00A95A3B"/>
    <w:rsid w:val="00A97309"/>
    <w:rsid w:val="00A97967"/>
    <w:rsid w:val="00A97BB3"/>
    <w:rsid w:val="00AA0F31"/>
    <w:rsid w:val="00AA0FD8"/>
    <w:rsid w:val="00AA1682"/>
    <w:rsid w:val="00AA3073"/>
    <w:rsid w:val="00AA38EF"/>
    <w:rsid w:val="00AA44D3"/>
    <w:rsid w:val="00AA4CF7"/>
    <w:rsid w:val="00AA4E46"/>
    <w:rsid w:val="00AA57D6"/>
    <w:rsid w:val="00AA760B"/>
    <w:rsid w:val="00AA7F3D"/>
    <w:rsid w:val="00AB0758"/>
    <w:rsid w:val="00AB0B20"/>
    <w:rsid w:val="00AB1973"/>
    <w:rsid w:val="00AB1C12"/>
    <w:rsid w:val="00AB2074"/>
    <w:rsid w:val="00AB382A"/>
    <w:rsid w:val="00AB3ACD"/>
    <w:rsid w:val="00AB3D8D"/>
    <w:rsid w:val="00AB3E3E"/>
    <w:rsid w:val="00AB40D9"/>
    <w:rsid w:val="00AB48AA"/>
    <w:rsid w:val="00AB4965"/>
    <w:rsid w:val="00AB4DDE"/>
    <w:rsid w:val="00AB6526"/>
    <w:rsid w:val="00AB67E9"/>
    <w:rsid w:val="00AB6881"/>
    <w:rsid w:val="00AB729F"/>
    <w:rsid w:val="00AB7C17"/>
    <w:rsid w:val="00AC100B"/>
    <w:rsid w:val="00AC12B8"/>
    <w:rsid w:val="00AC1CD2"/>
    <w:rsid w:val="00AC33F4"/>
    <w:rsid w:val="00AD0C38"/>
    <w:rsid w:val="00AD1AF1"/>
    <w:rsid w:val="00AD2131"/>
    <w:rsid w:val="00AD4979"/>
    <w:rsid w:val="00AD4F65"/>
    <w:rsid w:val="00AD5563"/>
    <w:rsid w:val="00AD5EB3"/>
    <w:rsid w:val="00AD75B2"/>
    <w:rsid w:val="00AE1D1C"/>
    <w:rsid w:val="00AE2624"/>
    <w:rsid w:val="00AE283A"/>
    <w:rsid w:val="00AE2945"/>
    <w:rsid w:val="00AE2FAE"/>
    <w:rsid w:val="00AE372E"/>
    <w:rsid w:val="00AE390F"/>
    <w:rsid w:val="00AE4016"/>
    <w:rsid w:val="00AE51DC"/>
    <w:rsid w:val="00AE5B9D"/>
    <w:rsid w:val="00AE5C28"/>
    <w:rsid w:val="00AE6835"/>
    <w:rsid w:val="00AE74F8"/>
    <w:rsid w:val="00AF05B4"/>
    <w:rsid w:val="00AF40F0"/>
    <w:rsid w:val="00AF5818"/>
    <w:rsid w:val="00AF5A56"/>
    <w:rsid w:val="00AF6892"/>
    <w:rsid w:val="00AF6BEB"/>
    <w:rsid w:val="00AF7142"/>
    <w:rsid w:val="00AF7F75"/>
    <w:rsid w:val="00B00F27"/>
    <w:rsid w:val="00B03C41"/>
    <w:rsid w:val="00B04AAA"/>
    <w:rsid w:val="00B0544D"/>
    <w:rsid w:val="00B060B4"/>
    <w:rsid w:val="00B0670F"/>
    <w:rsid w:val="00B10819"/>
    <w:rsid w:val="00B11104"/>
    <w:rsid w:val="00B13A31"/>
    <w:rsid w:val="00B14285"/>
    <w:rsid w:val="00B142BB"/>
    <w:rsid w:val="00B14656"/>
    <w:rsid w:val="00B200CB"/>
    <w:rsid w:val="00B214F7"/>
    <w:rsid w:val="00B22461"/>
    <w:rsid w:val="00B22C42"/>
    <w:rsid w:val="00B22D29"/>
    <w:rsid w:val="00B2414E"/>
    <w:rsid w:val="00B247A2"/>
    <w:rsid w:val="00B3018A"/>
    <w:rsid w:val="00B30436"/>
    <w:rsid w:val="00B3075A"/>
    <w:rsid w:val="00B30BAD"/>
    <w:rsid w:val="00B335C6"/>
    <w:rsid w:val="00B3439D"/>
    <w:rsid w:val="00B3563C"/>
    <w:rsid w:val="00B36AAA"/>
    <w:rsid w:val="00B37E65"/>
    <w:rsid w:val="00B4074C"/>
    <w:rsid w:val="00B420B3"/>
    <w:rsid w:val="00B420DA"/>
    <w:rsid w:val="00B42687"/>
    <w:rsid w:val="00B42EB1"/>
    <w:rsid w:val="00B43EA8"/>
    <w:rsid w:val="00B44D1D"/>
    <w:rsid w:val="00B452D7"/>
    <w:rsid w:val="00B45CA5"/>
    <w:rsid w:val="00B46502"/>
    <w:rsid w:val="00B46834"/>
    <w:rsid w:val="00B47E45"/>
    <w:rsid w:val="00B53C19"/>
    <w:rsid w:val="00B541AD"/>
    <w:rsid w:val="00B54656"/>
    <w:rsid w:val="00B54B11"/>
    <w:rsid w:val="00B54DA3"/>
    <w:rsid w:val="00B55555"/>
    <w:rsid w:val="00B5784C"/>
    <w:rsid w:val="00B57BED"/>
    <w:rsid w:val="00B57C26"/>
    <w:rsid w:val="00B60E48"/>
    <w:rsid w:val="00B616BA"/>
    <w:rsid w:val="00B633CD"/>
    <w:rsid w:val="00B646B4"/>
    <w:rsid w:val="00B64CE0"/>
    <w:rsid w:val="00B668C0"/>
    <w:rsid w:val="00B66E93"/>
    <w:rsid w:val="00B708C5"/>
    <w:rsid w:val="00B724BA"/>
    <w:rsid w:val="00B7255A"/>
    <w:rsid w:val="00B7266B"/>
    <w:rsid w:val="00B7269B"/>
    <w:rsid w:val="00B72D7D"/>
    <w:rsid w:val="00B742A5"/>
    <w:rsid w:val="00B74934"/>
    <w:rsid w:val="00B75DBC"/>
    <w:rsid w:val="00B765D7"/>
    <w:rsid w:val="00B77425"/>
    <w:rsid w:val="00B77739"/>
    <w:rsid w:val="00B77D29"/>
    <w:rsid w:val="00B80FFA"/>
    <w:rsid w:val="00B82763"/>
    <w:rsid w:val="00B82854"/>
    <w:rsid w:val="00B83206"/>
    <w:rsid w:val="00B836D1"/>
    <w:rsid w:val="00B87639"/>
    <w:rsid w:val="00B8784E"/>
    <w:rsid w:val="00B8793C"/>
    <w:rsid w:val="00B90E0C"/>
    <w:rsid w:val="00B937D5"/>
    <w:rsid w:val="00B94606"/>
    <w:rsid w:val="00B965F2"/>
    <w:rsid w:val="00B96811"/>
    <w:rsid w:val="00B96888"/>
    <w:rsid w:val="00B96F4B"/>
    <w:rsid w:val="00B9759D"/>
    <w:rsid w:val="00B97F62"/>
    <w:rsid w:val="00BA1FE9"/>
    <w:rsid w:val="00BA35B5"/>
    <w:rsid w:val="00BA3E92"/>
    <w:rsid w:val="00BA3F38"/>
    <w:rsid w:val="00BA469A"/>
    <w:rsid w:val="00BA5CD1"/>
    <w:rsid w:val="00BA73FE"/>
    <w:rsid w:val="00BB011D"/>
    <w:rsid w:val="00BB0796"/>
    <w:rsid w:val="00BB0D20"/>
    <w:rsid w:val="00BB1B01"/>
    <w:rsid w:val="00BB233E"/>
    <w:rsid w:val="00BB2A2D"/>
    <w:rsid w:val="00BB2DC8"/>
    <w:rsid w:val="00BB3BFB"/>
    <w:rsid w:val="00BB4781"/>
    <w:rsid w:val="00BB5232"/>
    <w:rsid w:val="00BB5F80"/>
    <w:rsid w:val="00BB7000"/>
    <w:rsid w:val="00BC352A"/>
    <w:rsid w:val="00BC3FC6"/>
    <w:rsid w:val="00BC51D9"/>
    <w:rsid w:val="00BC5560"/>
    <w:rsid w:val="00BC6395"/>
    <w:rsid w:val="00BC6970"/>
    <w:rsid w:val="00BC6D34"/>
    <w:rsid w:val="00BD0099"/>
    <w:rsid w:val="00BD06FB"/>
    <w:rsid w:val="00BD0B4C"/>
    <w:rsid w:val="00BD2A4C"/>
    <w:rsid w:val="00BD2A8B"/>
    <w:rsid w:val="00BD3973"/>
    <w:rsid w:val="00BD3FE4"/>
    <w:rsid w:val="00BD460B"/>
    <w:rsid w:val="00BD48C4"/>
    <w:rsid w:val="00BD51AA"/>
    <w:rsid w:val="00BD6C9A"/>
    <w:rsid w:val="00BD7890"/>
    <w:rsid w:val="00BE0DBC"/>
    <w:rsid w:val="00BE0FC7"/>
    <w:rsid w:val="00BE0FD9"/>
    <w:rsid w:val="00BE2486"/>
    <w:rsid w:val="00BE2BDE"/>
    <w:rsid w:val="00BE4351"/>
    <w:rsid w:val="00BE4B30"/>
    <w:rsid w:val="00BE4E96"/>
    <w:rsid w:val="00BE5498"/>
    <w:rsid w:val="00BE5BC8"/>
    <w:rsid w:val="00BE61B2"/>
    <w:rsid w:val="00BE7043"/>
    <w:rsid w:val="00BE74ED"/>
    <w:rsid w:val="00BE7E4D"/>
    <w:rsid w:val="00BF14C2"/>
    <w:rsid w:val="00BF4099"/>
    <w:rsid w:val="00BF4BF0"/>
    <w:rsid w:val="00BF4E31"/>
    <w:rsid w:val="00BF5478"/>
    <w:rsid w:val="00BF6DA4"/>
    <w:rsid w:val="00C010AD"/>
    <w:rsid w:val="00C0279B"/>
    <w:rsid w:val="00C0325B"/>
    <w:rsid w:val="00C03504"/>
    <w:rsid w:val="00C03ADA"/>
    <w:rsid w:val="00C06ABF"/>
    <w:rsid w:val="00C1200C"/>
    <w:rsid w:val="00C1204A"/>
    <w:rsid w:val="00C1373F"/>
    <w:rsid w:val="00C16861"/>
    <w:rsid w:val="00C16A4C"/>
    <w:rsid w:val="00C17462"/>
    <w:rsid w:val="00C20CB8"/>
    <w:rsid w:val="00C20EBB"/>
    <w:rsid w:val="00C21697"/>
    <w:rsid w:val="00C23FFC"/>
    <w:rsid w:val="00C25A4D"/>
    <w:rsid w:val="00C26346"/>
    <w:rsid w:val="00C30B74"/>
    <w:rsid w:val="00C3170D"/>
    <w:rsid w:val="00C31933"/>
    <w:rsid w:val="00C32934"/>
    <w:rsid w:val="00C32E0F"/>
    <w:rsid w:val="00C330FF"/>
    <w:rsid w:val="00C335EB"/>
    <w:rsid w:val="00C337D7"/>
    <w:rsid w:val="00C369AA"/>
    <w:rsid w:val="00C36C9A"/>
    <w:rsid w:val="00C40318"/>
    <w:rsid w:val="00C40665"/>
    <w:rsid w:val="00C41A7D"/>
    <w:rsid w:val="00C41BDA"/>
    <w:rsid w:val="00C41CB5"/>
    <w:rsid w:val="00C4352D"/>
    <w:rsid w:val="00C43BB4"/>
    <w:rsid w:val="00C44B25"/>
    <w:rsid w:val="00C45D7A"/>
    <w:rsid w:val="00C462C5"/>
    <w:rsid w:val="00C50504"/>
    <w:rsid w:val="00C50BE8"/>
    <w:rsid w:val="00C514B4"/>
    <w:rsid w:val="00C51602"/>
    <w:rsid w:val="00C51746"/>
    <w:rsid w:val="00C51BBB"/>
    <w:rsid w:val="00C53F2B"/>
    <w:rsid w:val="00C54F46"/>
    <w:rsid w:val="00C559E2"/>
    <w:rsid w:val="00C55AD4"/>
    <w:rsid w:val="00C55BB3"/>
    <w:rsid w:val="00C569A9"/>
    <w:rsid w:val="00C56FD5"/>
    <w:rsid w:val="00C574ED"/>
    <w:rsid w:val="00C575C5"/>
    <w:rsid w:val="00C57859"/>
    <w:rsid w:val="00C57A17"/>
    <w:rsid w:val="00C57C79"/>
    <w:rsid w:val="00C600F2"/>
    <w:rsid w:val="00C601BF"/>
    <w:rsid w:val="00C60922"/>
    <w:rsid w:val="00C61717"/>
    <w:rsid w:val="00C62252"/>
    <w:rsid w:val="00C6278F"/>
    <w:rsid w:val="00C63122"/>
    <w:rsid w:val="00C6388B"/>
    <w:rsid w:val="00C64CFF"/>
    <w:rsid w:val="00C64DDE"/>
    <w:rsid w:val="00C67AAE"/>
    <w:rsid w:val="00C7014A"/>
    <w:rsid w:val="00C7039D"/>
    <w:rsid w:val="00C70704"/>
    <w:rsid w:val="00C72CEA"/>
    <w:rsid w:val="00C72EC4"/>
    <w:rsid w:val="00C73EFB"/>
    <w:rsid w:val="00C740CF"/>
    <w:rsid w:val="00C74F14"/>
    <w:rsid w:val="00C7531F"/>
    <w:rsid w:val="00C76186"/>
    <w:rsid w:val="00C770EC"/>
    <w:rsid w:val="00C77622"/>
    <w:rsid w:val="00C808A7"/>
    <w:rsid w:val="00C80ED3"/>
    <w:rsid w:val="00C81815"/>
    <w:rsid w:val="00C83052"/>
    <w:rsid w:val="00C83AFA"/>
    <w:rsid w:val="00C83F4A"/>
    <w:rsid w:val="00C847CB"/>
    <w:rsid w:val="00C8487A"/>
    <w:rsid w:val="00C85187"/>
    <w:rsid w:val="00C86B51"/>
    <w:rsid w:val="00C870FE"/>
    <w:rsid w:val="00C87166"/>
    <w:rsid w:val="00C872CF"/>
    <w:rsid w:val="00C901C6"/>
    <w:rsid w:val="00C91043"/>
    <w:rsid w:val="00C92062"/>
    <w:rsid w:val="00C92BFD"/>
    <w:rsid w:val="00C92D63"/>
    <w:rsid w:val="00C939B3"/>
    <w:rsid w:val="00C945BE"/>
    <w:rsid w:val="00C95470"/>
    <w:rsid w:val="00C9554F"/>
    <w:rsid w:val="00C95A39"/>
    <w:rsid w:val="00C96E09"/>
    <w:rsid w:val="00C96E2F"/>
    <w:rsid w:val="00CA262F"/>
    <w:rsid w:val="00CA2F64"/>
    <w:rsid w:val="00CA3159"/>
    <w:rsid w:val="00CA3644"/>
    <w:rsid w:val="00CA3F66"/>
    <w:rsid w:val="00CA4B0D"/>
    <w:rsid w:val="00CA5C4A"/>
    <w:rsid w:val="00CA71C9"/>
    <w:rsid w:val="00CA763D"/>
    <w:rsid w:val="00CA7A9F"/>
    <w:rsid w:val="00CB0AB7"/>
    <w:rsid w:val="00CB16D0"/>
    <w:rsid w:val="00CB237F"/>
    <w:rsid w:val="00CB306F"/>
    <w:rsid w:val="00CB357A"/>
    <w:rsid w:val="00CB364C"/>
    <w:rsid w:val="00CB390D"/>
    <w:rsid w:val="00CB455D"/>
    <w:rsid w:val="00CB5B87"/>
    <w:rsid w:val="00CB6E06"/>
    <w:rsid w:val="00CB6E79"/>
    <w:rsid w:val="00CB7589"/>
    <w:rsid w:val="00CB7CD8"/>
    <w:rsid w:val="00CC00BC"/>
    <w:rsid w:val="00CC0D05"/>
    <w:rsid w:val="00CC1B05"/>
    <w:rsid w:val="00CC1E34"/>
    <w:rsid w:val="00CC2B19"/>
    <w:rsid w:val="00CC2C5E"/>
    <w:rsid w:val="00CC34F8"/>
    <w:rsid w:val="00CC41B8"/>
    <w:rsid w:val="00CC4E65"/>
    <w:rsid w:val="00CC53FC"/>
    <w:rsid w:val="00CC5E3F"/>
    <w:rsid w:val="00CC6A4F"/>
    <w:rsid w:val="00CC6BDC"/>
    <w:rsid w:val="00CC7B71"/>
    <w:rsid w:val="00CD5912"/>
    <w:rsid w:val="00CD5960"/>
    <w:rsid w:val="00CD6A55"/>
    <w:rsid w:val="00CD6DD1"/>
    <w:rsid w:val="00CD762B"/>
    <w:rsid w:val="00CE1B7B"/>
    <w:rsid w:val="00CE2504"/>
    <w:rsid w:val="00CE335A"/>
    <w:rsid w:val="00CE359F"/>
    <w:rsid w:val="00CE7EA1"/>
    <w:rsid w:val="00CF0B6D"/>
    <w:rsid w:val="00CF2BE2"/>
    <w:rsid w:val="00CF3C1E"/>
    <w:rsid w:val="00CF5078"/>
    <w:rsid w:val="00CF5CBD"/>
    <w:rsid w:val="00CF6476"/>
    <w:rsid w:val="00CF7181"/>
    <w:rsid w:val="00D000D5"/>
    <w:rsid w:val="00D011BD"/>
    <w:rsid w:val="00D01A8C"/>
    <w:rsid w:val="00D01FBD"/>
    <w:rsid w:val="00D028E4"/>
    <w:rsid w:val="00D02D31"/>
    <w:rsid w:val="00D04575"/>
    <w:rsid w:val="00D04EFC"/>
    <w:rsid w:val="00D063E4"/>
    <w:rsid w:val="00D069B0"/>
    <w:rsid w:val="00D06A8A"/>
    <w:rsid w:val="00D07034"/>
    <w:rsid w:val="00D1235B"/>
    <w:rsid w:val="00D12FE9"/>
    <w:rsid w:val="00D13331"/>
    <w:rsid w:val="00D134D2"/>
    <w:rsid w:val="00D143D2"/>
    <w:rsid w:val="00D1608D"/>
    <w:rsid w:val="00D16283"/>
    <w:rsid w:val="00D16492"/>
    <w:rsid w:val="00D169C0"/>
    <w:rsid w:val="00D21EF6"/>
    <w:rsid w:val="00D2207B"/>
    <w:rsid w:val="00D2292C"/>
    <w:rsid w:val="00D22F6B"/>
    <w:rsid w:val="00D233E5"/>
    <w:rsid w:val="00D23735"/>
    <w:rsid w:val="00D244A3"/>
    <w:rsid w:val="00D247AA"/>
    <w:rsid w:val="00D252B8"/>
    <w:rsid w:val="00D30628"/>
    <w:rsid w:val="00D31B0C"/>
    <w:rsid w:val="00D32D51"/>
    <w:rsid w:val="00D33E3C"/>
    <w:rsid w:val="00D33EC0"/>
    <w:rsid w:val="00D34105"/>
    <w:rsid w:val="00D35E8E"/>
    <w:rsid w:val="00D35F84"/>
    <w:rsid w:val="00D36A12"/>
    <w:rsid w:val="00D400B0"/>
    <w:rsid w:val="00D4101F"/>
    <w:rsid w:val="00D41DF7"/>
    <w:rsid w:val="00D42BF7"/>
    <w:rsid w:val="00D42D47"/>
    <w:rsid w:val="00D42E52"/>
    <w:rsid w:val="00D43761"/>
    <w:rsid w:val="00D44DC7"/>
    <w:rsid w:val="00D451E5"/>
    <w:rsid w:val="00D454A7"/>
    <w:rsid w:val="00D45507"/>
    <w:rsid w:val="00D4685E"/>
    <w:rsid w:val="00D50385"/>
    <w:rsid w:val="00D50E5B"/>
    <w:rsid w:val="00D5227E"/>
    <w:rsid w:val="00D52F45"/>
    <w:rsid w:val="00D53AC5"/>
    <w:rsid w:val="00D53BAE"/>
    <w:rsid w:val="00D53DBD"/>
    <w:rsid w:val="00D53FE9"/>
    <w:rsid w:val="00D54456"/>
    <w:rsid w:val="00D544DB"/>
    <w:rsid w:val="00D5583F"/>
    <w:rsid w:val="00D569B7"/>
    <w:rsid w:val="00D578B3"/>
    <w:rsid w:val="00D57CF4"/>
    <w:rsid w:val="00D60821"/>
    <w:rsid w:val="00D60A72"/>
    <w:rsid w:val="00D60FCC"/>
    <w:rsid w:val="00D61F1B"/>
    <w:rsid w:val="00D62017"/>
    <w:rsid w:val="00D629E8"/>
    <w:rsid w:val="00D651EB"/>
    <w:rsid w:val="00D659DD"/>
    <w:rsid w:val="00D66AF9"/>
    <w:rsid w:val="00D66E31"/>
    <w:rsid w:val="00D7031B"/>
    <w:rsid w:val="00D7170E"/>
    <w:rsid w:val="00D722E2"/>
    <w:rsid w:val="00D73BB2"/>
    <w:rsid w:val="00D7685D"/>
    <w:rsid w:val="00D80805"/>
    <w:rsid w:val="00D861DC"/>
    <w:rsid w:val="00D87C21"/>
    <w:rsid w:val="00D901E1"/>
    <w:rsid w:val="00D90F45"/>
    <w:rsid w:val="00D9107F"/>
    <w:rsid w:val="00D91D98"/>
    <w:rsid w:val="00D920B9"/>
    <w:rsid w:val="00D92548"/>
    <w:rsid w:val="00D926B8"/>
    <w:rsid w:val="00D92921"/>
    <w:rsid w:val="00D9332F"/>
    <w:rsid w:val="00D936AD"/>
    <w:rsid w:val="00D94C82"/>
    <w:rsid w:val="00D95E9F"/>
    <w:rsid w:val="00D96518"/>
    <w:rsid w:val="00D97088"/>
    <w:rsid w:val="00D97A3F"/>
    <w:rsid w:val="00D97AB6"/>
    <w:rsid w:val="00D97E90"/>
    <w:rsid w:val="00DA079E"/>
    <w:rsid w:val="00DA2076"/>
    <w:rsid w:val="00DA2125"/>
    <w:rsid w:val="00DA32F7"/>
    <w:rsid w:val="00DA3687"/>
    <w:rsid w:val="00DA781C"/>
    <w:rsid w:val="00DB00B1"/>
    <w:rsid w:val="00DB1431"/>
    <w:rsid w:val="00DB1F30"/>
    <w:rsid w:val="00DB26CD"/>
    <w:rsid w:val="00DB35D3"/>
    <w:rsid w:val="00DB53FC"/>
    <w:rsid w:val="00DB548A"/>
    <w:rsid w:val="00DB6B3A"/>
    <w:rsid w:val="00DB7755"/>
    <w:rsid w:val="00DB7F62"/>
    <w:rsid w:val="00DC112D"/>
    <w:rsid w:val="00DC18CB"/>
    <w:rsid w:val="00DC196D"/>
    <w:rsid w:val="00DC1BBB"/>
    <w:rsid w:val="00DC30C0"/>
    <w:rsid w:val="00DC35B7"/>
    <w:rsid w:val="00DC5D39"/>
    <w:rsid w:val="00DC5FA9"/>
    <w:rsid w:val="00DC63AA"/>
    <w:rsid w:val="00DC6C49"/>
    <w:rsid w:val="00DC7D64"/>
    <w:rsid w:val="00DD0026"/>
    <w:rsid w:val="00DD0130"/>
    <w:rsid w:val="00DD078F"/>
    <w:rsid w:val="00DD0D0B"/>
    <w:rsid w:val="00DD1B28"/>
    <w:rsid w:val="00DD1EAB"/>
    <w:rsid w:val="00DD35EC"/>
    <w:rsid w:val="00DD37B0"/>
    <w:rsid w:val="00DD3DCB"/>
    <w:rsid w:val="00DD6939"/>
    <w:rsid w:val="00DD6A50"/>
    <w:rsid w:val="00DE01C1"/>
    <w:rsid w:val="00DE0439"/>
    <w:rsid w:val="00DE09B8"/>
    <w:rsid w:val="00DE13CB"/>
    <w:rsid w:val="00DE152D"/>
    <w:rsid w:val="00DE161E"/>
    <w:rsid w:val="00DE1CBC"/>
    <w:rsid w:val="00DE398A"/>
    <w:rsid w:val="00DE4C57"/>
    <w:rsid w:val="00DE58EA"/>
    <w:rsid w:val="00DE6196"/>
    <w:rsid w:val="00DE6CE8"/>
    <w:rsid w:val="00DE6D1C"/>
    <w:rsid w:val="00DE7B11"/>
    <w:rsid w:val="00DE7E70"/>
    <w:rsid w:val="00DF0E83"/>
    <w:rsid w:val="00DF1D5D"/>
    <w:rsid w:val="00DF2AF1"/>
    <w:rsid w:val="00DF2E7B"/>
    <w:rsid w:val="00DF3476"/>
    <w:rsid w:val="00DF3514"/>
    <w:rsid w:val="00DF45A4"/>
    <w:rsid w:val="00DF4ED2"/>
    <w:rsid w:val="00DF4F1D"/>
    <w:rsid w:val="00DF4F22"/>
    <w:rsid w:val="00DF6604"/>
    <w:rsid w:val="00E00922"/>
    <w:rsid w:val="00E0396B"/>
    <w:rsid w:val="00E03F3F"/>
    <w:rsid w:val="00E03FD7"/>
    <w:rsid w:val="00E04936"/>
    <w:rsid w:val="00E108E2"/>
    <w:rsid w:val="00E11599"/>
    <w:rsid w:val="00E12F02"/>
    <w:rsid w:val="00E13CDF"/>
    <w:rsid w:val="00E16004"/>
    <w:rsid w:val="00E16CEB"/>
    <w:rsid w:val="00E1749F"/>
    <w:rsid w:val="00E17A20"/>
    <w:rsid w:val="00E17B09"/>
    <w:rsid w:val="00E20389"/>
    <w:rsid w:val="00E208F8"/>
    <w:rsid w:val="00E21AE7"/>
    <w:rsid w:val="00E24122"/>
    <w:rsid w:val="00E241F8"/>
    <w:rsid w:val="00E27263"/>
    <w:rsid w:val="00E27456"/>
    <w:rsid w:val="00E2771B"/>
    <w:rsid w:val="00E27B26"/>
    <w:rsid w:val="00E27CFB"/>
    <w:rsid w:val="00E30A20"/>
    <w:rsid w:val="00E31E12"/>
    <w:rsid w:val="00E324AB"/>
    <w:rsid w:val="00E32FD9"/>
    <w:rsid w:val="00E32FE9"/>
    <w:rsid w:val="00E33B68"/>
    <w:rsid w:val="00E33D95"/>
    <w:rsid w:val="00E353B5"/>
    <w:rsid w:val="00E3559F"/>
    <w:rsid w:val="00E36313"/>
    <w:rsid w:val="00E36C0E"/>
    <w:rsid w:val="00E3754D"/>
    <w:rsid w:val="00E40E38"/>
    <w:rsid w:val="00E4423E"/>
    <w:rsid w:val="00E44FC9"/>
    <w:rsid w:val="00E452DF"/>
    <w:rsid w:val="00E4651B"/>
    <w:rsid w:val="00E4797E"/>
    <w:rsid w:val="00E47AA2"/>
    <w:rsid w:val="00E50ACF"/>
    <w:rsid w:val="00E51EC1"/>
    <w:rsid w:val="00E53B35"/>
    <w:rsid w:val="00E5648D"/>
    <w:rsid w:val="00E60568"/>
    <w:rsid w:val="00E60CC1"/>
    <w:rsid w:val="00E61EE0"/>
    <w:rsid w:val="00E62B68"/>
    <w:rsid w:val="00E63164"/>
    <w:rsid w:val="00E63B0E"/>
    <w:rsid w:val="00E63E37"/>
    <w:rsid w:val="00E67AA0"/>
    <w:rsid w:val="00E70605"/>
    <w:rsid w:val="00E708CD"/>
    <w:rsid w:val="00E718B5"/>
    <w:rsid w:val="00E71B74"/>
    <w:rsid w:val="00E7208A"/>
    <w:rsid w:val="00E72903"/>
    <w:rsid w:val="00E72D68"/>
    <w:rsid w:val="00E73255"/>
    <w:rsid w:val="00E73C07"/>
    <w:rsid w:val="00E75533"/>
    <w:rsid w:val="00E7762C"/>
    <w:rsid w:val="00E81DBE"/>
    <w:rsid w:val="00E82177"/>
    <w:rsid w:val="00E8255A"/>
    <w:rsid w:val="00E83BD9"/>
    <w:rsid w:val="00E83D9A"/>
    <w:rsid w:val="00E83FDA"/>
    <w:rsid w:val="00E84826"/>
    <w:rsid w:val="00E85D71"/>
    <w:rsid w:val="00E86B6C"/>
    <w:rsid w:val="00E87187"/>
    <w:rsid w:val="00E90811"/>
    <w:rsid w:val="00E90BCD"/>
    <w:rsid w:val="00E93F16"/>
    <w:rsid w:val="00E95336"/>
    <w:rsid w:val="00E95EEF"/>
    <w:rsid w:val="00E966C8"/>
    <w:rsid w:val="00E97307"/>
    <w:rsid w:val="00EA066E"/>
    <w:rsid w:val="00EA3427"/>
    <w:rsid w:val="00EA3C23"/>
    <w:rsid w:val="00EA46E2"/>
    <w:rsid w:val="00EA5E01"/>
    <w:rsid w:val="00EA77BA"/>
    <w:rsid w:val="00EA7873"/>
    <w:rsid w:val="00EB0074"/>
    <w:rsid w:val="00EB04C6"/>
    <w:rsid w:val="00EB1462"/>
    <w:rsid w:val="00EB2814"/>
    <w:rsid w:val="00EB2F7E"/>
    <w:rsid w:val="00EB4CB9"/>
    <w:rsid w:val="00EB4E38"/>
    <w:rsid w:val="00EB50E1"/>
    <w:rsid w:val="00EB58AB"/>
    <w:rsid w:val="00EB6F83"/>
    <w:rsid w:val="00EB74EB"/>
    <w:rsid w:val="00EB76E1"/>
    <w:rsid w:val="00EC0721"/>
    <w:rsid w:val="00EC1F0D"/>
    <w:rsid w:val="00EC2197"/>
    <w:rsid w:val="00EC2A26"/>
    <w:rsid w:val="00EC3BDE"/>
    <w:rsid w:val="00EC591D"/>
    <w:rsid w:val="00EC7137"/>
    <w:rsid w:val="00EC7394"/>
    <w:rsid w:val="00EC77AE"/>
    <w:rsid w:val="00ED1CF6"/>
    <w:rsid w:val="00ED3FE7"/>
    <w:rsid w:val="00ED42A3"/>
    <w:rsid w:val="00ED4DCE"/>
    <w:rsid w:val="00ED5D0B"/>
    <w:rsid w:val="00ED63B7"/>
    <w:rsid w:val="00ED63D5"/>
    <w:rsid w:val="00ED6C0C"/>
    <w:rsid w:val="00EE03BA"/>
    <w:rsid w:val="00EE08E6"/>
    <w:rsid w:val="00EE1A89"/>
    <w:rsid w:val="00EE30BE"/>
    <w:rsid w:val="00EE341A"/>
    <w:rsid w:val="00EE3B3A"/>
    <w:rsid w:val="00EE4C5E"/>
    <w:rsid w:val="00EE5EE3"/>
    <w:rsid w:val="00EE607C"/>
    <w:rsid w:val="00EE7974"/>
    <w:rsid w:val="00EF09B3"/>
    <w:rsid w:val="00EF1842"/>
    <w:rsid w:val="00EF1F8C"/>
    <w:rsid w:val="00EF2343"/>
    <w:rsid w:val="00EF74AF"/>
    <w:rsid w:val="00F02614"/>
    <w:rsid w:val="00F05FC1"/>
    <w:rsid w:val="00F07667"/>
    <w:rsid w:val="00F07831"/>
    <w:rsid w:val="00F1052D"/>
    <w:rsid w:val="00F107EF"/>
    <w:rsid w:val="00F123C6"/>
    <w:rsid w:val="00F12E5A"/>
    <w:rsid w:val="00F12F64"/>
    <w:rsid w:val="00F12F9F"/>
    <w:rsid w:val="00F13015"/>
    <w:rsid w:val="00F1307B"/>
    <w:rsid w:val="00F14DF0"/>
    <w:rsid w:val="00F15364"/>
    <w:rsid w:val="00F177C4"/>
    <w:rsid w:val="00F17CF2"/>
    <w:rsid w:val="00F20E52"/>
    <w:rsid w:val="00F21115"/>
    <w:rsid w:val="00F2274F"/>
    <w:rsid w:val="00F22DEE"/>
    <w:rsid w:val="00F2337A"/>
    <w:rsid w:val="00F241FF"/>
    <w:rsid w:val="00F26286"/>
    <w:rsid w:val="00F262E9"/>
    <w:rsid w:val="00F268C7"/>
    <w:rsid w:val="00F26C73"/>
    <w:rsid w:val="00F27112"/>
    <w:rsid w:val="00F27142"/>
    <w:rsid w:val="00F2740B"/>
    <w:rsid w:val="00F2747F"/>
    <w:rsid w:val="00F3268A"/>
    <w:rsid w:val="00F33276"/>
    <w:rsid w:val="00F3328C"/>
    <w:rsid w:val="00F33658"/>
    <w:rsid w:val="00F33B49"/>
    <w:rsid w:val="00F34478"/>
    <w:rsid w:val="00F350E8"/>
    <w:rsid w:val="00F35474"/>
    <w:rsid w:val="00F373CA"/>
    <w:rsid w:val="00F37EFD"/>
    <w:rsid w:val="00F4112E"/>
    <w:rsid w:val="00F412A1"/>
    <w:rsid w:val="00F41993"/>
    <w:rsid w:val="00F41DE1"/>
    <w:rsid w:val="00F42768"/>
    <w:rsid w:val="00F43612"/>
    <w:rsid w:val="00F4550B"/>
    <w:rsid w:val="00F45E2E"/>
    <w:rsid w:val="00F4619C"/>
    <w:rsid w:val="00F479E8"/>
    <w:rsid w:val="00F5001E"/>
    <w:rsid w:val="00F502D5"/>
    <w:rsid w:val="00F51783"/>
    <w:rsid w:val="00F517EF"/>
    <w:rsid w:val="00F51BD8"/>
    <w:rsid w:val="00F51C55"/>
    <w:rsid w:val="00F51CFB"/>
    <w:rsid w:val="00F52033"/>
    <w:rsid w:val="00F53E20"/>
    <w:rsid w:val="00F55097"/>
    <w:rsid w:val="00F5568C"/>
    <w:rsid w:val="00F55E68"/>
    <w:rsid w:val="00F56208"/>
    <w:rsid w:val="00F565EE"/>
    <w:rsid w:val="00F56625"/>
    <w:rsid w:val="00F579F8"/>
    <w:rsid w:val="00F61979"/>
    <w:rsid w:val="00F61CEF"/>
    <w:rsid w:val="00F61E7C"/>
    <w:rsid w:val="00F627EC"/>
    <w:rsid w:val="00F62C91"/>
    <w:rsid w:val="00F63590"/>
    <w:rsid w:val="00F63660"/>
    <w:rsid w:val="00F66AA1"/>
    <w:rsid w:val="00F67EA0"/>
    <w:rsid w:val="00F72869"/>
    <w:rsid w:val="00F738CD"/>
    <w:rsid w:val="00F73AAA"/>
    <w:rsid w:val="00F7406E"/>
    <w:rsid w:val="00F74BF9"/>
    <w:rsid w:val="00F754A4"/>
    <w:rsid w:val="00F75AC7"/>
    <w:rsid w:val="00F77A5F"/>
    <w:rsid w:val="00F77BD2"/>
    <w:rsid w:val="00F77F04"/>
    <w:rsid w:val="00F8037F"/>
    <w:rsid w:val="00F80B38"/>
    <w:rsid w:val="00F81248"/>
    <w:rsid w:val="00F8158A"/>
    <w:rsid w:val="00F81951"/>
    <w:rsid w:val="00F81A8B"/>
    <w:rsid w:val="00F8324C"/>
    <w:rsid w:val="00F83447"/>
    <w:rsid w:val="00F84D69"/>
    <w:rsid w:val="00F85810"/>
    <w:rsid w:val="00F867D3"/>
    <w:rsid w:val="00F87276"/>
    <w:rsid w:val="00F9122A"/>
    <w:rsid w:val="00F91A8F"/>
    <w:rsid w:val="00F93B9D"/>
    <w:rsid w:val="00F93E15"/>
    <w:rsid w:val="00F95068"/>
    <w:rsid w:val="00F97A4E"/>
    <w:rsid w:val="00FA01DD"/>
    <w:rsid w:val="00FA1911"/>
    <w:rsid w:val="00FA2AEE"/>
    <w:rsid w:val="00FA4D97"/>
    <w:rsid w:val="00FA618D"/>
    <w:rsid w:val="00FA69DA"/>
    <w:rsid w:val="00FA6C29"/>
    <w:rsid w:val="00FB04DC"/>
    <w:rsid w:val="00FB1923"/>
    <w:rsid w:val="00FB27A7"/>
    <w:rsid w:val="00FB394C"/>
    <w:rsid w:val="00FB4D6C"/>
    <w:rsid w:val="00FB6573"/>
    <w:rsid w:val="00FB6857"/>
    <w:rsid w:val="00FB6B11"/>
    <w:rsid w:val="00FB6DE9"/>
    <w:rsid w:val="00FB70F8"/>
    <w:rsid w:val="00FB771D"/>
    <w:rsid w:val="00FB79C9"/>
    <w:rsid w:val="00FC3047"/>
    <w:rsid w:val="00FC5F68"/>
    <w:rsid w:val="00FC6C0A"/>
    <w:rsid w:val="00FC6DDA"/>
    <w:rsid w:val="00FC7684"/>
    <w:rsid w:val="00FC7719"/>
    <w:rsid w:val="00FC799C"/>
    <w:rsid w:val="00FC7F65"/>
    <w:rsid w:val="00FD0155"/>
    <w:rsid w:val="00FD275C"/>
    <w:rsid w:val="00FD3FC0"/>
    <w:rsid w:val="00FD4E3F"/>
    <w:rsid w:val="00FD52F1"/>
    <w:rsid w:val="00FD58C3"/>
    <w:rsid w:val="00FD5E8C"/>
    <w:rsid w:val="00FD74E2"/>
    <w:rsid w:val="00FE059D"/>
    <w:rsid w:val="00FE095B"/>
    <w:rsid w:val="00FE0B44"/>
    <w:rsid w:val="00FE260F"/>
    <w:rsid w:val="00FE4C06"/>
    <w:rsid w:val="00FE57CD"/>
    <w:rsid w:val="00FE7155"/>
    <w:rsid w:val="00FE758E"/>
    <w:rsid w:val="00FE76B0"/>
    <w:rsid w:val="00FE7E8D"/>
    <w:rsid w:val="00FF0D2F"/>
    <w:rsid w:val="00FF236E"/>
    <w:rsid w:val="00FF2387"/>
    <w:rsid w:val="00FF365F"/>
    <w:rsid w:val="03A0F307"/>
    <w:rsid w:val="04764539"/>
    <w:rsid w:val="0B6EA16B"/>
    <w:rsid w:val="113A6D48"/>
    <w:rsid w:val="134C81BE"/>
    <w:rsid w:val="157D78D1"/>
    <w:rsid w:val="1F658A01"/>
    <w:rsid w:val="2836FBB5"/>
    <w:rsid w:val="28B01193"/>
    <w:rsid w:val="2A8C8B61"/>
    <w:rsid w:val="34BC5F0A"/>
    <w:rsid w:val="39E76231"/>
    <w:rsid w:val="4A5FE133"/>
    <w:rsid w:val="5026C3B5"/>
    <w:rsid w:val="52665684"/>
    <w:rsid w:val="54887E0C"/>
    <w:rsid w:val="5F8B5590"/>
    <w:rsid w:val="66B9B7D0"/>
    <w:rsid w:val="693E354A"/>
    <w:rsid w:val="6C1F351D"/>
    <w:rsid w:val="6C26B4B7"/>
    <w:rsid w:val="6FE7DCC2"/>
    <w:rsid w:val="7AE08A53"/>
    <w:rsid w:val="7F3BF36B"/>
    <w:rsid w:val="7F46909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F105EF"/>
  <w15:docId w15:val="{66F11B0B-463D-40F6-B4C1-9CCC8A54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468"/>
    <w:pPr>
      <w:widowControl w:val="0"/>
      <w:jc w:val="both"/>
    </w:pPr>
  </w:style>
  <w:style w:type="paragraph" w:styleId="1">
    <w:name w:val="heading 1"/>
    <w:basedOn w:val="a"/>
    <w:next w:val="a"/>
    <w:link w:val="10"/>
    <w:uiPriority w:val="9"/>
    <w:qFormat/>
    <w:rsid w:val="00CD5912"/>
    <w:pPr>
      <w:keepNext/>
      <w:outlineLvl w:val="0"/>
    </w:pPr>
    <w:rPr>
      <w:rFonts w:asciiTheme="majorHAnsi" w:eastAsiaTheme="majorEastAsia" w:hAnsiTheme="majorHAnsi" w:cstheme="majorBidi"/>
      <w:sz w:val="24"/>
      <w:szCs w:val="24"/>
    </w:rPr>
  </w:style>
  <w:style w:type="paragraph" w:styleId="3">
    <w:name w:val="heading 3"/>
    <w:basedOn w:val="a"/>
    <w:link w:val="30"/>
    <w:uiPriority w:val="9"/>
    <w:qFormat/>
    <w:rsid w:val="00267BA1"/>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link w:val="40"/>
    <w:uiPriority w:val="9"/>
    <w:semiHidden/>
    <w:unhideWhenUsed/>
    <w:qFormat/>
    <w:rsid w:val="003A503C"/>
    <w:pPr>
      <w:keepNext/>
      <w:ind w:left="85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07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407D1"/>
    <w:rPr>
      <w:rFonts w:asciiTheme="majorHAnsi" w:eastAsiaTheme="majorEastAsia" w:hAnsiTheme="majorHAnsi" w:cstheme="majorBidi"/>
      <w:sz w:val="18"/>
      <w:szCs w:val="18"/>
    </w:rPr>
  </w:style>
  <w:style w:type="paragraph" w:customStyle="1" w:styleId="CaptionFigure">
    <w:name w:val="Caption Figure"/>
    <w:basedOn w:val="a5"/>
    <w:next w:val="a"/>
    <w:rsid w:val="007407D1"/>
    <w:pPr>
      <w:keepNext/>
      <w:keepLines/>
      <w:widowControl/>
      <w:spacing w:before="120" w:after="120"/>
      <w:ind w:left="2727" w:hanging="2727"/>
      <w:jc w:val="left"/>
    </w:pPr>
    <w:rPr>
      <w:rFonts w:ascii="Times New Roman" w:eastAsia="ＭＳ 明朝" w:hAnsi="Times New Roman" w:cs="Times New Roman"/>
      <w:kern w:val="0"/>
      <w:sz w:val="24"/>
      <w:szCs w:val="20"/>
    </w:rPr>
  </w:style>
  <w:style w:type="paragraph" w:styleId="a5">
    <w:name w:val="caption"/>
    <w:basedOn w:val="a"/>
    <w:next w:val="a"/>
    <w:uiPriority w:val="35"/>
    <w:semiHidden/>
    <w:unhideWhenUsed/>
    <w:qFormat/>
    <w:rsid w:val="007407D1"/>
    <w:rPr>
      <w:b/>
      <w:bCs/>
      <w:szCs w:val="21"/>
    </w:rPr>
  </w:style>
  <w:style w:type="paragraph" w:customStyle="1" w:styleId="TableNoteInfo">
    <w:name w:val="Table Note Info"/>
    <w:basedOn w:val="a"/>
    <w:rsid w:val="007407D1"/>
    <w:pPr>
      <w:widowControl/>
      <w:tabs>
        <w:tab w:val="left" w:pos="216"/>
      </w:tabs>
      <w:spacing w:line="260" w:lineRule="exact"/>
      <w:ind w:left="216" w:hanging="216"/>
      <w:jc w:val="left"/>
    </w:pPr>
    <w:rPr>
      <w:rFonts w:ascii="Times New Roman" w:eastAsia="ＭＳ 明朝" w:hAnsi="Times New Roman" w:cs="Times New Roman"/>
      <w:kern w:val="0"/>
      <w:sz w:val="18"/>
      <w:szCs w:val="20"/>
      <w:lang w:eastAsia="en-US"/>
    </w:rPr>
  </w:style>
  <w:style w:type="paragraph" w:customStyle="1" w:styleId="CaptionTable">
    <w:name w:val="Caption Table"/>
    <w:basedOn w:val="a5"/>
    <w:next w:val="a"/>
    <w:rsid w:val="00E71B74"/>
    <w:pPr>
      <w:keepNext/>
      <w:keepLines/>
      <w:widowControl/>
      <w:spacing w:before="120" w:after="120"/>
      <w:ind w:left="2727" w:hanging="2727"/>
      <w:jc w:val="left"/>
    </w:pPr>
    <w:rPr>
      <w:rFonts w:ascii="Times New Roman" w:eastAsia="ＭＳ 明朝" w:hAnsi="Times New Roman" w:cs="Times New Roman"/>
      <w:kern w:val="0"/>
      <w:sz w:val="24"/>
      <w:szCs w:val="20"/>
    </w:rPr>
  </w:style>
  <w:style w:type="paragraph" w:customStyle="1" w:styleId="TableText">
    <w:name w:val="TableText"/>
    <w:rsid w:val="00E71B74"/>
    <w:pPr>
      <w:spacing w:line="260" w:lineRule="exact"/>
    </w:pPr>
    <w:rPr>
      <w:rFonts w:ascii="Times New Roman" w:eastAsia="ＭＳ 明朝" w:hAnsi="Times New Roman" w:cs="Times New Roman"/>
      <w:kern w:val="0"/>
      <w:sz w:val="20"/>
      <w:szCs w:val="20"/>
      <w:lang w:eastAsia="en-US"/>
    </w:rPr>
  </w:style>
  <w:style w:type="paragraph" w:customStyle="1" w:styleId="TableTextColHead">
    <w:name w:val="TableText Col Head"/>
    <w:rsid w:val="00E71B74"/>
    <w:pPr>
      <w:keepNext/>
      <w:keepLines/>
      <w:spacing w:line="260" w:lineRule="exact"/>
      <w:jc w:val="center"/>
    </w:pPr>
    <w:rPr>
      <w:rFonts w:ascii="Times New Roman" w:eastAsia="ＭＳ 明朝" w:hAnsi="Times New Roman" w:cs="Times New Roman"/>
      <w:b/>
      <w:kern w:val="0"/>
      <w:sz w:val="20"/>
      <w:szCs w:val="20"/>
    </w:rPr>
  </w:style>
  <w:style w:type="table" w:styleId="a6">
    <w:name w:val="Table Grid"/>
    <w:basedOn w:val="a1"/>
    <w:rsid w:val="00E71B74"/>
    <w:pPr>
      <w:widowControl w:val="0"/>
    </w:pPr>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link w:val="Paragraph0"/>
    <w:rsid w:val="00E71B74"/>
    <w:pPr>
      <w:spacing w:before="120" w:after="120" w:line="300" w:lineRule="auto"/>
    </w:pPr>
    <w:rPr>
      <w:rFonts w:ascii="Times New Roman" w:eastAsia="ＭＳ 明朝" w:hAnsi="Times New Roman" w:cs="Times New Roman"/>
      <w:kern w:val="0"/>
      <w:sz w:val="24"/>
      <w:szCs w:val="24"/>
    </w:rPr>
  </w:style>
  <w:style w:type="character" w:customStyle="1" w:styleId="Paragraph0">
    <w:name w:val="Paragraph (文字)"/>
    <w:basedOn w:val="a0"/>
    <w:link w:val="Paragraph"/>
    <w:rsid w:val="00E71B74"/>
    <w:rPr>
      <w:rFonts w:ascii="Times New Roman" w:eastAsia="ＭＳ 明朝" w:hAnsi="Times New Roman" w:cs="Times New Roman"/>
      <w:kern w:val="0"/>
      <w:sz w:val="24"/>
      <w:szCs w:val="24"/>
    </w:rPr>
  </w:style>
  <w:style w:type="paragraph" w:styleId="a7">
    <w:name w:val="header"/>
    <w:basedOn w:val="a"/>
    <w:link w:val="a8"/>
    <w:uiPriority w:val="99"/>
    <w:unhideWhenUsed/>
    <w:rsid w:val="009C614C"/>
    <w:pPr>
      <w:tabs>
        <w:tab w:val="center" w:pos="4252"/>
        <w:tab w:val="right" w:pos="8504"/>
      </w:tabs>
      <w:snapToGrid w:val="0"/>
    </w:pPr>
  </w:style>
  <w:style w:type="character" w:customStyle="1" w:styleId="a8">
    <w:name w:val="ヘッダー (文字)"/>
    <w:basedOn w:val="a0"/>
    <w:link w:val="a7"/>
    <w:uiPriority w:val="99"/>
    <w:rsid w:val="009C614C"/>
  </w:style>
  <w:style w:type="paragraph" w:styleId="a9">
    <w:name w:val="footer"/>
    <w:basedOn w:val="a"/>
    <w:link w:val="aa"/>
    <w:uiPriority w:val="99"/>
    <w:unhideWhenUsed/>
    <w:rsid w:val="009C614C"/>
    <w:pPr>
      <w:tabs>
        <w:tab w:val="center" w:pos="4252"/>
        <w:tab w:val="right" w:pos="8504"/>
      </w:tabs>
      <w:snapToGrid w:val="0"/>
    </w:pPr>
  </w:style>
  <w:style w:type="character" w:customStyle="1" w:styleId="aa">
    <w:name w:val="フッター (文字)"/>
    <w:basedOn w:val="a0"/>
    <w:link w:val="a9"/>
    <w:uiPriority w:val="99"/>
    <w:rsid w:val="009C614C"/>
  </w:style>
  <w:style w:type="paragraph" w:styleId="ab">
    <w:name w:val="List Paragraph"/>
    <w:basedOn w:val="a"/>
    <w:uiPriority w:val="34"/>
    <w:qFormat/>
    <w:rsid w:val="00C77622"/>
    <w:pPr>
      <w:ind w:left="840"/>
    </w:pPr>
  </w:style>
  <w:style w:type="character" w:styleId="ac">
    <w:name w:val="annotation reference"/>
    <w:basedOn w:val="a0"/>
    <w:uiPriority w:val="99"/>
    <w:semiHidden/>
    <w:unhideWhenUsed/>
    <w:rsid w:val="00881426"/>
    <w:rPr>
      <w:sz w:val="18"/>
      <w:szCs w:val="18"/>
    </w:rPr>
  </w:style>
  <w:style w:type="paragraph" w:styleId="ad">
    <w:name w:val="annotation text"/>
    <w:basedOn w:val="a"/>
    <w:link w:val="ae"/>
    <w:uiPriority w:val="99"/>
    <w:unhideWhenUsed/>
    <w:rsid w:val="00881426"/>
    <w:pPr>
      <w:jc w:val="left"/>
    </w:pPr>
  </w:style>
  <w:style w:type="character" w:customStyle="1" w:styleId="ae">
    <w:name w:val="コメント文字列 (文字)"/>
    <w:basedOn w:val="a0"/>
    <w:link w:val="ad"/>
    <w:uiPriority w:val="99"/>
    <w:rsid w:val="00881426"/>
  </w:style>
  <w:style w:type="paragraph" w:styleId="af">
    <w:name w:val="annotation subject"/>
    <w:basedOn w:val="ad"/>
    <w:next w:val="ad"/>
    <w:link w:val="af0"/>
    <w:uiPriority w:val="99"/>
    <w:semiHidden/>
    <w:unhideWhenUsed/>
    <w:rsid w:val="00881426"/>
    <w:rPr>
      <w:b/>
      <w:bCs/>
    </w:rPr>
  </w:style>
  <w:style w:type="character" w:customStyle="1" w:styleId="af0">
    <w:name w:val="コメント内容 (文字)"/>
    <w:basedOn w:val="ae"/>
    <w:link w:val="af"/>
    <w:uiPriority w:val="99"/>
    <w:semiHidden/>
    <w:rsid w:val="00881426"/>
    <w:rPr>
      <w:b/>
      <w:bCs/>
    </w:rPr>
  </w:style>
  <w:style w:type="character" w:styleId="af1">
    <w:name w:val="Hyperlink"/>
    <w:basedOn w:val="a0"/>
    <w:uiPriority w:val="99"/>
    <w:rsid w:val="00A730AE"/>
    <w:rPr>
      <w:color w:val="auto"/>
      <w:u w:val="none"/>
    </w:rPr>
  </w:style>
  <w:style w:type="paragraph" w:styleId="af2">
    <w:name w:val="Revision"/>
    <w:hidden/>
    <w:uiPriority w:val="99"/>
    <w:semiHidden/>
    <w:rsid w:val="0099618A"/>
  </w:style>
  <w:style w:type="table" w:customStyle="1" w:styleId="11">
    <w:name w:val="表 (格子)1"/>
    <w:basedOn w:val="a1"/>
    <w:next w:val="a6"/>
    <w:rsid w:val="008B6651"/>
    <w:pPr>
      <w:widowControl w:val="0"/>
    </w:pPr>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Text">
    <w:name w:val="RefText"/>
    <w:rsid w:val="00D544DB"/>
    <w:pPr>
      <w:numPr>
        <w:numId w:val="3"/>
      </w:numPr>
      <w:spacing w:before="120" w:after="120" w:line="300" w:lineRule="auto"/>
      <w:ind w:left="431" w:hanging="431"/>
    </w:pPr>
    <w:rPr>
      <w:rFonts w:ascii="Times New Roman" w:eastAsia="ＭＳ 明朝" w:hAnsi="Times New Roman" w:cs="Times New Roman"/>
      <w:kern w:val="0"/>
      <w:sz w:val="24"/>
      <w:szCs w:val="20"/>
    </w:rPr>
  </w:style>
  <w:style w:type="character" w:customStyle="1" w:styleId="period">
    <w:name w:val="period"/>
    <w:basedOn w:val="a0"/>
    <w:rsid w:val="00A16A25"/>
  </w:style>
  <w:style w:type="character" w:customStyle="1" w:styleId="cit">
    <w:name w:val="cit"/>
    <w:basedOn w:val="a0"/>
    <w:rsid w:val="00A16A25"/>
  </w:style>
  <w:style w:type="character" w:styleId="af3">
    <w:name w:val="Strong"/>
    <w:basedOn w:val="a0"/>
    <w:uiPriority w:val="22"/>
    <w:qFormat/>
    <w:rsid w:val="00075FFA"/>
    <w:rPr>
      <w:b/>
      <w:bCs/>
    </w:rPr>
  </w:style>
  <w:style w:type="paragraph" w:styleId="Web">
    <w:name w:val="Normal (Web)"/>
    <w:basedOn w:val="a"/>
    <w:uiPriority w:val="99"/>
    <w:semiHidden/>
    <w:unhideWhenUsed/>
    <w:rsid w:val="00F0766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2">
    <w:name w:val="未解決のメンション1"/>
    <w:basedOn w:val="a0"/>
    <w:uiPriority w:val="99"/>
    <w:semiHidden/>
    <w:unhideWhenUsed/>
    <w:rsid w:val="0077303E"/>
    <w:rPr>
      <w:color w:val="605E5C"/>
      <w:shd w:val="clear" w:color="auto" w:fill="E1DFDD"/>
    </w:rPr>
  </w:style>
  <w:style w:type="character" w:customStyle="1" w:styleId="30">
    <w:name w:val="見出し 3 (文字)"/>
    <w:basedOn w:val="a0"/>
    <w:link w:val="3"/>
    <w:uiPriority w:val="9"/>
    <w:rsid w:val="00267BA1"/>
    <w:rPr>
      <w:rFonts w:ascii="ＭＳ Ｐゴシック" w:eastAsia="ＭＳ Ｐゴシック" w:hAnsi="ＭＳ Ｐゴシック" w:cs="ＭＳ Ｐゴシック"/>
      <w:b/>
      <w:bCs/>
      <w:kern w:val="0"/>
      <w:sz w:val="27"/>
      <w:szCs w:val="27"/>
    </w:rPr>
  </w:style>
  <w:style w:type="character" w:customStyle="1" w:styleId="40">
    <w:name w:val="見出し 4 (文字)"/>
    <w:basedOn w:val="a0"/>
    <w:link w:val="4"/>
    <w:uiPriority w:val="9"/>
    <w:semiHidden/>
    <w:rsid w:val="003A503C"/>
    <w:rPr>
      <w:b/>
      <w:bCs/>
    </w:rPr>
  </w:style>
  <w:style w:type="character" w:customStyle="1" w:styleId="nlmstring-name">
    <w:name w:val="nlm_string-name"/>
    <w:basedOn w:val="a0"/>
    <w:rsid w:val="0042663D"/>
  </w:style>
  <w:style w:type="character" w:customStyle="1" w:styleId="journalname">
    <w:name w:val="journalname"/>
    <w:basedOn w:val="a0"/>
    <w:rsid w:val="0042663D"/>
  </w:style>
  <w:style w:type="character" w:customStyle="1" w:styleId="year">
    <w:name w:val="year"/>
    <w:basedOn w:val="a0"/>
    <w:rsid w:val="0042663D"/>
  </w:style>
  <w:style w:type="character" w:customStyle="1" w:styleId="volume">
    <w:name w:val="volume"/>
    <w:basedOn w:val="a0"/>
    <w:rsid w:val="0042663D"/>
  </w:style>
  <w:style w:type="character" w:customStyle="1" w:styleId="issue">
    <w:name w:val="issue"/>
    <w:basedOn w:val="a0"/>
    <w:rsid w:val="0042663D"/>
  </w:style>
  <w:style w:type="character" w:customStyle="1" w:styleId="page">
    <w:name w:val="page"/>
    <w:basedOn w:val="a0"/>
    <w:rsid w:val="0042663D"/>
  </w:style>
  <w:style w:type="character" w:customStyle="1" w:styleId="highwire-citation-author">
    <w:name w:val="highwire-citation-author"/>
    <w:basedOn w:val="a0"/>
    <w:rsid w:val="00F66AA1"/>
  </w:style>
  <w:style w:type="character" w:customStyle="1" w:styleId="nlm-given-names">
    <w:name w:val="nlm-given-names"/>
    <w:basedOn w:val="a0"/>
    <w:rsid w:val="00F66AA1"/>
  </w:style>
  <w:style w:type="character" w:customStyle="1" w:styleId="nlm-surname">
    <w:name w:val="nlm-surname"/>
    <w:basedOn w:val="a0"/>
    <w:rsid w:val="00F66AA1"/>
  </w:style>
  <w:style w:type="character" w:customStyle="1" w:styleId="highwire-cite-metadata-journal">
    <w:name w:val="highwire-cite-metadata-journal"/>
    <w:basedOn w:val="a0"/>
    <w:rsid w:val="00F66AA1"/>
  </w:style>
  <w:style w:type="character" w:customStyle="1" w:styleId="highwire-cite-metadata-date">
    <w:name w:val="highwire-cite-metadata-date"/>
    <w:basedOn w:val="a0"/>
    <w:rsid w:val="00F66AA1"/>
  </w:style>
  <w:style w:type="character" w:customStyle="1" w:styleId="highwire-cite-metadata-volume">
    <w:name w:val="highwire-cite-metadata-volume"/>
    <w:basedOn w:val="a0"/>
    <w:rsid w:val="00F66AA1"/>
  </w:style>
  <w:style w:type="character" w:customStyle="1" w:styleId="highwire-cite-metadata-issue">
    <w:name w:val="highwire-cite-metadata-issue"/>
    <w:basedOn w:val="a0"/>
    <w:rsid w:val="00F66AA1"/>
  </w:style>
  <w:style w:type="paragraph" w:customStyle="1" w:styleId="TableFooterText">
    <w:name w:val="Table Footer Text"/>
    <w:rsid w:val="005E58B3"/>
    <w:pPr>
      <w:tabs>
        <w:tab w:val="left" w:pos="216"/>
      </w:tabs>
      <w:spacing w:line="260" w:lineRule="exact"/>
      <w:ind w:left="216" w:hanging="216"/>
    </w:pPr>
    <w:rPr>
      <w:rFonts w:ascii="Times New Roman" w:eastAsia="ＭＳ 明朝" w:hAnsi="Times New Roman" w:cs="Times New Roman"/>
      <w:kern w:val="0"/>
      <w:sz w:val="18"/>
      <w:szCs w:val="20"/>
    </w:rPr>
  </w:style>
  <w:style w:type="character" w:styleId="af4">
    <w:name w:val="Emphasis"/>
    <w:basedOn w:val="a0"/>
    <w:uiPriority w:val="20"/>
    <w:qFormat/>
    <w:rsid w:val="00975646"/>
    <w:rPr>
      <w:i/>
      <w:iCs/>
    </w:rPr>
  </w:style>
  <w:style w:type="character" w:customStyle="1" w:styleId="13">
    <w:name w:val="メンション1"/>
    <w:basedOn w:val="a0"/>
    <w:uiPriority w:val="99"/>
    <w:unhideWhenUsed/>
    <w:rPr>
      <w:color w:val="2B579A"/>
      <w:shd w:val="clear" w:color="auto" w:fill="E6E6E6"/>
    </w:rPr>
  </w:style>
  <w:style w:type="character" w:styleId="af5">
    <w:name w:val="line number"/>
    <w:basedOn w:val="a0"/>
    <w:uiPriority w:val="99"/>
    <w:semiHidden/>
    <w:unhideWhenUsed/>
    <w:rsid w:val="00E7208A"/>
  </w:style>
  <w:style w:type="paragraph" w:customStyle="1" w:styleId="yiv806113928msonormal">
    <w:name w:val="yiv806113928msonormal"/>
    <w:basedOn w:val="a"/>
    <w:rsid w:val="00D936A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f0">
    <w:name w:val="pf0"/>
    <w:basedOn w:val="a"/>
    <w:rsid w:val="001830EE"/>
    <w:pPr>
      <w:widowControl/>
      <w:spacing w:before="100" w:beforeAutospacing="1" w:after="100" w:afterAutospacing="1"/>
      <w:jc w:val="left"/>
    </w:pPr>
    <w:rPr>
      <w:rFonts w:ascii="ＭＳ Ｐゴシック" w:eastAsia="ＭＳ Ｐゴシック" w:hAnsi="ＭＳ Ｐゴシック" w:cs="ＭＳ Ｐゴシック"/>
      <w:kern w:val="0"/>
      <w:sz w:val="24"/>
      <w:szCs w:val="24"/>
      <w:lang w:bidi="th-TH"/>
    </w:rPr>
  </w:style>
  <w:style w:type="character" w:customStyle="1" w:styleId="cf01">
    <w:name w:val="cf01"/>
    <w:basedOn w:val="a0"/>
    <w:rsid w:val="001830EE"/>
    <w:rPr>
      <w:rFonts w:ascii="Meiryo UI" w:eastAsia="Meiryo UI" w:hAnsi="Meiryo UI" w:hint="eastAsia"/>
      <w:sz w:val="18"/>
      <w:szCs w:val="18"/>
    </w:rPr>
  </w:style>
  <w:style w:type="character" w:customStyle="1" w:styleId="cf11">
    <w:name w:val="cf11"/>
    <w:basedOn w:val="a0"/>
    <w:rsid w:val="001830EE"/>
    <w:rPr>
      <w:rFonts w:ascii="Meiryo UI" w:eastAsia="Meiryo UI" w:hAnsi="Meiryo UI" w:hint="eastAsia"/>
      <w:sz w:val="18"/>
      <w:szCs w:val="18"/>
      <w:shd w:val="clear" w:color="auto" w:fill="FFFFFF"/>
    </w:rPr>
  </w:style>
  <w:style w:type="character" w:customStyle="1" w:styleId="cf21">
    <w:name w:val="cf21"/>
    <w:basedOn w:val="a0"/>
    <w:rsid w:val="001830EE"/>
    <w:rPr>
      <w:rFonts w:ascii="Meiryo UI" w:eastAsia="Meiryo UI" w:hAnsi="Meiryo UI" w:hint="eastAsia"/>
      <w:sz w:val="18"/>
      <w:szCs w:val="18"/>
      <w:shd w:val="clear" w:color="auto" w:fill="FFFFFF"/>
    </w:rPr>
  </w:style>
  <w:style w:type="character" w:customStyle="1" w:styleId="cf31">
    <w:name w:val="cf31"/>
    <w:basedOn w:val="a0"/>
    <w:rsid w:val="001830EE"/>
    <w:rPr>
      <w:rFonts w:ascii="Meiryo UI" w:eastAsia="Meiryo UI" w:hAnsi="Meiryo UI" w:hint="eastAsia"/>
      <w:sz w:val="18"/>
      <w:szCs w:val="18"/>
      <w:shd w:val="clear" w:color="auto" w:fill="FFFFFF"/>
    </w:rPr>
  </w:style>
  <w:style w:type="character" w:customStyle="1" w:styleId="cf41">
    <w:name w:val="cf41"/>
    <w:basedOn w:val="a0"/>
    <w:rsid w:val="001830EE"/>
    <w:rPr>
      <w:rFonts w:ascii="Meiryo UI" w:eastAsia="Meiryo UI" w:hAnsi="Meiryo UI" w:hint="eastAsia"/>
      <w:i/>
      <w:iCs/>
      <w:sz w:val="18"/>
      <w:szCs w:val="18"/>
      <w:shd w:val="clear" w:color="auto" w:fill="FFFFFF"/>
    </w:rPr>
  </w:style>
  <w:style w:type="character" w:customStyle="1" w:styleId="cf51">
    <w:name w:val="cf51"/>
    <w:basedOn w:val="a0"/>
    <w:rsid w:val="001830EE"/>
    <w:rPr>
      <w:rFonts w:ascii="Meiryo UI" w:eastAsia="Meiryo UI" w:hAnsi="Meiryo UI" w:hint="eastAsia"/>
      <w:sz w:val="18"/>
      <w:szCs w:val="18"/>
    </w:rPr>
  </w:style>
  <w:style w:type="character" w:customStyle="1" w:styleId="10">
    <w:name w:val="見出し 1 (文字)"/>
    <w:basedOn w:val="a0"/>
    <w:link w:val="1"/>
    <w:uiPriority w:val="9"/>
    <w:rsid w:val="00CD5912"/>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5617">
      <w:bodyDiv w:val="1"/>
      <w:marLeft w:val="0"/>
      <w:marRight w:val="0"/>
      <w:marTop w:val="0"/>
      <w:marBottom w:val="0"/>
      <w:divBdr>
        <w:top w:val="none" w:sz="0" w:space="0" w:color="auto"/>
        <w:left w:val="none" w:sz="0" w:space="0" w:color="auto"/>
        <w:bottom w:val="none" w:sz="0" w:space="0" w:color="auto"/>
        <w:right w:val="none" w:sz="0" w:space="0" w:color="auto"/>
      </w:divBdr>
    </w:div>
    <w:div w:id="89736576">
      <w:bodyDiv w:val="1"/>
      <w:marLeft w:val="0"/>
      <w:marRight w:val="0"/>
      <w:marTop w:val="0"/>
      <w:marBottom w:val="0"/>
      <w:divBdr>
        <w:top w:val="none" w:sz="0" w:space="0" w:color="auto"/>
        <w:left w:val="none" w:sz="0" w:space="0" w:color="auto"/>
        <w:bottom w:val="none" w:sz="0" w:space="0" w:color="auto"/>
        <w:right w:val="none" w:sz="0" w:space="0" w:color="auto"/>
      </w:divBdr>
    </w:div>
    <w:div w:id="281352096">
      <w:bodyDiv w:val="1"/>
      <w:marLeft w:val="0"/>
      <w:marRight w:val="0"/>
      <w:marTop w:val="0"/>
      <w:marBottom w:val="0"/>
      <w:divBdr>
        <w:top w:val="none" w:sz="0" w:space="0" w:color="auto"/>
        <w:left w:val="none" w:sz="0" w:space="0" w:color="auto"/>
        <w:bottom w:val="none" w:sz="0" w:space="0" w:color="auto"/>
        <w:right w:val="none" w:sz="0" w:space="0" w:color="auto"/>
      </w:divBdr>
    </w:div>
    <w:div w:id="290943567">
      <w:bodyDiv w:val="1"/>
      <w:marLeft w:val="0"/>
      <w:marRight w:val="0"/>
      <w:marTop w:val="0"/>
      <w:marBottom w:val="0"/>
      <w:divBdr>
        <w:top w:val="none" w:sz="0" w:space="0" w:color="auto"/>
        <w:left w:val="none" w:sz="0" w:space="0" w:color="auto"/>
        <w:bottom w:val="none" w:sz="0" w:space="0" w:color="auto"/>
        <w:right w:val="none" w:sz="0" w:space="0" w:color="auto"/>
      </w:divBdr>
    </w:div>
    <w:div w:id="301036790">
      <w:bodyDiv w:val="1"/>
      <w:marLeft w:val="0"/>
      <w:marRight w:val="0"/>
      <w:marTop w:val="0"/>
      <w:marBottom w:val="0"/>
      <w:divBdr>
        <w:top w:val="none" w:sz="0" w:space="0" w:color="auto"/>
        <w:left w:val="none" w:sz="0" w:space="0" w:color="auto"/>
        <w:bottom w:val="none" w:sz="0" w:space="0" w:color="auto"/>
        <w:right w:val="none" w:sz="0" w:space="0" w:color="auto"/>
      </w:divBdr>
    </w:div>
    <w:div w:id="444810130">
      <w:bodyDiv w:val="1"/>
      <w:marLeft w:val="0"/>
      <w:marRight w:val="0"/>
      <w:marTop w:val="0"/>
      <w:marBottom w:val="0"/>
      <w:divBdr>
        <w:top w:val="none" w:sz="0" w:space="0" w:color="auto"/>
        <w:left w:val="none" w:sz="0" w:space="0" w:color="auto"/>
        <w:bottom w:val="none" w:sz="0" w:space="0" w:color="auto"/>
        <w:right w:val="none" w:sz="0" w:space="0" w:color="auto"/>
      </w:divBdr>
    </w:div>
    <w:div w:id="447087484">
      <w:bodyDiv w:val="1"/>
      <w:marLeft w:val="0"/>
      <w:marRight w:val="0"/>
      <w:marTop w:val="0"/>
      <w:marBottom w:val="0"/>
      <w:divBdr>
        <w:top w:val="none" w:sz="0" w:space="0" w:color="auto"/>
        <w:left w:val="none" w:sz="0" w:space="0" w:color="auto"/>
        <w:bottom w:val="none" w:sz="0" w:space="0" w:color="auto"/>
        <w:right w:val="none" w:sz="0" w:space="0" w:color="auto"/>
      </w:divBdr>
    </w:div>
    <w:div w:id="450321593">
      <w:bodyDiv w:val="1"/>
      <w:marLeft w:val="0"/>
      <w:marRight w:val="0"/>
      <w:marTop w:val="0"/>
      <w:marBottom w:val="0"/>
      <w:divBdr>
        <w:top w:val="none" w:sz="0" w:space="0" w:color="auto"/>
        <w:left w:val="none" w:sz="0" w:space="0" w:color="auto"/>
        <w:bottom w:val="none" w:sz="0" w:space="0" w:color="auto"/>
        <w:right w:val="none" w:sz="0" w:space="0" w:color="auto"/>
      </w:divBdr>
    </w:div>
    <w:div w:id="475729385">
      <w:bodyDiv w:val="1"/>
      <w:marLeft w:val="0"/>
      <w:marRight w:val="0"/>
      <w:marTop w:val="0"/>
      <w:marBottom w:val="0"/>
      <w:divBdr>
        <w:top w:val="none" w:sz="0" w:space="0" w:color="auto"/>
        <w:left w:val="none" w:sz="0" w:space="0" w:color="auto"/>
        <w:bottom w:val="none" w:sz="0" w:space="0" w:color="auto"/>
        <w:right w:val="none" w:sz="0" w:space="0" w:color="auto"/>
      </w:divBdr>
    </w:div>
    <w:div w:id="499272478">
      <w:bodyDiv w:val="1"/>
      <w:marLeft w:val="0"/>
      <w:marRight w:val="0"/>
      <w:marTop w:val="0"/>
      <w:marBottom w:val="0"/>
      <w:divBdr>
        <w:top w:val="none" w:sz="0" w:space="0" w:color="auto"/>
        <w:left w:val="none" w:sz="0" w:space="0" w:color="auto"/>
        <w:bottom w:val="none" w:sz="0" w:space="0" w:color="auto"/>
        <w:right w:val="none" w:sz="0" w:space="0" w:color="auto"/>
      </w:divBdr>
    </w:div>
    <w:div w:id="511991025">
      <w:bodyDiv w:val="1"/>
      <w:marLeft w:val="0"/>
      <w:marRight w:val="0"/>
      <w:marTop w:val="0"/>
      <w:marBottom w:val="0"/>
      <w:divBdr>
        <w:top w:val="none" w:sz="0" w:space="0" w:color="auto"/>
        <w:left w:val="none" w:sz="0" w:space="0" w:color="auto"/>
        <w:bottom w:val="none" w:sz="0" w:space="0" w:color="auto"/>
        <w:right w:val="none" w:sz="0" w:space="0" w:color="auto"/>
      </w:divBdr>
    </w:div>
    <w:div w:id="513691226">
      <w:bodyDiv w:val="1"/>
      <w:marLeft w:val="0"/>
      <w:marRight w:val="0"/>
      <w:marTop w:val="0"/>
      <w:marBottom w:val="0"/>
      <w:divBdr>
        <w:top w:val="none" w:sz="0" w:space="0" w:color="auto"/>
        <w:left w:val="none" w:sz="0" w:space="0" w:color="auto"/>
        <w:bottom w:val="none" w:sz="0" w:space="0" w:color="auto"/>
        <w:right w:val="none" w:sz="0" w:space="0" w:color="auto"/>
      </w:divBdr>
    </w:div>
    <w:div w:id="536041114">
      <w:bodyDiv w:val="1"/>
      <w:marLeft w:val="0"/>
      <w:marRight w:val="0"/>
      <w:marTop w:val="0"/>
      <w:marBottom w:val="0"/>
      <w:divBdr>
        <w:top w:val="none" w:sz="0" w:space="0" w:color="auto"/>
        <w:left w:val="none" w:sz="0" w:space="0" w:color="auto"/>
        <w:bottom w:val="none" w:sz="0" w:space="0" w:color="auto"/>
        <w:right w:val="none" w:sz="0" w:space="0" w:color="auto"/>
      </w:divBdr>
    </w:div>
    <w:div w:id="562913017">
      <w:bodyDiv w:val="1"/>
      <w:marLeft w:val="0"/>
      <w:marRight w:val="0"/>
      <w:marTop w:val="0"/>
      <w:marBottom w:val="0"/>
      <w:divBdr>
        <w:top w:val="none" w:sz="0" w:space="0" w:color="auto"/>
        <w:left w:val="none" w:sz="0" w:space="0" w:color="auto"/>
        <w:bottom w:val="none" w:sz="0" w:space="0" w:color="auto"/>
        <w:right w:val="none" w:sz="0" w:space="0" w:color="auto"/>
      </w:divBdr>
    </w:div>
    <w:div w:id="596788273">
      <w:bodyDiv w:val="1"/>
      <w:marLeft w:val="0"/>
      <w:marRight w:val="0"/>
      <w:marTop w:val="0"/>
      <w:marBottom w:val="0"/>
      <w:divBdr>
        <w:top w:val="none" w:sz="0" w:space="0" w:color="auto"/>
        <w:left w:val="none" w:sz="0" w:space="0" w:color="auto"/>
        <w:bottom w:val="none" w:sz="0" w:space="0" w:color="auto"/>
        <w:right w:val="none" w:sz="0" w:space="0" w:color="auto"/>
      </w:divBdr>
    </w:div>
    <w:div w:id="605894080">
      <w:bodyDiv w:val="1"/>
      <w:marLeft w:val="0"/>
      <w:marRight w:val="0"/>
      <w:marTop w:val="0"/>
      <w:marBottom w:val="0"/>
      <w:divBdr>
        <w:top w:val="none" w:sz="0" w:space="0" w:color="auto"/>
        <w:left w:val="none" w:sz="0" w:space="0" w:color="auto"/>
        <w:bottom w:val="none" w:sz="0" w:space="0" w:color="auto"/>
        <w:right w:val="none" w:sz="0" w:space="0" w:color="auto"/>
      </w:divBdr>
    </w:div>
    <w:div w:id="650645060">
      <w:bodyDiv w:val="1"/>
      <w:marLeft w:val="0"/>
      <w:marRight w:val="0"/>
      <w:marTop w:val="0"/>
      <w:marBottom w:val="0"/>
      <w:divBdr>
        <w:top w:val="none" w:sz="0" w:space="0" w:color="auto"/>
        <w:left w:val="none" w:sz="0" w:space="0" w:color="auto"/>
        <w:bottom w:val="none" w:sz="0" w:space="0" w:color="auto"/>
        <w:right w:val="none" w:sz="0" w:space="0" w:color="auto"/>
      </w:divBdr>
    </w:div>
    <w:div w:id="662122256">
      <w:bodyDiv w:val="1"/>
      <w:marLeft w:val="0"/>
      <w:marRight w:val="0"/>
      <w:marTop w:val="0"/>
      <w:marBottom w:val="0"/>
      <w:divBdr>
        <w:top w:val="none" w:sz="0" w:space="0" w:color="auto"/>
        <w:left w:val="none" w:sz="0" w:space="0" w:color="auto"/>
        <w:bottom w:val="none" w:sz="0" w:space="0" w:color="auto"/>
        <w:right w:val="none" w:sz="0" w:space="0" w:color="auto"/>
      </w:divBdr>
    </w:div>
    <w:div w:id="771052927">
      <w:bodyDiv w:val="1"/>
      <w:marLeft w:val="0"/>
      <w:marRight w:val="0"/>
      <w:marTop w:val="0"/>
      <w:marBottom w:val="0"/>
      <w:divBdr>
        <w:top w:val="none" w:sz="0" w:space="0" w:color="auto"/>
        <w:left w:val="none" w:sz="0" w:space="0" w:color="auto"/>
        <w:bottom w:val="none" w:sz="0" w:space="0" w:color="auto"/>
        <w:right w:val="none" w:sz="0" w:space="0" w:color="auto"/>
      </w:divBdr>
    </w:div>
    <w:div w:id="867335102">
      <w:bodyDiv w:val="1"/>
      <w:marLeft w:val="0"/>
      <w:marRight w:val="0"/>
      <w:marTop w:val="0"/>
      <w:marBottom w:val="0"/>
      <w:divBdr>
        <w:top w:val="none" w:sz="0" w:space="0" w:color="auto"/>
        <w:left w:val="none" w:sz="0" w:space="0" w:color="auto"/>
        <w:bottom w:val="none" w:sz="0" w:space="0" w:color="auto"/>
        <w:right w:val="none" w:sz="0" w:space="0" w:color="auto"/>
      </w:divBdr>
    </w:div>
    <w:div w:id="873494519">
      <w:bodyDiv w:val="1"/>
      <w:marLeft w:val="0"/>
      <w:marRight w:val="0"/>
      <w:marTop w:val="0"/>
      <w:marBottom w:val="0"/>
      <w:divBdr>
        <w:top w:val="none" w:sz="0" w:space="0" w:color="auto"/>
        <w:left w:val="none" w:sz="0" w:space="0" w:color="auto"/>
        <w:bottom w:val="none" w:sz="0" w:space="0" w:color="auto"/>
        <w:right w:val="none" w:sz="0" w:space="0" w:color="auto"/>
      </w:divBdr>
    </w:div>
    <w:div w:id="1095129872">
      <w:bodyDiv w:val="1"/>
      <w:marLeft w:val="0"/>
      <w:marRight w:val="0"/>
      <w:marTop w:val="0"/>
      <w:marBottom w:val="0"/>
      <w:divBdr>
        <w:top w:val="none" w:sz="0" w:space="0" w:color="auto"/>
        <w:left w:val="none" w:sz="0" w:space="0" w:color="auto"/>
        <w:bottom w:val="none" w:sz="0" w:space="0" w:color="auto"/>
        <w:right w:val="none" w:sz="0" w:space="0" w:color="auto"/>
      </w:divBdr>
    </w:div>
    <w:div w:id="1164584998">
      <w:bodyDiv w:val="1"/>
      <w:marLeft w:val="0"/>
      <w:marRight w:val="0"/>
      <w:marTop w:val="0"/>
      <w:marBottom w:val="0"/>
      <w:divBdr>
        <w:top w:val="none" w:sz="0" w:space="0" w:color="auto"/>
        <w:left w:val="none" w:sz="0" w:space="0" w:color="auto"/>
        <w:bottom w:val="none" w:sz="0" w:space="0" w:color="auto"/>
        <w:right w:val="none" w:sz="0" w:space="0" w:color="auto"/>
      </w:divBdr>
    </w:div>
    <w:div w:id="1310020433">
      <w:bodyDiv w:val="1"/>
      <w:marLeft w:val="0"/>
      <w:marRight w:val="0"/>
      <w:marTop w:val="0"/>
      <w:marBottom w:val="0"/>
      <w:divBdr>
        <w:top w:val="none" w:sz="0" w:space="0" w:color="auto"/>
        <w:left w:val="none" w:sz="0" w:space="0" w:color="auto"/>
        <w:bottom w:val="none" w:sz="0" w:space="0" w:color="auto"/>
        <w:right w:val="none" w:sz="0" w:space="0" w:color="auto"/>
      </w:divBdr>
      <w:divsChild>
        <w:div w:id="116264970">
          <w:marLeft w:val="0"/>
          <w:marRight w:val="0"/>
          <w:marTop w:val="0"/>
          <w:marBottom w:val="0"/>
          <w:divBdr>
            <w:top w:val="none" w:sz="0" w:space="0" w:color="auto"/>
            <w:left w:val="none" w:sz="0" w:space="0" w:color="auto"/>
            <w:bottom w:val="none" w:sz="0" w:space="0" w:color="auto"/>
            <w:right w:val="none" w:sz="0" w:space="0" w:color="auto"/>
          </w:divBdr>
          <w:divsChild>
            <w:div w:id="1868785575">
              <w:marLeft w:val="0"/>
              <w:marRight w:val="0"/>
              <w:marTop w:val="0"/>
              <w:marBottom w:val="0"/>
              <w:divBdr>
                <w:top w:val="none" w:sz="0" w:space="0" w:color="auto"/>
                <w:left w:val="none" w:sz="0" w:space="0" w:color="auto"/>
                <w:bottom w:val="none" w:sz="0" w:space="0" w:color="auto"/>
                <w:right w:val="none" w:sz="0" w:space="0" w:color="auto"/>
              </w:divBdr>
              <w:divsChild>
                <w:div w:id="8158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16792">
      <w:bodyDiv w:val="1"/>
      <w:marLeft w:val="0"/>
      <w:marRight w:val="0"/>
      <w:marTop w:val="0"/>
      <w:marBottom w:val="0"/>
      <w:divBdr>
        <w:top w:val="none" w:sz="0" w:space="0" w:color="auto"/>
        <w:left w:val="none" w:sz="0" w:space="0" w:color="auto"/>
        <w:bottom w:val="none" w:sz="0" w:space="0" w:color="auto"/>
        <w:right w:val="none" w:sz="0" w:space="0" w:color="auto"/>
      </w:divBdr>
      <w:divsChild>
        <w:div w:id="1233928208">
          <w:marLeft w:val="0"/>
          <w:marRight w:val="0"/>
          <w:marTop w:val="0"/>
          <w:marBottom w:val="0"/>
          <w:divBdr>
            <w:top w:val="none" w:sz="0" w:space="0" w:color="auto"/>
            <w:left w:val="none" w:sz="0" w:space="0" w:color="auto"/>
            <w:bottom w:val="none" w:sz="0" w:space="0" w:color="auto"/>
            <w:right w:val="none" w:sz="0" w:space="0" w:color="auto"/>
          </w:divBdr>
          <w:divsChild>
            <w:div w:id="1246957751">
              <w:marLeft w:val="0"/>
              <w:marRight w:val="0"/>
              <w:marTop w:val="0"/>
              <w:marBottom w:val="0"/>
              <w:divBdr>
                <w:top w:val="none" w:sz="0" w:space="0" w:color="auto"/>
                <w:left w:val="none" w:sz="0" w:space="0" w:color="auto"/>
                <w:bottom w:val="none" w:sz="0" w:space="0" w:color="auto"/>
                <w:right w:val="none" w:sz="0" w:space="0" w:color="auto"/>
              </w:divBdr>
              <w:divsChild>
                <w:div w:id="644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9210">
      <w:bodyDiv w:val="1"/>
      <w:marLeft w:val="0"/>
      <w:marRight w:val="0"/>
      <w:marTop w:val="0"/>
      <w:marBottom w:val="0"/>
      <w:divBdr>
        <w:top w:val="none" w:sz="0" w:space="0" w:color="auto"/>
        <w:left w:val="none" w:sz="0" w:space="0" w:color="auto"/>
        <w:bottom w:val="none" w:sz="0" w:space="0" w:color="auto"/>
        <w:right w:val="none" w:sz="0" w:space="0" w:color="auto"/>
      </w:divBdr>
    </w:div>
    <w:div w:id="1456408361">
      <w:bodyDiv w:val="1"/>
      <w:marLeft w:val="0"/>
      <w:marRight w:val="0"/>
      <w:marTop w:val="0"/>
      <w:marBottom w:val="0"/>
      <w:divBdr>
        <w:top w:val="none" w:sz="0" w:space="0" w:color="auto"/>
        <w:left w:val="none" w:sz="0" w:space="0" w:color="auto"/>
        <w:bottom w:val="none" w:sz="0" w:space="0" w:color="auto"/>
        <w:right w:val="none" w:sz="0" w:space="0" w:color="auto"/>
      </w:divBdr>
    </w:div>
    <w:div w:id="1487283732">
      <w:bodyDiv w:val="1"/>
      <w:marLeft w:val="0"/>
      <w:marRight w:val="0"/>
      <w:marTop w:val="0"/>
      <w:marBottom w:val="0"/>
      <w:divBdr>
        <w:top w:val="none" w:sz="0" w:space="0" w:color="auto"/>
        <w:left w:val="none" w:sz="0" w:space="0" w:color="auto"/>
        <w:bottom w:val="none" w:sz="0" w:space="0" w:color="auto"/>
        <w:right w:val="none" w:sz="0" w:space="0" w:color="auto"/>
      </w:divBdr>
    </w:div>
    <w:div w:id="1488788248">
      <w:bodyDiv w:val="1"/>
      <w:marLeft w:val="0"/>
      <w:marRight w:val="0"/>
      <w:marTop w:val="0"/>
      <w:marBottom w:val="0"/>
      <w:divBdr>
        <w:top w:val="none" w:sz="0" w:space="0" w:color="auto"/>
        <w:left w:val="none" w:sz="0" w:space="0" w:color="auto"/>
        <w:bottom w:val="none" w:sz="0" w:space="0" w:color="auto"/>
        <w:right w:val="none" w:sz="0" w:space="0" w:color="auto"/>
      </w:divBdr>
    </w:div>
    <w:div w:id="1495029280">
      <w:bodyDiv w:val="1"/>
      <w:marLeft w:val="0"/>
      <w:marRight w:val="0"/>
      <w:marTop w:val="0"/>
      <w:marBottom w:val="0"/>
      <w:divBdr>
        <w:top w:val="none" w:sz="0" w:space="0" w:color="auto"/>
        <w:left w:val="none" w:sz="0" w:space="0" w:color="auto"/>
        <w:bottom w:val="none" w:sz="0" w:space="0" w:color="auto"/>
        <w:right w:val="none" w:sz="0" w:space="0" w:color="auto"/>
      </w:divBdr>
    </w:div>
    <w:div w:id="1538349353">
      <w:bodyDiv w:val="1"/>
      <w:marLeft w:val="0"/>
      <w:marRight w:val="0"/>
      <w:marTop w:val="0"/>
      <w:marBottom w:val="0"/>
      <w:divBdr>
        <w:top w:val="none" w:sz="0" w:space="0" w:color="auto"/>
        <w:left w:val="none" w:sz="0" w:space="0" w:color="auto"/>
        <w:bottom w:val="none" w:sz="0" w:space="0" w:color="auto"/>
        <w:right w:val="none" w:sz="0" w:space="0" w:color="auto"/>
      </w:divBdr>
    </w:div>
    <w:div w:id="1549877344">
      <w:bodyDiv w:val="1"/>
      <w:marLeft w:val="0"/>
      <w:marRight w:val="0"/>
      <w:marTop w:val="0"/>
      <w:marBottom w:val="0"/>
      <w:divBdr>
        <w:top w:val="none" w:sz="0" w:space="0" w:color="auto"/>
        <w:left w:val="none" w:sz="0" w:space="0" w:color="auto"/>
        <w:bottom w:val="none" w:sz="0" w:space="0" w:color="auto"/>
        <w:right w:val="none" w:sz="0" w:space="0" w:color="auto"/>
      </w:divBdr>
    </w:div>
    <w:div w:id="1682583373">
      <w:bodyDiv w:val="1"/>
      <w:marLeft w:val="0"/>
      <w:marRight w:val="0"/>
      <w:marTop w:val="0"/>
      <w:marBottom w:val="0"/>
      <w:divBdr>
        <w:top w:val="none" w:sz="0" w:space="0" w:color="auto"/>
        <w:left w:val="none" w:sz="0" w:space="0" w:color="auto"/>
        <w:bottom w:val="none" w:sz="0" w:space="0" w:color="auto"/>
        <w:right w:val="none" w:sz="0" w:space="0" w:color="auto"/>
      </w:divBdr>
    </w:div>
    <w:div w:id="1759329700">
      <w:bodyDiv w:val="1"/>
      <w:marLeft w:val="0"/>
      <w:marRight w:val="0"/>
      <w:marTop w:val="0"/>
      <w:marBottom w:val="0"/>
      <w:divBdr>
        <w:top w:val="none" w:sz="0" w:space="0" w:color="auto"/>
        <w:left w:val="none" w:sz="0" w:space="0" w:color="auto"/>
        <w:bottom w:val="none" w:sz="0" w:space="0" w:color="auto"/>
        <w:right w:val="none" w:sz="0" w:space="0" w:color="auto"/>
      </w:divBdr>
    </w:div>
    <w:div w:id="1763254147">
      <w:bodyDiv w:val="1"/>
      <w:marLeft w:val="0"/>
      <w:marRight w:val="0"/>
      <w:marTop w:val="0"/>
      <w:marBottom w:val="0"/>
      <w:divBdr>
        <w:top w:val="none" w:sz="0" w:space="0" w:color="auto"/>
        <w:left w:val="none" w:sz="0" w:space="0" w:color="auto"/>
        <w:bottom w:val="none" w:sz="0" w:space="0" w:color="auto"/>
        <w:right w:val="none" w:sz="0" w:space="0" w:color="auto"/>
      </w:divBdr>
    </w:div>
    <w:div w:id="1967881687">
      <w:bodyDiv w:val="1"/>
      <w:marLeft w:val="0"/>
      <w:marRight w:val="0"/>
      <w:marTop w:val="0"/>
      <w:marBottom w:val="0"/>
      <w:divBdr>
        <w:top w:val="none" w:sz="0" w:space="0" w:color="auto"/>
        <w:left w:val="none" w:sz="0" w:space="0" w:color="auto"/>
        <w:bottom w:val="none" w:sz="0" w:space="0" w:color="auto"/>
        <w:right w:val="none" w:sz="0" w:space="0" w:color="auto"/>
      </w:divBdr>
    </w:div>
    <w:div w:id="1983390176">
      <w:bodyDiv w:val="1"/>
      <w:marLeft w:val="0"/>
      <w:marRight w:val="0"/>
      <w:marTop w:val="0"/>
      <w:marBottom w:val="0"/>
      <w:divBdr>
        <w:top w:val="none" w:sz="0" w:space="0" w:color="auto"/>
        <w:left w:val="none" w:sz="0" w:space="0" w:color="auto"/>
        <w:bottom w:val="none" w:sz="0" w:space="0" w:color="auto"/>
        <w:right w:val="none" w:sz="0" w:space="0" w:color="auto"/>
      </w:divBdr>
    </w:div>
    <w:div w:id="1986272821">
      <w:bodyDiv w:val="1"/>
      <w:marLeft w:val="0"/>
      <w:marRight w:val="0"/>
      <w:marTop w:val="0"/>
      <w:marBottom w:val="0"/>
      <w:divBdr>
        <w:top w:val="none" w:sz="0" w:space="0" w:color="auto"/>
        <w:left w:val="none" w:sz="0" w:space="0" w:color="auto"/>
        <w:bottom w:val="none" w:sz="0" w:space="0" w:color="auto"/>
        <w:right w:val="none" w:sz="0" w:space="0" w:color="auto"/>
      </w:divBdr>
    </w:div>
    <w:div w:id="2138792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41863C0AF673468B3779C229AFC6DA" ma:contentTypeVersion="16" ma:contentTypeDescription="Create a new document." ma:contentTypeScope="" ma:versionID="71bd75e6c3874b81e7d7536dcfd3dd7b">
  <xsd:schema xmlns:xsd="http://www.w3.org/2001/XMLSchema" xmlns:xs="http://www.w3.org/2001/XMLSchema" xmlns:p="http://schemas.microsoft.com/office/2006/metadata/properties" xmlns:ns2="fd4a1cba-3c96-49ba-99ae-02ff00c14974" xmlns:ns3="71d6995e-2094-4cd5-8632-a7cdafa31eea" xmlns:ns4="886f5093-b338-4781-9b05-16c7a2d79b45" targetNamespace="http://schemas.microsoft.com/office/2006/metadata/properties" ma:root="true" ma:fieldsID="748d92bee69fce1ee1fb539ce60cc870" ns2:_="" ns3:_="" ns4:_="">
    <xsd:import namespace="fd4a1cba-3c96-49ba-99ae-02ff00c14974"/>
    <xsd:import namespace="71d6995e-2094-4cd5-8632-a7cdafa31eea"/>
    <xsd:import namespace="886f5093-b338-4781-9b05-16c7a2d79b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a1cba-3c96-49ba-99ae-02ff00c14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b5d3e9-fb91-47ab-8ddc-3316da5eba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6995e-2094-4cd5-8632-a7cdafa31ee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cbd7de-7553-4094-8571-432605a8a330}" ma:internalName="TaxCatchAll" ma:showField="CatchAllData" ma:web="886f5093-b338-4781-9b05-16c7a2d79b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6f5093-b338-4781-9b05-16c7a2d79b45"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4a1cba-3c96-49ba-99ae-02ff00c14974">
      <Terms xmlns="http://schemas.microsoft.com/office/infopath/2007/PartnerControls"/>
    </lcf76f155ced4ddcb4097134ff3c332f>
    <TaxCatchAll xmlns="71d6995e-2094-4cd5-8632-a7cdafa31ee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4D553-F031-4A61-A1CF-91B30347DC59}">
  <ds:schemaRefs>
    <ds:schemaRef ds:uri="http://schemas.openxmlformats.org/officeDocument/2006/bibliography"/>
  </ds:schemaRefs>
</ds:datastoreItem>
</file>

<file path=customXml/itemProps2.xml><?xml version="1.0" encoding="utf-8"?>
<ds:datastoreItem xmlns:ds="http://schemas.openxmlformats.org/officeDocument/2006/customXml" ds:itemID="{29BFB6DD-A572-468A-BED8-CE3DFAA7F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a1cba-3c96-49ba-99ae-02ff00c14974"/>
    <ds:schemaRef ds:uri="71d6995e-2094-4cd5-8632-a7cdafa31eea"/>
    <ds:schemaRef ds:uri="886f5093-b338-4781-9b05-16c7a2d79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AC5ED4-7068-4DB5-ACAB-EE1FC77E9F65}">
  <ds:schemaRefs>
    <ds:schemaRef ds:uri="http://schemas.microsoft.com/office/2006/metadata/properties"/>
    <ds:schemaRef ds:uri="http://schemas.microsoft.com/office/infopath/2007/PartnerControls"/>
    <ds:schemaRef ds:uri="fd4a1cba-3c96-49ba-99ae-02ff00c14974"/>
    <ds:schemaRef ds:uri="71d6995e-2094-4cd5-8632-a7cdafa31eea"/>
  </ds:schemaRefs>
</ds:datastoreItem>
</file>

<file path=customXml/itemProps4.xml><?xml version="1.0" encoding="utf-8"?>
<ds:datastoreItem xmlns:ds="http://schemas.openxmlformats.org/officeDocument/2006/customXml" ds:itemID="{43E3D867-1125-48F4-955C-E4C3B5B10A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799</TotalTime>
  <Pages>17</Pages>
  <Words>2720</Words>
  <Characters>15510</Characters>
  <Application>Microsoft Office Word</Application>
  <DocSecurity>0</DocSecurity>
  <Lines>129</Lines>
  <Paragraphs>36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齋藤真人 Masato Saito</dc:creator>
  <cp:keywords/>
  <dc:description/>
  <cp:lastModifiedBy>齋藤真人 Masato Saito</cp:lastModifiedBy>
  <cp:revision>10</cp:revision>
  <dcterms:created xsi:type="dcterms:W3CDTF">2025-11-09T11:20:00Z</dcterms:created>
  <dcterms:modified xsi:type="dcterms:W3CDTF">2025-11-10T03:53:00Z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0x0101007A41863C0AF673468B3779C229AFC6DA</vt:lpwstr>
  </property>
</Properties>
</file>