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D363E">
      <w:pPr>
        <w:tabs>
          <w:tab w:val="left" w:pos="6380"/>
        </w:tabs>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Supplementary figures</w:t>
      </w:r>
    </w:p>
    <w:p w14:paraId="2AE84955">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Figure S10 Flowchart of our study</w:t>
      </w:r>
    </w:p>
    <w:p w14:paraId="4962B591">
      <w:pPr>
        <w:spacing w:line="360" w:lineRule="auto"/>
        <w:jc w:val="both"/>
        <w:rPr>
          <w:rFonts w:hint="eastAsia" w:ascii="Times New Roman" w:hAnsi="Times New Roman" w:eastAsia="宋体" w:cs="Times New Roman"/>
          <w:b/>
          <w:bCs/>
          <w:sz w:val="20"/>
          <w:szCs w:val="20"/>
          <w:lang w:eastAsia="zh-CN"/>
        </w:rPr>
      </w:pPr>
      <w:r>
        <w:rPr>
          <w:rFonts w:hint="eastAsia" w:ascii="Times New Roman" w:hAnsi="Times New Roman" w:eastAsia="宋体" w:cs="Times New Roman"/>
          <w:b/>
          <w:bCs/>
          <w:sz w:val="20"/>
          <w:szCs w:val="20"/>
          <w:lang w:eastAsia="zh-CN"/>
        </w:rPr>
        <w:drawing>
          <wp:inline distT="0" distB="0" distL="114300" distR="114300">
            <wp:extent cx="5725795" cy="6682105"/>
            <wp:effectExtent l="0" t="0" r="1905" b="10795"/>
            <wp:docPr id="2" name="图片 2" descr="Fig.S10(original 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10(original Fig. 1)"/>
                    <pic:cNvPicPr>
                      <a:picLocks noChangeAspect="1"/>
                    </pic:cNvPicPr>
                  </pic:nvPicPr>
                  <pic:blipFill>
                    <a:blip r:embed="rId6"/>
                    <a:stretch>
                      <a:fillRect/>
                    </a:stretch>
                  </pic:blipFill>
                  <pic:spPr>
                    <a:xfrm>
                      <a:off x="0" y="0"/>
                      <a:ext cx="5725795" cy="6682105"/>
                    </a:xfrm>
                    <a:prstGeom prst="rect">
                      <a:avLst/>
                    </a:prstGeom>
                  </pic:spPr>
                </pic:pic>
              </a:graphicData>
            </a:graphic>
          </wp:inline>
        </w:drawing>
      </w:r>
    </w:p>
    <w:p w14:paraId="149C1CD4">
      <w:pPr>
        <w:spacing w:line="360"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2ABC391D">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Figure S11 Network diagrams of comparisons on different outcomes of treatments</w:t>
      </w:r>
    </w:p>
    <w:p w14:paraId="7DA92A6D">
      <w:pPr>
        <w:spacing w:line="360" w:lineRule="auto"/>
        <w:jc w:val="both"/>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eastAsia="zh-CN"/>
        </w:rPr>
        <w:drawing>
          <wp:inline distT="0" distB="0" distL="114300" distR="114300">
            <wp:extent cx="5723255" cy="4045585"/>
            <wp:effectExtent l="0" t="0" r="4445" b="5715"/>
            <wp:docPr id="1" name="图片 1" descr="Fig.S11(original 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11(original Fig. 3)"/>
                    <pic:cNvPicPr>
                      <a:picLocks noChangeAspect="1"/>
                    </pic:cNvPicPr>
                  </pic:nvPicPr>
                  <pic:blipFill>
                    <a:blip r:embed="rId7"/>
                    <a:stretch>
                      <a:fillRect/>
                    </a:stretch>
                  </pic:blipFill>
                  <pic:spPr>
                    <a:xfrm>
                      <a:off x="0" y="0"/>
                      <a:ext cx="5723255" cy="4045585"/>
                    </a:xfrm>
                    <a:prstGeom prst="rect">
                      <a:avLst/>
                    </a:prstGeom>
                  </pic:spPr>
                </pic:pic>
              </a:graphicData>
            </a:graphic>
          </wp:inline>
        </w:drawing>
      </w:r>
    </w:p>
    <w:p w14:paraId="7DD1DEBA">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Comparisons were generated by using the Bayesian framework on (a) overall survival, (b) progression-free survival, (c) objective response rate, (d) grade ≥3 adverse events. Each circle represents an intervention as a node in the network. The size of the nodes reflects the number of patients treated, and the width of each edge is proportionally weighted according to the number of comparisons. TACE=transcatheter arterial chemoembolization. HAIC=hepatic arterial infusion chemotherapy. TKI=tyrosine-kinase inhibitor. Bev=bevacizumab. Camre=camrelizumab. Pembro=pembrolizumab. Tisle=tislelizumab. Tori=toripalimab. Atez=atezolizumab. Sinti=sintilimab. Durva=Durvalumab. </w:t>
      </w:r>
    </w:p>
    <w:p w14:paraId="3929D34A">
      <w:pPr>
        <w:spacing w:line="360" w:lineRule="auto"/>
        <w:rPr>
          <w:rFonts w:ascii="Times New Roman" w:hAnsi="Times New Roman" w:cs="Times New Roman"/>
          <w:sz w:val="20"/>
          <w:szCs w:val="20"/>
        </w:rPr>
      </w:pPr>
      <w:r>
        <w:rPr>
          <w:rFonts w:ascii="Times New Roman" w:hAnsi="Times New Roman" w:cs="Times New Roman"/>
          <w:sz w:val="20"/>
          <w:szCs w:val="20"/>
        </w:rPr>
        <w:br w:type="page"/>
      </w:r>
    </w:p>
    <w:p w14:paraId="1B967DB4">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Figure S12 The surface under the cumulative ranking curve (SUCRA) of network meta-analysis</w:t>
      </w:r>
    </w:p>
    <w:p w14:paraId="7AAF9110">
      <w:pPr>
        <w:spacing w:line="360" w:lineRule="auto"/>
        <w:jc w:val="both"/>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eastAsia="zh-CN"/>
        </w:rPr>
        <w:drawing>
          <wp:inline distT="0" distB="0" distL="114300" distR="114300">
            <wp:extent cx="5730875" cy="2260600"/>
            <wp:effectExtent l="0" t="0" r="9525" b="0"/>
            <wp:docPr id="3" name="图片 3" descr="Fig.S12(original 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12(original Fig. 5)"/>
                    <pic:cNvPicPr>
                      <a:picLocks noChangeAspect="1"/>
                    </pic:cNvPicPr>
                  </pic:nvPicPr>
                  <pic:blipFill>
                    <a:blip r:embed="rId8"/>
                    <a:stretch>
                      <a:fillRect/>
                    </a:stretch>
                  </pic:blipFill>
                  <pic:spPr>
                    <a:xfrm>
                      <a:off x="0" y="0"/>
                      <a:ext cx="5730875" cy="2260600"/>
                    </a:xfrm>
                    <a:prstGeom prst="rect">
                      <a:avLst/>
                    </a:prstGeom>
                  </pic:spPr>
                </pic:pic>
              </a:graphicData>
            </a:graphic>
          </wp:inline>
        </w:drawing>
      </w:r>
    </w:p>
    <w:p w14:paraId="04073CC0">
      <w:pPr>
        <w:spacing w:line="360" w:lineRule="auto"/>
        <w:jc w:val="both"/>
        <w:rPr>
          <w:rFonts w:ascii="Times New Roman" w:hAnsi="Times New Roman" w:cs="Times New Roman"/>
          <w:sz w:val="20"/>
          <w:szCs w:val="20"/>
        </w:rPr>
      </w:pPr>
      <w:r>
        <w:rPr>
          <w:rFonts w:ascii="Times New Roman" w:hAnsi="Times New Roman" w:cs="Times New Roman"/>
          <w:sz w:val="20"/>
          <w:szCs w:val="20"/>
        </w:rPr>
        <w:t>A SUCRA of 1 represents the best and 0 represents the worst. TACE=transcatheter arterial chemoembolization. HAIC=hepatic arterial infusion chemotherapy. TKI=tyros</w:t>
      </w:r>
      <w:bookmarkStart w:id="0" w:name="_GoBack"/>
      <w:bookmarkEnd w:id="0"/>
      <w:r>
        <w:rPr>
          <w:rFonts w:ascii="Times New Roman" w:hAnsi="Times New Roman" w:cs="Times New Roman"/>
          <w:sz w:val="20"/>
          <w:szCs w:val="20"/>
        </w:rPr>
        <w:t xml:space="preserve">ine-kinase inhibitor. Bev=bevacizumab. Camre=camrelizumab. Pembro=pembrolizumab. Tisle=tislelizumab. Tori=toripalimab. Atez=atezolizumab. Sinti=sintilimab. Durva=Durvalumab. </w:t>
      </w:r>
    </w:p>
    <w:p w14:paraId="5E0DFEFF"/>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602"/>
    <w:rsid w:val="00124BF6"/>
    <w:rsid w:val="003E1E26"/>
    <w:rsid w:val="003F4A1F"/>
    <w:rsid w:val="00871F0A"/>
    <w:rsid w:val="009D2B28"/>
    <w:rsid w:val="00AB7602"/>
    <w:rsid w:val="00C92AD3"/>
    <w:rsid w:val="0EFA5F9B"/>
    <w:rsid w:val="51694D9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N" w:eastAsia="en-US"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3</Pages>
  <Words>139</Words>
  <Characters>1093</Characters>
  <Lines>8</Lines>
  <Paragraphs>2</Paragraphs>
  <TotalTime>11</TotalTime>
  <ScaleCrop>false</ScaleCrop>
  <LinksUpToDate>false</LinksUpToDate>
  <CharactersWithSpaces>1228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2026-01-06T07:13:00Z</dcterms:created>
  <dc:creator>Shruthinaya Sasikumar</dc:creator>
  <cp:lastModifiedBy>SJT</cp:lastModifiedBy>
  <dcterms:modified xsi:type="dcterms:W3CDTF">2026-02-01T14:29:00Z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eyJoZGlkIjoiZjBjNWQxNjQ1NzYxZjY5MjhmYWUwZDg5ZDA5MjYxMjciLCJ1c2VySWQiOiIxMjIzMzIzMDQ5In0=</vt:lpwstr>
  </property>
  <property fmtid="{D5CDD505-2E9C-101B-9397-08002B2CF9AE}" pid="3" name="KSOProductBuildVer">
    <vt:lpwstr>2052-12.1.0.24657</vt:lpwstr>
  </property>
  <property fmtid="{D5CDD505-2E9C-101B-9397-08002B2CF9AE}" pid="4" name="ICV">
    <vt:lpwstr>C2A777B8BB9B4D65992192256135E80A_13</vt:lpwstr>
  </property>
</Properties>
</file>