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C2C3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hint="eastAsia" w:ascii="Times New Roman" w:hAnsi="Times New Roman" w:cs="Times New Roman"/>
          <w:b/>
          <w:sz w:val="28"/>
          <w:szCs w:val="24"/>
        </w:rPr>
        <w:t>Supplementary Materials for</w:t>
      </w:r>
    </w:p>
    <w:p w14:paraId="4FF52A7B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hint="eastAsia" w:ascii="Times New Roman" w:hAnsi="Times New Roman" w:cs="Times New Roman"/>
          <w:b/>
          <w:sz w:val="28"/>
          <w:szCs w:val="24"/>
        </w:rPr>
        <w:t>Preclinical evaluation of CAR T cell immunotherapy with a fully human EpCAM-specific scFv against pancreatic cancer</w:t>
      </w:r>
    </w:p>
    <w:p w14:paraId="64468E95">
      <w:pPr>
        <w:spacing w:line="480" w:lineRule="auto"/>
        <w:jc w:val="center"/>
        <w:rPr>
          <w:rFonts w:ascii="Times New Roman" w:hAnsi="Times New Roman" w:cs="Times New Roman"/>
          <w:bCs/>
          <w:sz w:val="24"/>
        </w:rPr>
      </w:pPr>
      <w:r>
        <w:rPr>
          <w:rFonts w:hint="eastAsia" w:ascii="Times New Roman" w:hAnsi="Times New Roman" w:cs="Times New Roman"/>
          <w:bCs/>
          <w:sz w:val="24"/>
        </w:rPr>
        <w:t>Ying-Ying Fan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,2</w:t>
      </w:r>
      <w:r>
        <w:rPr>
          <w:rFonts w:hint="eastAsia" w:ascii="Times New Roman" w:hAnsi="Times New Roman" w:cs="Times New Roman"/>
          <w:bCs/>
          <w:sz w:val="24"/>
        </w:rPr>
        <w:t>, Ya-Ling Liu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,2</w:t>
      </w:r>
      <w:r>
        <w:rPr>
          <w:rFonts w:hint="eastAsia" w:ascii="Times New Roman" w:hAnsi="Times New Roman" w:cs="Times New Roman"/>
          <w:bCs/>
          <w:sz w:val="24"/>
        </w:rPr>
        <w:t>, Xiao-Fan Liu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,2</w:t>
      </w:r>
      <w:r>
        <w:rPr>
          <w:rFonts w:hint="eastAsia" w:ascii="Times New Roman" w:hAnsi="Times New Roman" w:cs="Times New Roman"/>
          <w:bCs/>
          <w:sz w:val="24"/>
        </w:rPr>
        <w:t>, Si-Qi Jiang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hint="eastAsia" w:ascii="Times New Roman" w:hAnsi="Times New Roman" w:cs="Times New Roman"/>
          <w:bCs/>
          <w:sz w:val="24"/>
        </w:rPr>
        <w:t>, Hui Yang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,2</w:t>
      </w:r>
      <w:r>
        <w:rPr>
          <w:rFonts w:hint="eastAsia" w:ascii="Times New Roman" w:hAnsi="Times New Roman" w:cs="Times New Roman"/>
          <w:bCs/>
          <w:sz w:val="24"/>
        </w:rPr>
        <w:t>, Hao-Ran Zhang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,2</w:t>
      </w:r>
      <w:r>
        <w:rPr>
          <w:rFonts w:hint="eastAsia" w:ascii="Times New Roman" w:hAnsi="Times New Roman" w:cs="Times New Roman"/>
          <w:bCs/>
          <w:sz w:val="24"/>
        </w:rPr>
        <w:t>, Ping Wei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4,</w:t>
      </w: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hint="eastAsia" w:ascii="Times New Roman" w:hAnsi="Times New Roman" w:cs="Times New Roman"/>
          <w:bCs/>
          <w:sz w:val="24"/>
        </w:rPr>
        <w:t>, Qian-Rong Huang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,2,</w:t>
      </w:r>
      <w:r>
        <w:rPr>
          <w:rFonts w:ascii="Times New Roman" w:hAnsi="Times New Roman" w:cs="Times New Roman"/>
          <w:sz w:val="24"/>
          <w:szCs w:val="24"/>
        </w:rPr>
        <w:t>*</w:t>
      </w:r>
    </w:p>
    <w:p w14:paraId="79F9BC6E">
      <w:pPr>
        <w:spacing w:line="480" w:lineRule="auto"/>
        <w:rPr>
          <w:rFonts w:ascii="Times New Roman" w:hAnsi="Times New Roman" w:eastAsia="宋体" w:cs="Times New Roman"/>
          <w:b/>
          <w:sz w:val="24"/>
          <w:szCs w:val="24"/>
        </w:rPr>
      </w:pPr>
    </w:p>
    <w:p w14:paraId="56394526">
      <w:pPr>
        <w:spacing w:line="480" w:lineRule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</w:rPr>
        <w:t>This PDF file includes：</w:t>
      </w:r>
    </w:p>
    <w:p w14:paraId="6E0FB979">
      <w:pPr>
        <w:spacing w:line="480" w:lineRule="auto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sz w:val="24"/>
          <w:szCs w:val="24"/>
        </w:rPr>
        <w:t xml:space="preserve">Figure S1. to </w:t>
      </w:r>
      <w:r>
        <w:rPr>
          <w:rFonts w:hint="eastAsia" w:ascii="Times New Roman" w:hAnsi="Times New Roman" w:eastAsia="宋体" w:cs="Times New Roman"/>
          <w:bCs/>
          <w:color w:val="EE0000"/>
          <w:sz w:val="24"/>
          <w:szCs w:val="24"/>
        </w:rPr>
        <w:t>S4</w:t>
      </w:r>
    </w:p>
    <w:p w14:paraId="763A337E">
      <w:pPr>
        <w:spacing w:line="480" w:lineRule="auto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sz w:val="24"/>
          <w:szCs w:val="24"/>
        </w:rPr>
        <w:t>Table S1</w:t>
      </w:r>
    </w:p>
    <w:p w14:paraId="10BB9876">
      <w:pPr>
        <w:spacing w:line="480" w:lineRule="auto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sz w:val="24"/>
          <w:szCs w:val="24"/>
        </w:rPr>
        <w:t>Supplementary videos 1-12</w:t>
      </w:r>
    </w:p>
    <w:p w14:paraId="44A7E327">
      <w:pPr>
        <w:widowControl/>
        <w:jc w:val="left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ascii="Times New Roman" w:hAnsi="Times New Roman" w:eastAsia="宋体" w:cs="Times New Roman"/>
          <w:bCs/>
          <w:sz w:val="24"/>
          <w:szCs w:val="24"/>
        </w:rPr>
        <w:br w:type="page"/>
      </w:r>
    </w:p>
    <w:p w14:paraId="3B2386D6">
      <w:pPr>
        <w:spacing w:before="240"/>
        <w:jc w:val="center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drawing>
          <wp:inline distT="0" distB="0" distL="0" distR="0">
            <wp:extent cx="5731510" cy="4169410"/>
            <wp:effectExtent l="0" t="0" r="2540" b="2540"/>
            <wp:docPr id="4158394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839468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80C59">
      <w:pPr>
        <w:spacing w:line="480" w:lineRule="auto"/>
        <w:rPr>
          <w:rFonts w:ascii="Times New Roman" w:hAnsi="Times New Roman" w:cs="Times New Roman"/>
          <w:b/>
          <w:bCs/>
          <w:color w:val="EE0000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4"/>
          <w:szCs w:val="28"/>
        </w:rPr>
        <w:t>Figure S1. Anti-EpCAM CAR signaling activation measurement by dual-reporter Jurkat cells.</w:t>
      </w:r>
    </w:p>
    <w:p w14:paraId="73FFA9A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EE0000"/>
          <w:sz w:val="24"/>
          <w:szCs w:val="28"/>
        </w:rPr>
        <w:t xml:space="preserve">(A) Flowchart illustrating the experimental process of evaluating anti-EpCAM CAR signaling activation by the J-N/N cells. (B-C) Integrated GFP and RFP fluorescence intensity of J-N/N cells was recorded every two hours by the Incucyte S3 live-cell imaging system after stimulation with PMA (50 ng/mL) and ionomycin (1 μg/mL). Data at each time point are presented as mean with SE of triplicate wells. (D) Signaling dynamics of 28 CAR and BB CAR J-N/N </w:t>
      </w:r>
      <w:bookmarkStart w:id="3" w:name="_GoBack"/>
      <w:bookmarkEnd w:id="3"/>
      <w:r>
        <w:rPr>
          <w:rFonts w:ascii="Times New Roman" w:hAnsi="Times New Roman" w:cs="Times New Roman"/>
          <w:color w:val="EE0000"/>
          <w:sz w:val="24"/>
          <w:szCs w:val="28"/>
        </w:rPr>
        <w:t>cells after co-culture with EpCAM negative hTERT-HPNE cells at a 5:1 ratio for 72 hours. Data at each time point are presented as mean with SD of triplicate wells.</w:t>
      </w:r>
      <w:r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B2165CF">
      <w:pPr>
        <w:spacing w:before="240"/>
        <w:jc w:val="center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ascii="Times New Roman" w:hAnsi="Times New Roman" w:eastAsia="宋体" w:cs="Times New Roman"/>
          <w:bCs/>
          <w:sz w:val="24"/>
          <w:szCs w:val="24"/>
        </w:rPr>
        <w:drawing>
          <wp:inline distT="0" distB="0" distL="0" distR="0">
            <wp:extent cx="4876800" cy="8006715"/>
            <wp:effectExtent l="0" t="0" r="0" b="0"/>
            <wp:docPr id="21195721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572172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800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BBD25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hint="eastAsia" w:ascii="Times New Roman" w:hAnsi="Times New Roman" w:cs="Times New Roman"/>
          <w:b/>
          <w:bCs/>
          <w:color w:val="EE0000"/>
          <w:sz w:val="24"/>
          <w:szCs w:val="28"/>
        </w:rPr>
        <w:t>Figure S2.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 xml:space="preserve"> Immune characteristics and antigenic responses of anti-EpCAM CAR-T cells.</w:t>
      </w:r>
    </w:p>
    <w:p w14:paraId="33A41387">
      <w:pPr>
        <w:spacing w:line="480" w:lineRule="auto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(A) Representative expression of CD3, CD4, CD8, CD62L and CD45RO markers on UTD and CAR-T cells at 10 days after the transduction of CAR lentivirus. (B) Quantification of Fig.3B</w:t>
      </w:r>
      <w:r>
        <w:rPr>
          <w:rFonts w:ascii="Times New Roman" w:hAnsi="Times New Roman" w:cs="Times New Roman"/>
          <w:sz w:val="24"/>
          <w:szCs w:val="24"/>
        </w:rPr>
        <w:t xml:space="preserve"> showing the percentage of proliferated T cells. </w:t>
      </w:r>
      <w:r>
        <w:rPr>
          <w:rFonts w:ascii="Times New Roman" w:hAnsi="Times New Roman" w:cs="Times New Roman"/>
          <w:color w:val="EE0000"/>
          <w:sz w:val="24"/>
          <w:szCs w:val="24"/>
        </w:rPr>
        <w:t>Data are presented as mean with SD</w:t>
      </w:r>
      <w:r>
        <w:rPr>
          <w:rFonts w:hint="eastAsia" w:ascii="Times New Roman" w:hAnsi="Times New Roman" w:cs="Times New Roman"/>
          <w:color w:val="EE0000"/>
          <w:sz w:val="24"/>
          <w:szCs w:val="24"/>
        </w:rPr>
        <w:t xml:space="preserve"> of triplicate</w:t>
      </w:r>
      <w:r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EE0000"/>
          <w:sz w:val="24"/>
          <w:szCs w:val="24"/>
        </w:rPr>
        <w:t xml:space="preserve">wells </w:t>
      </w:r>
      <w:r>
        <w:rPr>
          <w:rFonts w:ascii="Times New Roman" w:hAnsi="Times New Roman" w:cs="Times New Roman"/>
          <w:color w:val="EE0000"/>
          <w:sz w:val="24"/>
          <w:szCs w:val="24"/>
        </w:rPr>
        <w:t xml:space="preserve">(unpaired </w:t>
      </w:r>
      <w:r>
        <w:rPr>
          <w:rFonts w:ascii="Times New Roman" w:hAnsi="Times New Roman" w:cs="Times New Roman"/>
          <w:i/>
          <w:iCs/>
          <w:color w:val="EE0000"/>
          <w:sz w:val="24"/>
          <w:szCs w:val="24"/>
        </w:rPr>
        <w:t>t</w:t>
      </w:r>
      <w:r>
        <w:rPr>
          <w:rFonts w:ascii="Times New Roman" w:hAnsi="Times New Roman" w:cs="Times New Roman"/>
          <w:color w:val="EE0000"/>
          <w:sz w:val="24"/>
          <w:szCs w:val="24"/>
        </w:rPr>
        <w:t xml:space="preserve"> test; ***</w:t>
      </w:r>
      <w:r>
        <w:rPr>
          <w:rFonts w:ascii="Times New Roman" w:hAnsi="Times New Roman" w:cs="Times New Roman"/>
          <w:i/>
          <w:iCs/>
          <w:color w:val="EE0000"/>
          <w:sz w:val="24"/>
          <w:szCs w:val="24"/>
        </w:rPr>
        <w:t>P</w:t>
      </w:r>
      <w:r>
        <w:rPr>
          <w:rFonts w:ascii="Times New Roman" w:hAnsi="Times New Roman" w:cs="Times New Roman"/>
          <w:color w:val="EE0000"/>
          <w:sz w:val="24"/>
          <w:szCs w:val="24"/>
        </w:rPr>
        <w:t xml:space="preserve"> &lt; 0.005).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 xml:space="preserve">(C-D) </w:t>
      </w:r>
      <w:r>
        <w:rPr>
          <w:rFonts w:ascii="Times New Roman" w:hAnsi="Times New Roman" w:cs="Times New Roman"/>
          <w:sz w:val="24"/>
          <w:szCs w:val="24"/>
        </w:rPr>
        <w:t>The I</w:t>
      </w:r>
      <w:r>
        <w:rPr>
          <w:rFonts w:hint="eastAsia" w:ascii="Times New Roman" w:hAnsi="Times New Roman" w:cs="Times New Roman"/>
          <w:sz w:val="24"/>
          <w:szCs w:val="24"/>
        </w:rPr>
        <w:t>L-2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hint="eastAsia"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and </w:t>
      </w:r>
      <w:r>
        <w:rPr>
          <w:rFonts w:hint="eastAsia" w:ascii="Times New Roman" w:hAnsi="Times New Roman" w:cs="Times New Roman"/>
          <w:sz w:val="24"/>
          <w:szCs w:val="24"/>
        </w:rPr>
        <w:t>IL-6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hint="eastAsia"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) secretion levels of </w:t>
      </w:r>
      <w:r>
        <w:rPr>
          <w:rFonts w:hint="eastAsia" w:ascii="Times New Roman" w:hAnsi="Times New Roman" w:cs="Times New Roman"/>
          <w:sz w:val="24"/>
          <w:szCs w:val="24"/>
        </w:rPr>
        <w:t>UTD</w:t>
      </w:r>
      <w:r>
        <w:rPr>
          <w:rFonts w:ascii="Times New Roman" w:hAnsi="Times New Roman" w:cs="Times New Roman"/>
          <w:sz w:val="24"/>
          <w:szCs w:val="24"/>
        </w:rPr>
        <w:t xml:space="preserve"> and two CAR-T cells cocultured with target cells at a 4:1 ratio for 24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 were measured by El</w:t>
      </w:r>
      <w:r>
        <w:rPr>
          <w:rFonts w:hint="eastAsia"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kits. </w:t>
      </w:r>
      <w:r>
        <w:rPr>
          <w:rFonts w:ascii="Times New Roman" w:hAnsi="Times New Roman" w:cs="Times New Roman"/>
          <w:color w:val="EE0000"/>
          <w:sz w:val="24"/>
          <w:szCs w:val="24"/>
        </w:rPr>
        <w:t xml:space="preserve">Data are presented as mean with SD </w:t>
      </w:r>
      <w:r>
        <w:rPr>
          <w:rFonts w:hint="eastAsia" w:ascii="Times New Roman" w:hAnsi="Times New Roman" w:cs="Times New Roman"/>
          <w:color w:val="EE0000"/>
          <w:sz w:val="24"/>
          <w:szCs w:val="24"/>
        </w:rPr>
        <w:t>of triplicate</w:t>
      </w:r>
      <w:r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EE0000"/>
          <w:sz w:val="24"/>
          <w:szCs w:val="24"/>
        </w:rPr>
        <w:t>wells</w:t>
      </w:r>
      <w:r>
        <w:rPr>
          <w:rFonts w:ascii="Times New Roman" w:hAnsi="Times New Roman" w:cs="Times New Roman"/>
          <w:color w:val="EE0000"/>
          <w:sz w:val="24"/>
          <w:szCs w:val="24"/>
        </w:rPr>
        <w:t xml:space="preserve"> (unpaired </w:t>
      </w:r>
      <w:r>
        <w:rPr>
          <w:rFonts w:ascii="Times New Roman" w:hAnsi="Times New Roman" w:cs="Times New Roman"/>
          <w:i/>
          <w:iCs/>
          <w:color w:val="EE0000"/>
          <w:sz w:val="24"/>
          <w:szCs w:val="24"/>
        </w:rPr>
        <w:t>t</w:t>
      </w:r>
      <w:r>
        <w:rPr>
          <w:rFonts w:ascii="Times New Roman" w:hAnsi="Times New Roman" w:cs="Times New Roman"/>
          <w:color w:val="EE0000"/>
          <w:sz w:val="24"/>
          <w:szCs w:val="24"/>
        </w:rPr>
        <w:t xml:space="preserve"> test).</w:t>
      </w:r>
      <w:r>
        <w:rPr>
          <w:rFonts w:ascii="Times New Roman" w:hAnsi="Times New Roman" w:eastAsia="宋体" w:cs="Times New Roman"/>
          <w:bCs/>
          <w:color w:val="EE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EE0000"/>
          <w:sz w:val="24"/>
          <w:szCs w:val="28"/>
        </w:rPr>
        <w:t>N</w:t>
      </w:r>
      <w:r>
        <w:rPr>
          <w:rFonts w:hint="eastAsia" w:ascii="Times New Roman" w:hAnsi="Times New Roman" w:cs="Times New Roman"/>
          <w:color w:val="EE0000"/>
          <w:sz w:val="24"/>
          <w:szCs w:val="28"/>
        </w:rPr>
        <w:t xml:space="preserve"> =1 T-cell donor.</w:t>
      </w:r>
      <w:r>
        <w:rPr>
          <w:rFonts w:ascii="Times New Roman" w:hAnsi="Times New Roman" w:eastAsia="宋体" w:cs="Times New Roman"/>
          <w:bCs/>
          <w:sz w:val="24"/>
          <w:szCs w:val="24"/>
        </w:rPr>
        <w:br w:type="page"/>
      </w:r>
    </w:p>
    <w:p w14:paraId="07BF14E6">
      <w:pPr>
        <w:spacing w:line="480" w:lineRule="auto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ascii="Times New Roman" w:hAnsi="Times New Roman" w:eastAsia="宋体" w:cs="Times New Roman"/>
          <w:bCs/>
          <w:sz w:val="24"/>
          <w:szCs w:val="24"/>
        </w:rPr>
        <w:drawing>
          <wp:inline distT="0" distB="0" distL="0" distR="0">
            <wp:extent cx="5731510" cy="7330440"/>
            <wp:effectExtent l="0" t="0" r="2540" b="3810"/>
            <wp:docPr id="199312679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126798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3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8A100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hint="eastAsia" w:ascii="Times New Roman" w:hAnsi="Times New Roman" w:cs="Times New Roman"/>
          <w:b/>
          <w:bCs/>
          <w:color w:val="EE0000"/>
          <w:sz w:val="24"/>
          <w:szCs w:val="28"/>
        </w:rPr>
        <w:t>Figure S3.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 xml:space="preserve"> Cytotoxic assays of EpCAM-specific CAR-T cells 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8"/>
        </w:rPr>
        <w:t>in vitro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>.</w:t>
      </w:r>
    </w:p>
    <w:p w14:paraId="3B446D0F">
      <w:pPr>
        <w:spacing w:line="480" w:lineRule="auto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8"/>
        </w:rPr>
        <w:t>Cytotoxic activity of UTD and two anti-EpCAM CAR-T cells (left: 28 CAR; middle: BB CAR; right: UTD) against GFP positive BxPC-3 (A), Capan-2 (B), CFPAC-1 (C), AsPC-1 (D)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hint="eastAsia" w:ascii="Times New Roman" w:hAnsi="Times New Roman" w:cs="Times New Roman"/>
          <w:sz w:val="24"/>
          <w:szCs w:val="28"/>
        </w:rPr>
        <w:t>and hTERT-HPNE (E) cells coculture for 72 hours at E:T ratios of 4:1, 2:1, 1:1, 1:2 and 1:4.</w:t>
      </w:r>
      <w:r>
        <w:rPr>
          <w:rFonts w:ascii="Times New Roman" w:hAnsi="Times New Roman" w:cs="Times New Roman"/>
          <w:color w:val="EE0000"/>
          <w:sz w:val="24"/>
          <w:szCs w:val="24"/>
        </w:rPr>
        <w:t xml:space="preserve"> Data are presented as mean with SD </w:t>
      </w:r>
      <w:r>
        <w:rPr>
          <w:rFonts w:hint="eastAsia" w:ascii="Times New Roman" w:hAnsi="Times New Roman" w:cs="Times New Roman"/>
          <w:color w:val="EE0000"/>
          <w:sz w:val="24"/>
          <w:szCs w:val="24"/>
        </w:rPr>
        <w:t>of triplicate</w:t>
      </w:r>
      <w:r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EE0000"/>
          <w:sz w:val="24"/>
          <w:szCs w:val="24"/>
        </w:rPr>
        <w:t>wells</w:t>
      </w:r>
      <w:r>
        <w:rPr>
          <w:rFonts w:ascii="Times New Roman" w:hAnsi="Times New Roman" w:cs="Times New Roman"/>
          <w:color w:val="EE0000"/>
          <w:sz w:val="24"/>
          <w:szCs w:val="24"/>
        </w:rPr>
        <w:t>.</w:t>
      </w:r>
      <w:r>
        <w:rPr>
          <w:rFonts w:ascii="Times New Roman" w:hAnsi="Times New Roman" w:eastAsia="宋体" w:cs="Times New Roman"/>
          <w:bCs/>
          <w:color w:val="EE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EE0000"/>
          <w:sz w:val="24"/>
          <w:szCs w:val="28"/>
        </w:rPr>
        <w:t>N</w:t>
      </w:r>
      <w:r>
        <w:rPr>
          <w:rFonts w:hint="eastAsia" w:ascii="Times New Roman" w:hAnsi="Times New Roman" w:cs="Times New Roman"/>
          <w:color w:val="EE0000"/>
          <w:sz w:val="24"/>
          <w:szCs w:val="28"/>
        </w:rPr>
        <w:t xml:space="preserve"> =1 T-cell donor.</w:t>
      </w:r>
      <w:r>
        <w:rPr>
          <w:rFonts w:ascii="Times New Roman" w:hAnsi="Times New Roman" w:eastAsia="宋体" w:cs="Times New Roman"/>
          <w:bCs/>
          <w:sz w:val="24"/>
          <w:szCs w:val="24"/>
        </w:rPr>
        <w:br w:type="page"/>
      </w:r>
    </w:p>
    <w:p w14:paraId="1F2E3B16">
      <w:pPr>
        <w:spacing w:before="240"/>
        <w:jc w:val="center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ascii="Times New Roman" w:hAnsi="Times New Roman" w:eastAsia="宋体" w:cs="Times New Roman"/>
          <w:bCs/>
          <w:sz w:val="24"/>
          <w:szCs w:val="24"/>
        </w:rPr>
        <w:drawing>
          <wp:inline distT="0" distB="0" distL="0" distR="0">
            <wp:extent cx="4370705" cy="5522595"/>
            <wp:effectExtent l="0" t="0" r="0" b="1905"/>
            <wp:docPr id="185690107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901078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0832" cy="552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80BA4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hint="eastAsia" w:ascii="Times New Roman" w:hAnsi="Times New Roman" w:cs="Times New Roman"/>
          <w:b/>
          <w:bCs/>
          <w:color w:val="EE0000"/>
          <w:sz w:val="24"/>
          <w:szCs w:val="28"/>
        </w:rPr>
        <w:t>Figure S4.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 xml:space="preserve"> Pathological signs of liver damage in the control T cell group but not CAR-T cell groups in xenograft mouse models of pancreatic cancer.</w:t>
      </w:r>
    </w:p>
    <w:p w14:paraId="58C9702E">
      <w:pPr>
        <w:spacing w:line="480" w:lineRule="auto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8"/>
        </w:rPr>
        <w:t xml:space="preserve">Representative hematoxylin and eosin (H&amp;E) staining images in xenograft mouse models of BxPC-3 (A) and Capan-2 (B) of normal liver in the PBS, 28 CAR and BB CAR-T cell group, as well as the liver with lymphocytes infiltration in the T cell group. Scale bars, 200 </w:t>
      </w:r>
      <w:r>
        <w:rPr>
          <w:rFonts w:ascii="Times New Roman" w:hAnsi="Times New Roman" w:cs="Times New Roman"/>
          <w:sz w:val="24"/>
          <w:szCs w:val="28"/>
        </w:rPr>
        <w:t>μ</w:t>
      </w:r>
      <w:r>
        <w:rPr>
          <w:rFonts w:hint="eastAsia" w:ascii="Times New Roman" w:hAnsi="Times New Roman" w:cs="Times New Roman"/>
          <w:sz w:val="24"/>
          <w:szCs w:val="28"/>
        </w:rPr>
        <w:t>m.</w:t>
      </w:r>
      <w:r>
        <w:rPr>
          <w:rFonts w:ascii="Times New Roman" w:hAnsi="Times New Roman" w:eastAsia="宋体" w:cs="Times New Roman"/>
          <w:bCs/>
          <w:sz w:val="24"/>
          <w:szCs w:val="24"/>
        </w:rPr>
        <w:br w:type="page"/>
      </w:r>
    </w:p>
    <w:p w14:paraId="758A6B2A">
      <w:pPr>
        <w:widowControl/>
        <w:spacing w:before="156" w:beforeLines="50" w:after="156" w:afterLines="50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b/>
          <w:kern w:val="0"/>
          <w:sz w:val="24"/>
          <w:szCs w:val="24"/>
        </w:rPr>
        <w:t xml:space="preserve">Table S1. 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Cell lines</w:t>
      </w:r>
      <w:r>
        <w:rPr>
          <w:rFonts w:hint="eastAsia" w:ascii="Times New Roman" w:hAnsi="Times New Roman" w:cs="Times New Roman"/>
          <w:b/>
          <w:kern w:val="0"/>
          <w:sz w:val="24"/>
          <w:szCs w:val="24"/>
        </w:rPr>
        <w:t xml:space="preserve">, plasmids 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and antibodies used in this study</w:t>
      </w:r>
    </w:p>
    <w:tbl>
      <w:tblPr>
        <w:tblStyle w:val="6"/>
        <w:tblW w:w="8928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9"/>
        <w:gridCol w:w="2835"/>
        <w:gridCol w:w="2694"/>
      </w:tblGrid>
      <w:tr w14:paraId="351E90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cantSplit/>
        </w:trPr>
        <w:tc>
          <w:tcPr>
            <w:tcW w:w="3399" w:type="dxa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 w14:paraId="5A3E2A89">
            <w:pPr>
              <w:rPr>
                <w:rFonts w:ascii="Times New Roman" w:hAnsi="Times New Roman" w:eastAsia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Cs w:val="21"/>
              </w:rPr>
              <w:t>REAGENT or RESOURCE</w:t>
            </w:r>
          </w:p>
        </w:tc>
        <w:tc>
          <w:tcPr>
            <w:tcW w:w="2835" w:type="dxa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 w14:paraId="1DF2A269">
            <w:pPr>
              <w:rPr>
                <w:rFonts w:ascii="Times New Roman" w:hAnsi="Times New Roman" w:eastAsia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Cs w:val="21"/>
              </w:rPr>
              <w:t>SOURCE</w:t>
            </w:r>
          </w:p>
        </w:tc>
        <w:tc>
          <w:tcPr>
            <w:tcW w:w="2694" w:type="dxa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 w14:paraId="004D6B6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Additional information</w:t>
            </w:r>
          </w:p>
        </w:tc>
      </w:tr>
      <w:tr w14:paraId="2AB23D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8928" w:type="dxa"/>
            <w:gridSpan w:val="3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 w14:paraId="708B4A67">
            <w:pPr>
              <w:rPr>
                <w:rFonts w:ascii="Times New Roman" w:hAnsi="Times New Roman" w:eastAsia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Cs w:val="21"/>
              </w:rPr>
              <w:t>Cell Lines</w:t>
            </w:r>
          </w:p>
        </w:tc>
      </w:tr>
      <w:tr w14:paraId="390AC3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tcBorders>
              <w:top w:val="single" w:color="000000" w:sz="12" w:space="0"/>
            </w:tcBorders>
            <w:vAlign w:val="center"/>
          </w:tcPr>
          <w:p w14:paraId="12EFB52C">
            <w:pPr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HEK293T</w:t>
            </w:r>
          </w:p>
        </w:tc>
        <w:tc>
          <w:tcPr>
            <w:tcW w:w="2835" w:type="dxa"/>
            <w:tcBorders>
              <w:top w:val="single" w:color="000000" w:sz="12" w:space="0"/>
            </w:tcBorders>
            <w:vAlign w:val="center"/>
          </w:tcPr>
          <w:p w14:paraId="11060AE4">
            <w:pPr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ATCC</w:t>
            </w:r>
          </w:p>
        </w:tc>
        <w:tc>
          <w:tcPr>
            <w:tcW w:w="2694" w:type="dxa"/>
            <w:tcBorders>
              <w:top w:val="single" w:color="000000" w:sz="12" w:space="0"/>
            </w:tcBorders>
            <w:vAlign w:val="center"/>
          </w:tcPr>
          <w:p w14:paraId="2FDC7F42">
            <w:pPr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For lentivirus packaging</w:t>
            </w:r>
          </w:p>
        </w:tc>
      </w:tr>
      <w:tr w14:paraId="282A1C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tcBorders>
              <w:top w:val="single" w:color="000000" w:sz="12" w:space="0"/>
            </w:tcBorders>
            <w:vAlign w:val="center"/>
          </w:tcPr>
          <w:p w14:paraId="6D0715A5">
            <w:pPr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J-N/N</w:t>
            </w:r>
          </w:p>
        </w:tc>
        <w:tc>
          <w:tcPr>
            <w:tcW w:w="2835" w:type="dxa"/>
            <w:tcBorders>
              <w:top w:val="single" w:color="000000" w:sz="12" w:space="0"/>
            </w:tcBorders>
            <w:vAlign w:val="center"/>
          </w:tcPr>
          <w:p w14:paraId="43D64A49">
            <w:pPr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Si, et al. (2023)</w:t>
            </w:r>
          </w:p>
        </w:tc>
        <w:tc>
          <w:tcPr>
            <w:tcW w:w="2694" w:type="dxa"/>
            <w:tcBorders>
              <w:top w:val="single" w:color="000000" w:sz="12" w:space="0"/>
            </w:tcBorders>
            <w:vAlign w:val="center"/>
          </w:tcPr>
          <w:p w14:paraId="0EECA95D">
            <w:pPr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For CAR signaling activation</w:t>
            </w:r>
          </w:p>
        </w:tc>
      </w:tr>
      <w:tr w14:paraId="2F98A1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tcBorders>
              <w:top w:val="single" w:color="000000" w:sz="12" w:space="0"/>
            </w:tcBorders>
            <w:vAlign w:val="center"/>
          </w:tcPr>
          <w:p w14:paraId="728B417B">
            <w:pPr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AsPC-1</w:t>
            </w:r>
          </w:p>
        </w:tc>
        <w:tc>
          <w:tcPr>
            <w:tcW w:w="2835" w:type="dxa"/>
            <w:tcBorders>
              <w:top w:val="single" w:color="000000" w:sz="12" w:space="0"/>
            </w:tcBorders>
            <w:vAlign w:val="center"/>
          </w:tcPr>
          <w:p w14:paraId="635BF149">
            <w:pPr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ATCC</w:t>
            </w:r>
          </w:p>
        </w:tc>
        <w:tc>
          <w:tcPr>
            <w:tcW w:w="2694" w:type="dxa"/>
            <w:tcBorders>
              <w:top w:val="single" w:color="000000" w:sz="12" w:space="0"/>
            </w:tcBorders>
            <w:vAlign w:val="center"/>
          </w:tcPr>
          <w:p w14:paraId="5944630C">
            <w:pPr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EpCAM-positive target cell</w:t>
            </w:r>
          </w:p>
        </w:tc>
      </w:tr>
      <w:tr w14:paraId="0CA12A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tcBorders>
              <w:top w:val="single" w:color="000000" w:sz="12" w:space="0"/>
            </w:tcBorders>
            <w:vAlign w:val="center"/>
          </w:tcPr>
          <w:p w14:paraId="0D88970E">
            <w:pPr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BxPC-3</w:t>
            </w:r>
          </w:p>
        </w:tc>
        <w:tc>
          <w:tcPr>
            <w:tcW w:w="2835" w:type="dxa"/>
            <w:tcBorders>
              <w:top w:val="single" w:color="000000" w:sz="12" w:space="0"/>
            </w:tcBorders>
            <w:vAlign w:val="center"/>
          </w:tcPr>
          <w:p w14:paraId="4C17B007">
            <w:pPr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ATCC</w:t>
            </w:r>
          </w:p>
        </w:tc>
        <w:tc>
          <w:tcPr>
            <w:tcW w:w="2694" w:type="dxa"/>
            <w:tcBorders>
              <w:top w:val="single" w:color="000000" w:sz="12" w:space="0"/>
            </w:tcBorders>
            <w:vAlign w:val="center"/>
          </w:tcPr>
          <w:p w14:paraId="43C8E25F">
            <w:pPr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EpCAM-positive target cell</w:t>
            </w:r>
          </w:p>
        </w:tc>
      </w:tr>
      <w:tr w14:paraId="744036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tcBorders>
              <w:top w:val="single" w:color="000000" w:sz="12" w:space="0"/>
            </w:tcBorders>
            <w:vAlign w:val="center"/>
          </w:tcPr>
          <w:p w14:paraId="1DEB6854">
            <w:pPr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CFPAC-1</w:t>
            </w:r>
          </w:p>
        </w:tc>
        <w:tc>
          <w:tcPr>
            <w:tcW w:w="2835" w:type="dxa"/>
            <w:tcBorders>
              <w:top w:val="single" w:color="000000" w:sz="12" w:space="0"/>
            </w:tcBorders>
            <w:vAlign w:val="center"/>
          </w:tcPr>
          <w:p w14:paraId="6B0E1BF4">
            <w:pPr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ATCC</w:t>
            </w:r>
          </w:p>
        </w:tc>
        <w:tc>
          <w:tcPr>
            <w:tcW w:w="2694" w:type="dxa"/>
            <w:tcBorders>
              <w:top w:val="single" w:color="000000" w:sz="12" w:space="0"/>
            </w:tcBorders>
            <w:vAlign w:val="center"/>
          </w:tcPr>
          <w:p w14:paraId="17535DBF">
            <w:pPr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EpCAM-positive target cell</w:t>
            </w:r>
          </w:p>
        </w:tc>
      </w:tr>
      <w:tr w14:paraId="24BCA9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vAlign w:val="center"/>
          </w:tcPr>
          <w:p w14:paraId="5E84906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Capan-2</w:t>
            </w:r>
          </w:p>
        </w:tc>
        <w:tc>
          <w:tcPr>
            <w:tcW w:w="2835" w:type="dxa"/>
            <w:vAlign w:val="center"/>
          </w:tcPr>
          <w:p w14:paraId="1EA47F2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Procell</w:t>
            </w:r>
          </w:p>
        </w:tc>
        <w:tc>
          <w:tcPr>
            <w:tcW w:w="2694" w:type="dxa"/>
            <w:vAlign w:val="center"/>
          </w:tcPr>
          <w:p w14:paraId="27AFF7A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EpCAM-positive target cell</w:t>
            </w:r>
          </w:p>
        </w:tc>
      </w:tr>
      <w:tr w14:paraId="4D8349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vAlign w:val="center"/>
          </w:tcPr>
          <w:p w14:paraId="74C8C353">
            <w:pPr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HPAF-II</w:t>
            </w:r>
          </w:p>
        </w:tc>
        <w:tc>
          <w:tcPr>
            <w:tcW w:w="2835" w:type="dxa"/>
            <w:vAlign w:val="center"/>
          </w:tcPr>
          <w:p w14:paraId="54FA372B"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ATCC</w:t>
            </w:r>
          </w:p>
        </w:tc>
        <w:tc>
          <w:tcPr>
            <w:tcW w:w="2694" w:type="dxa"/>
            <w:vAlign w:val="center"/>
          </w:tcPr>
          <w:p w14:paraId="1E235BBE">
            <w:pPr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EpCAM-positive target cell</w:t>
            </w:r>
          </w:p>
        </w:tc>
      </w:tr>
      <w:tr w14:paraId="420AAB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vAlign w:val="center"/>
          </w:tcPr>
          <w:p w14:paraId="6203F121">
            <w:pPr>
              <w:tabs>
                <w:tab w:val="left" w:pos="1525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SW1990</w:t>
            </w:r>
          </w:p>
        </w:tc>
        <w:tc>
          <w:tcPr>
            <w:tcW w:w="2835" w:type="dxa"/>
            <w:vAlign w:val="center"/>
          </w:tcPr>
          <w:p w14:paraId="4C465A40"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Cell Resource Center, Peking Union Medical College</w:t>
            </w:r>
            <w:r>
              <w:rPr>
                <w:rFonts w:hint="eastAsia" w:ascii="Times New Roman" w:hAnsi="Times New Roman" w:eastAsia="等线" w:cs="Times New Roman"/>
                <w:szCs w:val="21"/>
              </w:rPr>
              <w:t> </w:t>
            </w:r>
            <w:r>
              <w:rPr>
                <w:rFonts w:ascii="Times New Roman" w:hAnsi="Times New Roman" w:eastAsia="等线" w:cs="Times New Roman"/>
                <w:szCs w:val="21"/>
              </w:rPr>
              <w:t>(which is part of the National Science and Technology Infrastructure,</w:t>
            </w:r>
            <w:r>
              <w:rPr>
                <w:rFonts w:hint="eastAsia" w:ascii="Times New Roman" w:hAnsi="Times New Roman" w:eastAsia="等线" w:cs="Times New Roman"/>
                <w:szCs w:val="21"/>
              </w:rPr>
              <w:t> </w:t>
            </w:r>
            <w:r>
              <w:rPr>
                <w:rFonts w:ascii="Times New Roman" w:hAnsi="Times New Roman" w:eastAsia="等线" w:cs="Times New Roman"/>
                <w:szCs w:val="21"/>
              </w:rPr>
              <w:t>the</w:t>
            </w:r>
            <w:r>
              <w:rPr>
                <w:rFonts w:hint="eastAsia" w:ascii="Times New Roman" w:hAnsi="Times New Roman" w:eastAsia="等线" w:cs="Times New Roman"/>
                <w:szCs w:val="21"/>
              </w:rPr>
              <w:t> </w:t>
            </w:r>
            <w:r>
              <w:rPr>
                <w:rFonts w:ascii="Times New Roman" w:hAnsi="Times New Roman" w:eastAsia="等线" w:cs="Times New Roman"/>
                <w:szCs w:val="21"/>
              </w:rPr>
              <w:t>National Biomedical Cell-Line Resource, NSTI-BMCR. </w:t>
            </w:r>
            <w:r>
              <w:fldChar w:fldCharType="begin"/>
            </w:r>
            <w:r>
              <w:instrText xml:space="preserve"> HYPERLINK "http://cellresource.cn/"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等线" w:cs="Times New Roman"/>
                <w:szCs w:val="21"/>
              </w:rPr>
              <w:t>http://cellresource.cn</w:t>
            </w:r>
            <w:r>
              <w:rPr>
                <w:rStyle w:val="9"/>
                <w:rFonts w:ascii="Times New Roman" w:hAnsi="Times New Roman" w:eastAsia="等线" w:cs="Times New Roman"/>
                <w:szCs w:val="21"/>
              </w:rPr>
              <w:fldChar w:fldCharType="end"/>
            </w:r>
            <w:r>
              <w:rPr>
                <w:rFonts w:ascii="Times New Roman" w:hAnsi="Times New Roman" w:eastAsia="等线" w:cs="Times New Roman"/>
                <w:szCs w:val="21"/>
              </w:rPr>
              <w:t>）</w:t>
            </w:r>
          </w:p>
        </w:tc>
        <w:tc>
          <w:tcPr>
            <w:tcW w:w="2694" w:type="dxa"/>
            <w:vAlign w:val="center"/>
          </w:tcPr>
          <w:p w14:paraId="42012C3B"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EpCAM-positive target cell</w:t>
            </w:r>
          </w:p>
        </w:tc>
      </w:tr>
      <w:tr w14:paraId="7F8C37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vAlign w:val="center"/>
          </w:tcPr>
          <w:p w14:paraId="2E588B98">
            <w:pPr>
              <w:tabs>
                <w:tab w:val="left" w:pos="1525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hTERT-HPNE</w:t>
            </w:r>
          </w:p>
        </w:tc>
        <w:tc>
          <w:tcPr>
            <w:tcW w:w="2835" w:type="dxa"/>
            <w:vAlign w:val="center"/>
          </w:tcPr>
          <w:p w14:paraId="15F01BCA"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ATCC</w:t>
            </w:r>
          </w:p>
        </w:tc>
        <w:tc>
          <w:tcPr>
            <w:tcW w:w="2694" w:type="dxa"/>
            <w:vAlign w:val="center"/>
          </w:tcPr>
          <w:p w14:paraId="3766D87E"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EpCAM-negative target cell</w:t>
            </w:r>
          </w:p>
        </w:tc>
      </w:tr>
      <w:tr w14:paraId="0CC4FA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vAlign w:val="center"/>
          </w:tcPr>
          <w:p w14:paraId="4148B856">
            <w:pPr>
              <w:tabs>
                <w:tab w:val="left" w:pos="1525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AsPC-1-G-L</w:t>
            </w:r>
          </w:p>
        </w:tc>
        <w:tc>
          <w:tcPr>
            <w:tcW w:w="2835" w:type="dxa"/>
            <w:vAlign w:val="center"/>
          </w:tcPr>
          <w:p w14:paraId="1DD48FF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2694" w:type="dxa"/>
            <w:vAlign w:val="center"/>
          </w:tcPr>
          <w:p w14:paraId="7EA4A117"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EpCAM-positive target cell</w:t>
            </w:r>
          </w:p>
        </w:tc>
      </w:tr>
      <w:tr w14:paraId="5068EC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vAlign w:val="center"/>
          </w:tcPr>
          <w:p w14:paraId="7BD63F4B">
            <w:pPr>
              <w:tabs>
                <w:tab w:val="left" w:pos="1525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BxPC-3-G-L</w:t>
            </w:r>
          </w:p>
        </w:tc>
        <w:tc>
          <w:tcPr>
            <w:tcW w:w="2835" w:type="dxa"/>
            <w:vAlign w:val="center"/>
          </w:tcPr>
          <w:p w14:paraId="6547229F"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2694" w:type="dxa"/>
            <w:vAlign w:val="center"/>
          </w:tcPr>
          <w:p w14:paraId="750809B2"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EpCAM-positive target cell</w:t>
            </w:r>
          </w:p>
        </w:tc>
      </w:tr>
      <w:tr w14:paraId="51D408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vAlign w:val="center"/>
          </w:tcPr>
          <w:p w14:paraId="6458CBE0">
            <w:pPr>
              <w:tabs>
                <w:tab w:val="left" w:pos="1525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CFPAC-1-G-L</w:t>
            </w:r>
          </w:p>
        </w:tc>
        <w:tc>
          <w:tcPr>
            <w:tcW w:w="2835" w:type="dxa"/>
            <w:vAlign w:val="center"/>
          </w:tcPr>
          <w:p w14:paraId="3D92370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2694" w:type="dxa"/>
            <w:vAlign w:val="center"/>
          </w:tcPr>
          <w:p w14:paraId="2D55DB8A">
            <w:pPr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EpCAM-positive target cell</w:t>
            </w:r>
          </w:p>
        </w:tc>
      </w:tr>
      <w:tr w14:paraId="6AD532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vAlign w:val="center"/>
          </w:tcPr>
          <w:p w14:paraId="4E519959">
            <w:pPr>
              <w:tabs>
                <w:tab w:val="left" w:pos="1525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Capan-2-G-L</w:t>
            </w:r>
          </w:p>
        </w:tc>
        <w:tc>
          <w:tcPr>
            <w:tcW w:w="2835" w:type="dxa"/>
            <w:vAlign w:val="center"/>
          </w:tcPr>
          <w:p w14:paraId="2B74C2B3"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2694" w:type="dxa"/>
            <w:vAlign w:val="center"/>
          </w:tcPr>
          <w:p w14:paraId="395E1EED"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EpCAM-positive target cell</w:t>
            </w:r>
          </w:p>
        </w:tc>
      </w:tr>
      <w:tr w14:paraId="5AE3AE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vAlign w:val="center"/>
          </w:tcPr>
          <w:p w14:paraId="0FED1EC6">
            <w:pPr>
              <w:tabs>
                <w:tab w:val="left" w:pos="1525"/>
              </w:tabs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hTERT-HPNE-GFP</w:t>
            </w:r>
          </w:p>
        </w:tc>
        <w:tc>
          <w:tcPr>
            <w:tcW w:w="2835" w:type="dxa"/>
            <w:vAlign w:val="center"/>
          </w:tcPr>
          <w:p w14:paraId="16C23885"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2694" w:type="dxa"/>
            <w:vAlign w:val="center"/>
          </w:tcPr>
          <w:p w14:paraId="33FF0EB3"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EpCAM-negative target cell</w:t>
            </w:r>
          </w:p>
        </w:tc>
      </w:tr>
      <w:tr w14:paraId="7A4A14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vAlign w:val="center"/>
          </w:tcPr>
          <w:p w14:paraId="6BA3F3C1">
            <w:pPr>
              <w:tabs>
                <w:tab w:val="left" w:pos="1525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hTERT-HPNE-RFP</w:t>
            </w:r>
          </w:p>
        </w:tc>
        <w:tc>
          <w:tcPr>
            <w:tcW w:w="2835" w:type="dxa"/>
            <w:vAlign w:val="center"/>
          </w:tcPr>
          <w:p w14:paraId="0BCB1D2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2694" w:type="dxa"/>
            <w:vAlign w:val="center"/>
          </w:tcPr>
          <w:p w14:paraId="0A29A275">
            <w:pPr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EpCAM-negative target cell</w:t>
            </w:r>
          </w:p>
        </w:tc>
      </w:tr>
      <w:tr w14:paraId="08205A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vAlign w:val="center"/>
          </w:tcPr>
          <w:p w14:paraId="0709320F">
            <w:pPr>
              <w:tabs>
                <w:tab w:val="left" w:pos="1525"/>
              </w:tabs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Human PBMC</w:t>
            </w:r>
          </w:p>
        </w:tc>
        <w:tc>
          <w:tcPr>
            <w:tcW w:w="2835" w:type="dxa"/>
            <w:vAlign w:val="center"/>
          </w:tcPr>
          <w:p w14:paraId="06D215E3"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MILESTONE</w:t>
            </w:r>
          </w:p>
        </w:tc>
        <w:tc>
          <w:tcPr>
            <w:tcW w:w="2694" w:type="dxa"/>
            <w:vAlign w:val="center"/>
          </w:tcPr>
          <w:p w14:paraId="449E4DE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Cat#PB</w:t>
            </w:r>
            <w:r>
              <w:rPr>
                <w:rFonts w:hint="eastAsia" w:ascii="Times New Roman" w:hAnsi="Times New Roman" w:cs="Times New Roman"/>
                <w:szCs w:val="21"/>
              </w:rPr>
              <w:t>050C</w:t>
            </w:r>
          </w:p>
        </w:tc>
      </w:tr>
      <w:tr w14:paraId="189232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8928" w:type="dxa"/>
            <w:gridSpan w:val="3"/>
            <w:vAlign w:val="center"/>
          </w:tcPr>
          <w:p w14:paraId="5C32812B"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Plasmid</w:t>
            </w:r>
            <w:r>
              <w:rPr>
                <w:rFonts w:ascii="Times New Roman" w:hAnsi="Times New Roman" w:eastAsia="Times New Roman" w:cs="Times New Roman"/>
                <w:b/>
                <w:bCs/>
                <w:szCs w:val="21"/>
              </w:rPr>
              <w:t>s</w:t>
            </w:r>
          </w:p>
        </w:tc>
      </w:tr>
      <w:tr w14:paraId="4FDF8C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vAlign w:val="center"/>
          </w:tcPr>
          <w:p w14:paraId="3BA83736">
            <w:pPr>
              <w:tabs>
                <w:tab w:val="left" w:pos="1525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psPAX2</w:t>
            </w:r>
          </w:p>
        </w:tc>
        <w:tc>
          <w:tcPr>
            <w:tcW w:w="2835" w:type="dxa"/>
            <w:vAlign w:val="center"/>
          </w:tcPr>
          <w:p w14:paraId="3F5ADCD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MiaoLing</w:t>
            </w:r>
          </w:p>
        </w:tc>
        <w:tc>
          <w:tcPr>
            <w:tcW w:w="2694" w:type="dxa"/>
            <w:vAlign w:val="center"/>
          </w:tcPr>
          <w:p w14:paraId="1BD8311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For viral packaging</w:t>
            </w:r>
          </w:p>
        </w:tc>
      </w:tr>
      <w:tr w14:paraId="4FC00F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vAlign w:val="center"/>
          </w:tcPr>
          <w:p w14:paraId="4E1D17B6">
            <w:pPr>
              <w:tabs>
                <w:tab w:val="left" w:pos="1525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pMD2.G</w:t>
            </w:r>
          </w:p>
        </w:tc>
        <w:tc>
          <w:tcPr>
            <w:tcW w:w="2835" w:type="dxa"/>
            <w:vAlign w:val="center"/>
          </w:tcPr>
          <w:p w14:paraId="4D237077"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MiaoLing</w:t>
            </w:r>
          </w:p>
        </w:tc>
        <w:tc>
          <w:tcPr>
            <w:tcW w:w="2694" w:type="dxa"/>
            <w:vAlign w:val="center"/>
          </w:tcPr>
          <w:p w14:paraId="639E6CC8"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For viral packaging</w:t>
            </w:r>
          </w:p>
        </w:tc>
      </w:tr>
      <w:tr w14:paraId="562104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vAlign w:val="center"/>
          </w:tcPr>
          <w:p w14:paraId="16212E00">
            <w:pPr>
              <w:tabs>
                <w:tab w:val="left" w:pos="1525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pHQR1.1-SP-EpCAM scFv-CD8</w:t>
            </w:r>
            <w:r>
              <w:rPr>
                <w:rFonts w:ascii="Times New Roman" w:hAnsi="Times New Roman" w:cs="Times New Roman"/>
                <w:szCs w:val="21"/>
              </w:rPr>
              <w:t>α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hinge and TM-CD28-CD3z</w:t>
            </w:r>
          </w:p>
        </w:tc>
        <w:tc>
          <w:tcPr>
            <w:tcW w:w="2835" w:type="dxa"/>
            <w:vAlign w:val="center"/>
          </w:tcPr>
          <w:p w14:paraId="11EE7C10"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2694" w:type="dxa"/>
            <w:vAlign w:val="center"/>
          </w:tcPr>
          <w:p w14:paraId="051A1EE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Lentiviral vector of 28 CAR</w:t>
            </w:r>
          </w:p>
        </w:tc>
      </w:tr>
      <w:tr w14:paraId="624A9B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vAlign w:val="center"/>
          </w:tcPr>
          <w:p w14:paraId="4BB84D45">
            <w:pPr>
              <w:tabs>
                <w:tab w:val="left" w:pos="1525"/>
              </w:tabs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pHQR1.1-SP-EpCAM scFv-CD8</w:t>
            </w:r>
            <w:r>
              <w:rPr>
                <w:rFonts w:ascii="Times New Roman" w:hAnsi="Times New Roman" w:cs="Times New Roman"/>
                <w:szCs w:val="21"/>
              </w:rPr>
              <w:t>α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hinge and TM-41BB-CD3z</w:t>
            </w:r>
          </w:p>
        </w:tc>
        <w:tc>
          <w:tcPr>
            <w:tcW w:w="2835" w:type="dxa"/>
            <w:vAlign w:val="center"/>
          </w:tcPr>
          <w:p w14:paraId="787924CF"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2694" w:type="dxa"/>
            <w:vAlign w:val="center"/>
          </w:tcPr>
          <w:p w14:paraId="5A8603BF"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Lentiviral vector of BB CAR</w:t>
            </w:r>
          </w:p>
        </w:tc>
      </w:tr>
      <w:tr w14:paraId="62FB44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vAlign w:val="center"/>
          </w:tcPr>
          <w:p w14:paraId="6340BF15">
            <w:pPr>
              <w:tabs>
                <w:tab w:val="left" w:pos="1525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pCDH-CMV-Luciferase-EF1</w:t>
            </w:r>
            <w:r>
              <w:rPr>
                <w:rFonts w:ascii="Times New Roman" w:hAnsi="Times New Roman" w:cs="Times New Roman"/>
                <w:szCs w:val="21"/>
              </w:rPr>
              <w:t>α-c</w:t>
            </w:r>
            <w:r>
              <w:rPr>
                <w:rFonts w:hint="eastAsia" w:ascii="Times New Roman" w:hAnsi="Times New Roman" w:cs="Times New Roman"/>
                <w:szCs w:val="21"/>
              </w:rPr>
              <w:t>opGFP-T2A-PuroR</w:t>
            </w:r>
          </w:p>
        </w:tc>
        <w:tc>
          <w:tcPr>
            <w:tcW w:w="2835" w:type="dxa"/>
            <w:vAlign w:val="center"/>
          </w:tcPr>
          <w:p w14:paraId="45EF7BCB"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2694" w:type="dxa"/>
            <w:vAlign w:val="center"/>
          </w:tcPr>
          <w:p w14:paraId="0F6CFB8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Lentiviral vector of firefly luciferase and GFP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EE0000"/>
                <w:szCs w:val="21"/>
              </w:rPr>
              <w:t>fluorescent reporter of EpCAM-positive target cells</w:t>
            </w:r>
          </w:p>
        </w:tc>
      </w:tr>
      <w:tr w14:paraId="49F2DA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vAlign w:val="center"/>
          </w:tcPr>
          <w:p w14:paraId="5C71CC7A">
            <w:pPr>
              <w:tabs>
                <w:tab w:val="left" w:pos="1525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pHQR1.0-copGFP</w:t>
            </w:r>
          </w:p>
        </w:tc>
        <w:tc>
          <w:tcPr>
            <w:tcW w:w="2835" w:type="dxa"/>
            <w:vAlign w:val="center"/>
          </w:tcPr>
          <w:p w14:paraId="14BE55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2694" w:type="dxa"/>
            <w:vAlign w:val="center"/>
          </w:tcPr>
          <w:p w14:paraId="64DE947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Lentiviral vector of GFP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EE0000"/>
                <w:szCs w:val="21"/>
              </w:rPr>
              <w:t>fluorescent reporter of hTERT-HPNE</w:t>
            </w:r>
          </w:p>
        </w:tc>
      </w:tr>
      <w:tr w14:paraId="47561A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vAlign w:val="center"/>
          </w:tcPr>
          <w:p w14:paraId="04A89943">
            <w:pPr>
              <w:tabs>
                <w:tab w:val="left" w:pos="1525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pHQR1.0-mRFP1</w:t>
            </w:r>
          </w:p>
        </w:tc>
        <w:tc>
          <w:tcPr>
            <w:tcW w:w="2835" w:type="dxa"/>
            <w:vAlign w:val="center"/>
          </w:tcPr>
          <w:p w14:paraId="530C598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This study</w:t>
            </w:r>
          </w:p>
        </w:tc>
        <w:tc>
          <w:tcPr>
            <w:tcW w:w="2694" w:type="dxa"/>
            <w:vAlign w:val="center"/>
          </w:tcPr>
          <w:p w14:paraId="1BD4A1F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Lentiviral vector of </w:t>
            </w:r>
            <w:r>
              <w:rPr>
                <w:rFonts w:hint="eastAsia" w:ascii="Times New Roman" w:hAnsi="Times New Roman" w:cs="Times New Roman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FP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EE0000"/>
                <w:szCs w:val="21"/>
              </w:rPr>
              <w:t>fluorescent reporter of hTERT-HPNE in mixed spheroid model</w:t>
            </w:r>
          </w:p>
        </w:tc>
      </w:tr>
      <w:tr w14:paraId="11E1B9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8928" w:type="dxa"/>
            <w:gridSpan w:val="3"/>
            <w:tcBorders>
              <w:top w:val="single" w:color="000000" w:sz="12" w:space="0"/>
              <w:bottom w:val="single" w:color="000000" w:sz="12" w:space="0"/>
            </w:tcBorders>
            <w:vAlign w:val="center"/>
          </w:tcPr>
          <w:p w14:paraId="4D3553EE">
            <w:pPr>
              <w:rPr>
                <w:rFonts w:ascii="Times New Roman" w:hAnsi="Times New Roman" w:eastAsia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Cs w:val="21"/>
              </w:rPr>
              <w:t>Antibodies</w:t>
            </w:r>
          </w:p>
        </w:tc>
      </w:tr>
      <w:tr w14:paraId="38FCFB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tcBorders>
              <w:top w:val="single" w:color="000000" w:sz="12" w:space="0"/>
            </w:tcBorders>
            <w:vAlign w:val="center"/>
          </w:tcPr>
          <w:p w14:paraId="1B97A21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CD326 (EpCAM) </w:t>
            </w:r>
            <w:r>
              <w:rPr>
                <w:rFonts w:ascii="Times New Roman" w:hAnsi="Times New Roman" w:cs="Times New Roman"/>
                <w:szCs w:val="21"/>
              </w:rPr>
              <w:t>Monoclonal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Antibody (1B7), PE</w:t>
            </w:r>
          </w:p>
        </w:tc>
        <w:tc>
          <w:tcPr>
            <w:tcW w:w="2835" w:type="dxa"/>
            <w:tcBorders>
              <w:top w:val="single" w:color="000000" w:sz="12" w:space="0"/>
            </w:tcBorders>
            <w:vAlign w:val="center"/>
          </w:tcPr>
          <w:p w14:paraId="23317C8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eBioscience</w:t>
            </w:r>
          </w:p>
        </w:tc>
        <w:tc>
          <w:tcPr>
            <w:tcW w:w="2694" w:type="dxa"/>
            <w:tcBorders>
              <w:top w:val="single" w:color="000000" w:sz="12" w:space="0"/>
            </w:tcBorders>
            <w:vAlign w:val="center"/>
          </w:tcPr>
          <w:p w14:paraId="401FC13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Cat#12-9326-42;</w:t>
            </w:r>
          </w:p>
          <w:p w14:paraId="3C8442A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Clone: 1B7</w:t>
            </w:r>
          </w:p>
        </w:tc>
      </w:tr>
      <w:tr w14:paraId="7F3B33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vAlign w:val="center"/>
          </w:tcPr>
          <w:p w14:paraId="5C4FBF83"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Anti-G4S linker (B02H1) mAb (PE)</w:t>
            </w:r>
          </w:p>
        </w:tc>
        <w:tc>
          <w:tcPr>
            <w:tcW w:w="2835" w:type="dxa"/>
            <w:vAlign w:val="center"/>
          </w:tcPr>
          <w:p w14:paraId="7A72F01C"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PreScience</w:t>
            </w:r>
          </w:p>
        </w:tc>
        <w:tc>
          <w:tcPr>
            <w:tcW w:w="2694" w:type="dxa"/>
            <w:vAlign w:val="center"/>
          </w:tcPr>
          <w:p w14:paraId="2672551D">
            <w:pPr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Cat#GS-ARPE100;</w:t>
            </w:r>
          </w:p>
          <w:p w14:paraId="0B380597"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Clone: </w:t>
            </w:r>
            <w:r>
              <w:rPr>
                <w:rFonts w:hint="eastAsia" w:ascii="Times New Roman" w:hAnsi="Times New Roman" w:eastAsia="等线" w:cs="Times New Roman"/>
                <w:szCs w:val="21"/>
              </w:rPr>
              <w:t>B02H1</w:t>
            </w:r>
          </w:p>
        </w:tc>
      </w:tr>
      <w:tr w14:paraId="714D20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vAlign w:val="center"/>
          </w:tcPr>
          <w:p w14:paraId="1D2D875F">
            <w:pPr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APC Anti-human CD69</w:t>
            </w:r>
          </w:p>
        </w:tc>
        <w:tc>
          <w:tcPr>
            <w:tcW w:w="2835" w:type="dxa"/>
            <w:vAlign w:val="center"/>
          </w:tcPr>
          <w:p w14:paraId="76AEF73D">
            <w:pPr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BioLegend</w:t>
            </w:r>
          </w:p>
        </w:tc>
        <w:tc>
          <w:tcPr>
            <w:tcW w:w="2694" w:type="dxa"/>
            <w:vAlign w:val="center"/>
          </w:tcPr>
          <w:p w14:paraId="314FD40D">
            <w:pPr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Cat#310910;</w:t>
            </w:r>
          </w:p>
          <w:p w14:paraId="5E86B7FC">
            <w:pPr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Clone: FN50</w:t>
            </w:r>
          </w:p>
        </w:tc>
      </w:tr>
      <w:tr w14:paraId="5BF883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vAlign w:val="center"/>
          </w:tcPr>
          <w:p w14:paraId="36E0F1CD">
            <w:pPr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CD3 Monoclonal Antibody (OKT3), Super Bright 600</w:t>
            </w:r>
          </w:p>
        </w:tc>
        <w:tc>
          <w:tcPr>
            <w:tcW w:w="2835" w:type="dxa"/>
            <w:vAlign w:val="center"/>
          </w:tcPr>
          <w:p w14:paraId="6EA90BFA">
            <w:pPr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eBioscience</w:t>
            </w:r>
          </w:p>
        </w:tc>
        <w:tc>
          <w:tcPr>
            <w:tcW w:w="2694" w:type="dxa"/>
            <w:vAlign w:val="center"/>
          </w:tcPr>
          <w:p w14:paraId="663D7319">
            <w:pPr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Cat#63-0037-41;</w:t>
            </w:r>
          </w:p>
          <w:p w14:paraId="5E757AE5">
            <w:pPr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Clone: </w:t>
            </w:r>
            <w:r>
              <w:rPr>
                <w:rFonts w:hint="eastAsia" w:ascii="Times New Roman" w:hAnsi="Times New Roman" w:eastAsia="等线" w:cs="Times New Roman"/>
                <w:szCs w:val="21"/>
              </w:rPr>
              <w:t>OKT3</w:t>
            </w:r>
          </w:p>
        </w:tc>
      </w:tr>
      <w:tr w14:paraId="3E035D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vAlign w:val="center"/>
          </w:tcPr>
          <w:p w14:paraId="67E701C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CD4 Antibody, anti-human, VioGreen</w:t>
            </w:r>
          </w:p>
        </w:tc>
        <w:tc>
          <w:tcPr>
            <w:tcW w:w="2835" w:type="dxa"/>
            <w:vAlign w:val="center"/>
          </w:tcPr>
          <w:p w14:paraId="243D443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Miltenyi Biotec</w:t>
            </w:r>
          </w:p>
        </w:tc>
        <w:tc>
          <w:tcPr>
            <w:tcW w:w="2694" w:type="dxa"/>
            <w:vAlign w:val="center"/>
          </w:tcPr>
          <w:p w14:paraId="5D6E6F3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Cat#130-113-230;</w:t>
            </w:r>
          </w:p>
          <w:p w14:paraId="70AD28C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Clone: </w:t>
            </w:r>
            <w:r>
              <w:rPr>
                <w:rFonts w:hint="eastAsia" w:ascii="Times New Roman" w:hAnsi="Times New Roman" w:eastAsia="等线" w:cs="Times New Roman"/>
                <w:szCs w:val="21"/>
              </w:rPr>
              <w:t>REA623</w:t>
            </w:r>
          </w:p>
        </w:tc>
      </w:tr>
      <w:tr w14:paraId="5EDEA6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tcBorders>
              <w:bottom w:val="single" w:color="000000" w:sz="2" w:space="0"/>
            </w:tcBorders>
            <w:vAlign w:val="center"/>
          </w:tcPr>
          <w:p w14:paraId="22360C2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CD8 Antibody, anti-human, APC-Vio770</w:t>
            </w:r>
          </w:p>
        </w:tc>
        <w:tc>
          <w:tcPr>
            <w:tcW w:w="2835" w:type="dxa"/>
            <w:tcBorders>
              <w:bottom w:val="single" w:color="000000" w:sz="2" w:space="0"/>
            </w:tcBorders>
            <w:vAlign w:val="center"/>
          </w:tcPr>
          <w:p w14:paraId="0E7D3EF0"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Miltenyi Biotec</w:t>
            </w:r>
          </w:p>
        </w:tc>
        <w:tc>
          <w:tcPr>
            <w:tcW w:w="2694" w:type="dxa"/>
            <w:tcBorders>
              <w:bottom w:val="single" w:color="000000" w:sz="2" w:space="0"/>
            </w:tcBorders>
            <w:vAlign w:val="center"/>
          </w:tcPr>
          <w:p w14:paraId="75E43FF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Cat#130-110-681;</w:t>
            </w:r>
          </w:p>
          <w:p w14:paraId="5076210C"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Clone: </w:t>
            </w:r>
            <w:r>
              <w:rPr>
                <w:rFonts w:hint="eastAsia" w:ascii="Times New Roman" w:hAnsi="Times New Roman" w:eastAsia="等线" w:cs="Times New Roman"/>
                <w:szCs w:val="21"/>
              </w:rPr>
              <w:t>REA734</w:t>
            </w:r>
          </w:p>
        </w:tc>
      </w:tr>
      <w:tr w14:paraId="60F6F3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vAlign w:val="center"/>
          </w:tcPr>
          <w:p w14:paraId="1E9AA80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CD62L Antibody, anti-human, PE-Vio770</w:t>
            </w:r>
          </w:p>
        </w:tc>
        <w:tc>
          <w:tcPr>
            <w:tcW w:w="2835" w:type="dxa"/>
            <w:vAlign w:val="center"/>
          </w:tcPr>
          <w:p w14:paraId="2E2CE28B"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Miltenyi Biotec</w:t>
            </w:r>
          </w:p>
        </w:tc>
        <w:tc>
          <w:tcPr>
            <w:tcW w:w="2694" w:type="dxa"/>
            <w:vAlign w:val="center"/>
          </w:tcPr>
          <w:p w14:paraId="0AFBCBB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Cat#130-113-621;</w:t>
            </w:r>
          </w:p>
          <w:p w14:paraId="78C2B71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Clone: </w:t>
            </w:r>
            <w:r>
              <w:rPr>
                <w:rFonts w:hint="eastAsia" w:ascii="Times New Roman" w:hAnsi="Times New Roman" w:eastAsia="等线" w:cs="Times New Roman"/>
                <w:szCs w:val="21"/>
              </w:rPr>
              <w:t>145/15</w:t>
            </w:r>
          </w:p>
        </w:tc>
      </w:tr>
      <w:tr w14:paraId="7FFA0E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3399" w:type="dxa"/>
            <w:tcBorders>
              <w:bottom w:val="single" w:color="000000" w:sz="12" w:space="0"/>
            </w:tcBorders>
            <w:vAlign w:val="center"/>
          </w:tcPr>
          <w:p w14:paraId="7CE76E8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CD45RO Antibody, anti-human, APC</w:t>
            </w:r>
          </w:p>
        </w:tc>
        <w:tc>
          <w:tcPr>
            <w:tcW w:w="2835" w:type="dxa"/>
            <w:tcBorders>
              <w:bottom w:val="single" w:color="000000" w:sz="12" w:space="0"/>
            </w:tcBorders>
            <w:vAlign w:val="center"/>
          </w:tcPr>
          <w:p w14:paraId="55891241"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Miltenyi Biotec</w:t>
            </w:r>
          </w:p>
        </w:tc>
        <w:tc>
          <w:tcPr>
            <w:tcW w:w="2694" w:type="dxa"/>
            <w:tcBorders>
              <w:bottom w:val="single" w:color="000000" w:sz="12" w:space="0"/>
            </w:tcBorders>
            <w:vAlign w:val="center"/>
          </w:tcPr>
          <w:p w14:paraId="068E2B5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Cat#130-113-556;</w:t>
            </w:r>
          </w:p>
          <w:p w14:paraId="17219FB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Clone: </w:t>
            </w:r>
            <w:r>
              <w:rPr>
                <w:rFonts w:hint="eastAsia" w:ascii="Times New Roman" w:hAnsi="Times New Roman" w:eastAsia="等线" w:cs="Times New Roman"/>
                <w:szCs w:val="21"/>
              </w:rPr>
              <w:t>REA611</w:t>
            </w:r>
          </w:p>
        </w:tc>
      </w:tr>
    </w:tbl>
    <w:p w14:paraId="4E2E927E">
      <w:pPr>
        <w:rPr>
          <w:rFonts w:ascii="Times New Roman" w:hAnsi="Times New Roman" w:cs="Times New Roman"/>
          <w:b/>
          <w:sz w:val="24"/>
        </w:rPr>
      </w:pPr>
    </w:p>
    <w:p w14:paraId="12AC8220">
      <w:pPr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Supplementary videos：</w:t>
      </w:r>
    </w:p>
    <w:p w14:paraId="27110225">
      <w:pPr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Supplementary video 1. The </w:t>
      </w:r>
      <w:r>
        <w:rPr>
          <w:rFonts w:ascii="Times New Roman" w:hAnsi="Times New Roman" w:cs="Times New Roman"/>
          <w:sz w:val="24"/>
          <w:szCs w:val="28"/>
        </w:rPr>
        <w:t>killing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 dynamics of 28 CAR-T cells at the E:T ratio of 4:1 in the single tumoroid model.</w:t>
      </w:r>
    </w:p>
    <w:p w14:paraId="2B6F0524">
      <w:pPr>
        <w:spacing w:before="120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Supplementary video 2. The </w:t>
      </w:r>
      <w:r>
        <w:rPr>
          <w:rFonts w:ascii="Times New Roman" w:hAnsi="Times New Roman" w:cs="Times New Roman"/>
          <w:sz w:val="24"/>
          <w:szCs w:val="28"/>
        </w:rPr>
        <w:t>killing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 dynamics of BB CAR-T cells at the E:T ratio of 4:1 in the single tumoroid model.</w:t>
      </w:r>
    </w:p>
    <w:p w14:paraId="06FAC037">
      <w:pPr>
        <w:spacing w:before="120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kern w:val="0"/>
          <w:sz w:val="24"/>
          <w:szCs w:val="24"/>
        </w:rPr>
        <w:t>Supplementary video 3. The killing dynamics of control T cells at the E:T ratio of 4:1 in the single tumoroid model.</w:t>
      </w:r>
    </w:p>
    <w:p w14:paraId="393A3552">
      <w:pPr>
        <w:spacing w:before="120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 xml:space="preserve">Supplementary video 4. The </w:t>
      </w:r>
      <w:r>
        <w:rPr>
          <w:rFonts w:hint="eastAsia" w:ascii="Times New Roman" w:hAnsi="Times New Roman" w:cs="Times New Roman"/>
          <w:sz w:val="24"/>
          <w:szCs w:val="28"/>
        </w:rPr>
        <w:t>killing</w:t>
      </w: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 xml:space="preserve"> dynamics of 28 CAR-T cells at the E:T ratio of 2:1 in the single tumoroid model.</w:t>
      </w:r>
    </w:p>
    <w:p w14:paraId="091C59FE">
      <w:pPr>
        <w:spacing w:before="120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 xml:space="preserve">Supplementary video 5. The </w:t>
      </w:r>
      <w:r>
        <w:rPr>
          <w:rFonts w:hint="eastAsia" w:ascii="Times New Roman" w:hAnsi="Times New Roman" w:cs="Times New Roman"/>
          <w:sz w:val="24"/>
          <w:szCs w:val="28"/>
        </w:rPr>
        <w:t>killing</w:t>
      </w: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 xml:space="preserve"> dynamics of BB CAR-T cells at the E:T ratio of 2:1 in the single tumoroid model.</w:t>
      </w:r>
    </w:p>
    <w:p w14:paraId="1FB51887">
      <w:pPr>
        <w:spacing w:before="120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>Supplementary video 6. The killing dynamics of control T cells at the E:T ratio of 2:1 in the single tumoroid model.</w:t>
      </w:r>
    </w:p>
    <w:p w14:paraId="3BA3454C">
      <w:pPr>
        <w:spacing w:before="120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 xml:space="preserve">Supplementary video 7. The </w:t>
      </w:r>
      <w:r>
        <w:rPr>
          <w:rFonts w:hint="eastAsia" w:ascii="Times New Roman" w:hAnsi="Times New Roman" w:cs="Times New Roman"/>
          <w:sz w:val="24"/>
          <w:szCs w:val="28"/>
        </w:rPr>
        <w:t>killing</w:t>
      </w: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 xml:space="preserve"> dynamics of 28 CAR-T cells at the E:T ratio of 4:1 in the </w:t>
      </w:r>
      <w:bookmarkStart w:id="0" w:name="OLE_LINK3"/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>mixed</w:t>
      </w:r>
      <w:bookmarkEnd w:id="0"/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 xml:space="preserve"> tumoroid model </w:t>
      </w:r>
      <w:bookmarkStart w:id="1" w:name="OLE_LINK4"/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>(merged images of GFP and RFP)</w:t>
      </w:r>
      <w:bookmarkEnd w:id="1"/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>.</w:t>
      </w:r>
    </w:p>
    <w:p w14:paraId="01A63A26">
      <w:pPr>
        <w:spacing w:before="120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 xml:space="preserve">Supplementary video 8. The </w:t>
      </w:r>
      <w:r>
        <w:rPr>
          <w:rFonts w:hint="eastAsia" w:ascii="Times New Roman" w:hAnsi="Times New Roman" w:cs="Times New Roman"/>
          <w:sz w:val="24"/>
          <w:szCs w:val="28"/>
        </w:rPr>
        <w:t>killing</w:t>
      </w: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 xml:space="preserve"> dynamics of BB CAR-T cells at the E:T ratio of 4:1 in the mixed tumoroid model (merged images of GFP and RFP).</w:t>
      </w:r>
    </w:p>
    <w:p w14:paraId="40A3D6A7">
      <w:pPr>
        <w:spacing w:before="120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 xml:space="preserve">Supplementary video 9. The killing dynamics of control T cells at the E:T ratio of 4:1 in the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mixed</w:t>
      </w: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 xml:space="preserve"> tumoroid model (merged images of GFP and RFP).</w:t>
      </w:r>
    </w:p>
    <w:p w14:paraId="29DB8E1E">
      <w:pPr>
        <w:spacing w:before="120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 xml:space="preserve">Supplementary video 10. The </w:t>
      </w:r>
      <w:r>
        <w:rPr>
          <w:rFonts w:hint="eastAsia" w:ascii="Times New Roman" w:hAnsi="Times New Roman" w:cs="Times New Roman"/>
          <w:sz w:val="24"/>
          <w:szCs w:val="28"/>
        </w:rPr>
        <w:t>killing</w:t>
      </w: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 xml:space="preserve"> dynamics of 28 CAR-T cells at the E:T ratio of 4:1 in the mixed tumoroid model </w:t>
      </w:r>
      <w:bookmarkStart w:id="2" w:name="OLE_LINK5"/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>(GFP only)</w:t>
      </w:r>
      <w:bookmarkEnd w:id="2"/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>.</w:t>
      </w:r>
    </w:p>
    <w:p w14:paraId="66E7D3D6">
      <w:pPr>
        <w:spacing w:before="120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 xml:space="preserve">Supplementary video 11. The </w:t>
      </w:r>
      <w:r>
        <w:rPr>
          <w:rFonts w:hint="eastAsia" w:ascii="Times New Roman" w:hAnsi="Times New Roman" w:cs="Times New Roman"/>
          <w:sz w:val="24"/>
          <w:szCs w:val="28"/>
        </w:rPr>
        <w:t>killing</w:t>
      </w: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 xml:space="preserve"> dynamics of BB CAR-T cells at the E:T ratio of 4:1 in the mixed tumoroid model (GFP only).</w:t>
      </w:r>
    </w:p>
    <w:p w14:paraId="3DE58992">
      <w:pPr>
        <w:spacing w:before="120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 xml:space="preserve">Supplementary video 12. The killing dynamics of control T cells at the E:T ratio of 4:1 in the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mixed</w:t>
      </w: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 xml:space="preserve"> tumoroid model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(GFP only)</w:t>
      </w:r>
      <w:r>
        <w:rPr>
          <w:rFonts w:hint="eastAsia" w:ascii="Times New Roman" w:hAnsi="Times New Roman" w:cs="Times New Roman"/>
          <w:bCs/>
          <w:kern w:val="0"/>
          <w:sz w:val="24"/>
          <w:szCs w:val="24"/>
        </w:rPr>
        <w:t>.</w:t>
      </w:r>
    </w:p>
    <w:sectPr>
      <w:footerReference r:id="rId3" w:type="default"/>
      <w:pgSz w:w="11906" w:h="16838"/>
      <w:pgMar w:top="1298" w:right="1440" w:bottom="1298" w:left="1440" w:header="851" w:footer="850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0000000000000000000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76060394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3C5D2286">
            <w:pPr>
              <w:pStyle w:val="3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lang w:val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PAGE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lang w:val="zh-CN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lang w:val="zh-CN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NUMPAGES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lang w:val="zh-CN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BC6D3AA">
    <w:pPr>
      <w:pStyle w:val="3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ewtv925890ze6epvwbp0dpgrdpzapst5ap5&quot;&gt;My EndNote Library&lt;record-ids&gt;&lt;item&gt;1&lt;/item&gt;&lt;item&gt;2&lt;/item&gt;&lt;item&gt;3&lt;/item&gt;&lt;item&gt;4&lt;/item&gt;&lt;item&gt;5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/record-ids&gt;&lt;/item&gt;&lt;/Libraries&gt;"/>
  </w:docVars>
  <w:rsids>
    <w:rsidRoot w:val="00133D0E"/>
    <w:rsid w:val="00000F50"/>
    <w:rsid w:val="000034E0"/>
    <w:rsid w:val="00003CAD"/>
    <w:rsid w:val="000109F8"/>
    <w:rsid w:val="000226F9"/>
    <w:rsid w:val="0003396B"/>
    <w:rsid w:val="00036313"/>
    <w:rsid w:val="00044545"/>
    <w:rsid w:val="0005168C"/>
    <w:rsid w:val="000602A0"/>
    <w:rsid w:val="00072956"/>
    <w:rsid w:val="00073F6B"/>
    <w:rsid w:val="00076680"/>
    <w:rsid w:val="000769F8"/>
    <w:rsid w:val="00081FDF"/>
    <w:rsid w:val="0008394A"/>
    <w:rsid w:val="00085BF0"/>
    <w:rsid w:val="00086695"/>
    <w:rsid w:val="00086C6C"/>
    <w:rsid w:val="0009177C"/>
    <w:rsid w:val="000B4C3E"/>
    <w:rsid w:val="000C125B"/>
    <w:rsid w:val="000C4914"/>
    <w:rsid w:val="000C65A0"/>
    <w:rsid w:val="000D3CFF"/>
    <w:rsid w:val="000D5F44"/>
    <w:rsid w:val="000D6453"/>
    <w:rsid w:val="000D6F69"/>
    <w:rsid w:val="000E0B2B"/>
    <w:rsid w:val="000F3B67"/>
    <w:rsid w:val="001077A9"/>
    <w:rsid w:val="001174EF"/>
    <w:rsid w:val="00120AD4"/>
    <w:rsid w:val="00133D0E"/>
    <w:rsid w:val="001405A3"/>
    <w:rsid w:val="0014257E"/>
    <w:rsid w:val="001453F1"/>
    <w:rsid w:val="0015040D"/>
    <w:rsid w:val="0015227B"/>
    <w:rsid w:val="00153128"/>
    <w:rsid w:val="0015637C"/>
    <w:rsid w:val="00175C4E"/>
    <w:rsid w:val="00176866"/>
    <w:rsid w:val="00176A22"/>
    <w:rsid w:val="001779AB"/>
    <w:rsid w:val="001835F0"/>
    <w:rsid w:val="00183C12"/>
    <w:rsid w:val="00196FB3"/>
    <w:rsid w:val="001A2BE0"/>
    <w:rsid w:val="001A71C0"/>
    <w:rsid w:val="001B4E62"/>
    <w:rsid w:val="001B718A"/>
    <w:rsid w:val="001B7AD7"/>
    <w:rsid w:val="001B7D6E"/>
    <w:rsid w:val="001C0548"/>
    <w:rsid w:val="001D2FC4"/>
    <w:rsid w:val="001D3C66"/>
    <w:rsid w:val="001D7DB1"/>
    <w:rsid w:val="001E100C"/>
    <w:rsid w:val="001E37CF"/>
    <w:rsid w:val="001F044D"/>
    <w:rsid w:val="00201C96"/>
    <w:rsid w:val="00214ED8"/>
    <w:rsid w:val="00222C10"/>
    <w:rsid w:val="0022309E"/>
    <w:rsid w:val="00230F31"/>
    <w:rsid w:val="00232DCA"/>
    <w:rsid w:val="00233A46"/>
    <w:rsid w:val="0023478C"/>
    <w:rsid w:val="00236954"/>
    <w:rsid w:val="002369B1"/>
    <w:rsid w:val="00240EA3"/>
    <w:rsid w:val="00242E21"/>
    <w:rsid w:val="0024678A"/>
    <w:rsid w:val="00246FD9"/>
    <w:rsid w:val="00250D04"/>
    <w:rsid w:val="00252FC8"/>
    <w:rsid w:val="0026201C"/>
    <w:rsid w:val="00266C55"/>
    <w:rsid w:val="002831C7"/>
    <w:rsid w:val="0029251D"/>
    <w:rsid w:val="002966A4"/>
    <w:rsid w:val="002A2103"/>
    <w:rsid w:val="002B5B5B"/>
    <w:rsid w:val="002B6CBD"/>
    <w:rsid w:val="002B74C0"/>
    <w:rsid w:val="002C326B"/>
    <w:rsid w:val="002C422D"/>
    <w:rsid w:val="002C4EF2"/>
    <w:rsid w:val="002D3A8C"/>
    <w:rsid w:val="002D6D83"/>
    <w:rsid w:val="002E0919"/>
    <w:rsid w:val="002E3865"/>
    <w:rsid w:val="002E5D3C"/>
    <w:rsid w:val="002F0ABA"/>
    <w:rsid w:val="002F5F4F"/>
    <w:rsid w:val="002F7E65"/>
    <w:rsid w:val="00301CA2"/>
    <w:rsid w:val="00304D93"/>
    <w:rsid w:val="00316851"/>
    <w:rsid w:val="0031696E"/>
    <w:rsid w:val="0031722C"/>
    <w:rsid w:val="003354E0"/>
    <w:rsid w:val="00337089"/>
    <w:rsid w:val="00356135"/>
    <w:rsid w:val="00356EF7"/>
    <w:rsid w:val="00357729"/>
    <w:rsid w:val="003622F0"/>
    <w:rsid w:val="003659D1"/>
    <w:rsid w:val="00365B81"/>
    <w:rsid w:val="003752DF"/>
    <w:rsid w:val="00381768"/>
    <w:rsid w:val="00383279"/>
    <w:rsid w:val="0038332B"/>
    <w:rsid w:val="003847BC"/>
    <w:rsid w:val="00385296"/>
    <w:rsid w:val="003863C4"/>
    <w:rsid w:val="00386DC0"/>
    <w:rsid w:val="00390536"/>
    <w:rsid w:val="00391628"/>
    <w:rsid w:val="00392D67"/>
    <w:rsid w:val="00394851"/>
    <w:rsid w:val="00396434"/>
    <w:rsid w:val="003977D2"/>
    <w:rsid w:val="003A5F33"/>
    <w:rsid w:val="003B4D24"/>
    <w:rsid w:val="003C1F7D"/>
    <w:rsid w:val="003C33F3"/>
    <w:rsid w:val="003D15FF"/>
    <w:rsid w:val="003D750A"/>
    <w:rsid w:val="003E1E4B"/>
    <w:rsid w:val="003E2179"/>
    <w:rsid w:val="003E6CEE"/>
    <w:rsid w:val="003F1BFE"/>
    <w:rsid w:val="00401591"/>
    <w:rsid w:val="004041D1"/>
    <w:rsid w:val="00405B24"/>
    <w:rsid w:val="00406DA5"/>
    <w:rsid w:val="00412F78"/>
    <w:rsid w:val="004144FB"/>
    <w:rsid w:val="00416B81"/>
    <w:rsid w:val="00432487"/>
    <w:rsid w:val="00432F50"/>
    <w:rsid w:val="00437E4D"/>
    <w:rsid w:val="00440285"/>
    <w:rsid w:val="00441607"/>
    <w:rsid w:val="004423A7"/>
    <w:rsid w:val="00442E2C"/>
    <w:rsid w:val="00444222"/>
    <w:rsid w:val="00445D0D"/>
    <w:rsid w:val="00454345"/>
    <w:rsid w:val="00460D98"/>
    <w:rsid w:val="004614B4"/>
    <w:rsid w:val="00466140"/>
    <w:rsid w:val="004705AB"/>
    <w:rsid w:val="0047437A"/>
    <w:rsid w:val="004809DD"/>
    <w:rsid w:val="0048493A"/>
    <w:rsid w:val="00485737"/>
    <w:rsid w:val="004A2DA5"/>
    <w:rsid w:val="004B62C9"/>
    <w:rsid w:val="004C0297"/>
    <w:rsid w:val="004C1A1C"/>
    <w:rsid w:val="004C501A"/>
    <w:rsid w:val="004D78E9"/>
    <w:rsid w:val="004E1C41"/>
    <w:rsid w:val="004F5AAF"/>
    <w:rsid w:val="004F71E0"/>
    <w:rsid w:val="0050064D"/>
    <w:rsid w:val="0051604D"/>
    <w:rsid w:val="00520536"/>
    <w:rsid w:val="0052353B"/>
    <w:rsid w:val="005242DC"/>
    <w:rsid w:val="005315DE"/>
    <w:rsid w:val="00533966"/>
    <w:rsid w:val="00550439"/>
    <w:rsid w:val="005541C1"/>
    <w:rsid w:val="00555B89"/>
    <w:rsid w:val="00563BD1"/>
    <w:rsid w:val="00571A80"/>
    <w:rsid w:val="005777BA"/>
    <w:rsid w:val="00577BA7"/>
    <w:rsid w:val="0058769E"/>
    <w:rsid w:val="005A0D04"/>
    <w:rsid w:val="005A0F47"/>
    <w:rsid w:val="005A1A0E"/>
    <w:rsid w:val="005A1C3F"/>
    <w:rsid w:val="005B163C"/>
    <w:rsid w:val="005B4C9B"/>
    <w:rsid w:val="005B765F"/>
    <w:rsid w:val="005C44A7"/>
    <w:rsid w:val="005D44CD"/>
    <w:rsid w:val="005E10F0"/>
    <w:rsid w:val="005E6668"/>
    <w:rsid w:val="005F02B8"/>
    <w:rsid w:val="005F1435"/>
    <w:rsid w:val="00605091"/>
    <w:rsid w:val="00614BA7"/>
    <w:rsid w:val="00621685"/>
    <w:rsid w:val="00633B3F"/>
    <w:rsid w:val="00635094"/>
    <w:rsid w:val="00640932"/>
    <w:rsid w:val="006455E0"/>
    <w:rsid w:val="00647B5F"/>
    <w:rsid w:val="006550E2"/>
    <w:rsid w:val="00661D97"/>
    <w:rsid w:val="00661E51"/>
    <w:rsid w:val="0066549C"/>
    <w:rsid w:val="006669D0"/>
    <w:rsid w:val="006879EA"/>
    <w:rsid w:val="0069346D"/>
    <w:rsid w:val="006A159B"/>
    <w:rsid w:val="006A6E51"/>
    <w:rsid w:val="006C016E"/>
    <w:rsid w:val="006D590D"/>
    <w:rsid w:val="006E6EB5"/>
    <w:rsid w:val="006F1259"/>
    <w:rsid w:val="006F20DA"/>
    <w:rsid w:val="006F67CF"/>
    <w:rsid w:val="006F6D03"/>
    <w:rsid w:val="00700143"/>
    <w:rsid w:val="00703C5E"/>
    <w:rsid w:val="007053C4"/>
    <w:rsid w:val="0070558E"/>
    <w:rsid w:val="00715995"/>
    <w:rsid w:val="00722F76"/>
    <w:rsid w:val="007331C9"/>
    <w:rsid w:val="00755B49"/>
    <w:rsid w:val="00770F42"/>
    <w:rsid w:val="00773C7E"/>
    <w:rsid w:val="00775995"/>
    <w:rsid w:val="007818CE"/>
    <w:rsid w:val="007914E6"/>
    <w:rsid w:val="00791DF9"/>
    <w:rsid w:val="00792DE0"/>
    <w:rsid w:val="007A4CB1"/>
    <w:rsid w:val="007A7C90"/>
    <w:rsid w:val="007B1A26"/>
    <w:rsid w:val="007B3C8C"/>
    <w:rsid w:val="007C0EA9"/>
    <w:rsid w:val="007C1634"/>
    <w:rsid w:val="007C1D45"/>
    <w:rsid w:val="007C6060"/>
    <w:rsid w:val="007D153F"/>
    <w:rsid w:val="007D188A"/>
    <w:rsid w:val="007E3DF5"/>
    <w:rsid w:val="007F72DE"/>
    <w:rsid w:val="007F742F"/>
    <w:rsid w:val="007F7E62"/>
    <w:rsid w:val="008217DB"/>
    <w:rsid w:val="00831B01"/>
    <w:rsid w:val="00833B28"/>
    <w:rsid w:val="0083437F"/>
    <w:rsid w:val="00837CDF"/>
    <w:rsid w:val="00837D84"/>
    <w:rsid w:val="008452AD"/>
    <w:rsid w:val="00847D77"/>
    <w:rsid w:val="00850AE7"/>
    <w:rsid w:val="00853FDE"/>
    <w:rsid w:val="0086185D"/>
    <w:rsid w:val="008624C4"/>
    <w:rsid w:val="008669E4"/>
    <w:rsid w:val="00893F63"/>
    <w:rsid w:val="008A1EA7"/>
    <w:rsid w:val="008A2E65"/>
    <w:rsid w:val="008A4B4A"/>
    <w:rsid w:val="008A4FC5"/>
    <w:rsid w:val="008A6C28"/>
    <w:rsid w:val="008A7B80"/>
    <w:rsid w:val="008B3328"/>
    <w:rsid w:val="008C5F34"/>
    <w:rsid w:val="008C7C5A"/>
    <w:rsid w:val="008D03D9"/>
    <w:rsid w:val="008D117B"/>
    <w:rsid w:val="008D1468"/>
    <w:rsid w:val="008D56EF"/>
    <w:rsid w:val="008E0538"/>
    <w:rsid w:val="008E34B8"/>
    <w:rsid w:val="008E7A22"/>
    <w:rsid w:val="008F1822"/>
    <w:rsid w:val="008F211B"/>
    <w:rsid w:val="008F4E4B"/>
    <w:rsid w:val="008F6749"/>
    <w:rsid w:val="00901676"/>
    <w:rsid w:val="009037A4"/>
    <w:rsid w:val="00905704"/>
    <w:rsid w:val="009124DF"/>
    <w:rsid w:val="00913121"/>
    <w:rsid w:val="00920DC8"/>
    <w:rsid w:val="00921B24"/>
    <w:rsid w:val="00925F6E"/>
    <w:rsid w:val="00926D32"/>
    <w:rsid w:val="00933720"/>
    <w:rsid w:val="009377C8"/>
    <w:rsid w:val="00946DC8"/>
    <w:rsid w:val="00956297"/>
    <w:rsid w:val="0095776A"/>
    <w:rsid w:val="00967A43"/>
    <w:rsid w:val="00967D52"/>
    <w:rsid w:val="0098604B"/>
    <w:rsid w:val="00987EF9"/>
    <w:rsid w:val="00990E58"/>
    <w:rsid w:val="009939AF"/>
    <w:rsid w:val="00994FD6"/>
    <w:rsid w:val="00996986"/>
    <w:rsid w:val="009A0CB6"/>
    <w:rsid w:val="009A4E5B"/>
    <w:rsid w:val="009A6BA8"/>
    <w:rsid w:val="009B36D3"/>
    <w:rsid w:val="009C5F19"/>
    <w:rsid w:val="009E40D9"/>
    <w:rsid w:val="009E6BD2"/>
    <w:rsid w:val="009F14EC"/>
    <w:rsid w:val="009F26E9"/>
    <w:rsid w:val="009F65BA"/>
    <w:rsid w:val="00A0130C"/>
    <w:rsid w:val="00A02168"/>
    <w:rsid w:val="00A07A18"/>
    <w:rsid w:val="00A17371"/>
    <w:rsid w:val="00A30596"/>
    <w:rsid w:val="00A3099B"/>
    <w:rsid w:val="00A42B05"/>
    <w:rsid w:val="00A46B26"/>
    <w:rsid w:val="00A46F41"/>
    <w:rsid w:val="00A47268"/>
    <w:rsid w:val="00A54A4D"/>
    <w:rsid w:val="00A605CC"/>
    <w:rsid w:val="00A63CE4"/>
    <w:rsid w:val="00A66010"/>
    <w:rsid w:val="00A71D67"/>
    <w:rsid w:val="00A774FB"/>
    <w:rsid w:val="00A831E8"/>
    <w:rsid w:val="00A83603"/>
    <w:rsid w:val="00A87188"/>
    <w:rsid w:val="00A923AE"/>
    <w:rsid w:val="00A9745F"/>
    <w:rsid w:val="00AA0046"/>
    <w:rsid w:val="00AA0398"/>
    <w:rsid w:val="00AA43DF"/>
    <w:rsid w:val="00AA6102"/>
    <w:rsid w:val="00AB22BF"/>
    <w:rsid w:val="00AB58B9"/>
    <w:rsid w:val="00AB7EEF"/>
    <w:rsid w:val="00AC3DF3"/>
    <w:rsid w:val="00AE1144"/>
    <w:rsid w:val="00AE21ED"/>
    <w:rsid w:val="00B03EA4"/>
    <w:rsid w:val="00B06A6C"/>
    <w:rsid w:val="00B10656"/>
    <w:rsid w:val="00B113C9"/>
    <w:rsid w:val="00B13FAF"/>
    <w:rsid w:val="00B1578D"/>
    <w:rsid w:val="00B34FA6"/>
    <w:rsid w:val="00B371E0"/>
    <w:rsid w:val="00B41F41"/>
    <w:rsid w:val="00B46F1F"/>
    <w:rsid w:val="00B47CD3"/>
    <w:rsid w:val="00B60CFE"/>
    <w:rsid w:val="00B62550"/>
    <w:rsid w:val="00B6672D"/>
    <w:rsid w:val="00B74CA7"/>
    <w:rsid w:val="00B74E05"/>
    <w:rsid w:val="00B85C2B"/>
    <w:rsid w:val="00B92955"/>
    <w:rsid w:val="00B9369E"/>
    <w:rsid w:val="00B93797"/>
    <w:rsid w:val="00B953E3"/>
    <w:rsid w:val="00BA0AA8"/>
    <w:rsid w:val="00BA3156"/>
    <w:rsid w:val="00BA7E24"/>
    <w:rsid w:val="00BB2166"/>
    <w:rsid w:val="00BB2BC3"/>
    <w:rsid w:val="00BC00D3"/>
    <w:rsid w:val="00BC0A0B"/>
    <w:rsid w:val="00BC1ADB"/>
    <w:rsid w:val="00BC3411"/>
    <w:rsid w:val="00BC4012"/>
    <w:rsid w:val="00BD211D"/>
    <w:rsid w:val="00BE3974"/>
    <w:rsid w:val="00BF46DC"/>
    <w:rsid w:val="00BF74C6"/>
    <w:rsid w:val="00BF7618"/>
    <w:rsid w:val="00C0130E"/>
    <w:rsid w:val="00C0669B"/>
    <w:rsid w:val="00C136EF"/>
    <w:rsid w:val="00C15E4E"/>
    <w:rsid w:val="00C3495D"/>
    <w:rsid w:val="00C404C2"/>
    <w:rsid w:val="00C56CB1"/>
    <w:rsid w:val="00C61499"/>
    <w:rsid w:val="00C61A7F"/>
    <w:rsid w:val="00C67919"/>
    <w:rsid w:val="00C67B05"/>
    <w:rsid w:val="00C7774A"/>
    <w:rsid w:val="00C82160"/>
    <w:rsid w:val="00C82B2E"/>
    <w:rsid w:val="00C9066F"/>
    <w:rsid w:val="00C94E47"/>
    <w:rsid w:val="00C963EB"/>
    <w:rsid w:val="00CA2F4B"/>
    <w:rsid w:val="00CA3A83"/>
    <w:rsid w:val="00CA67CC"/>
    <w:rsid w:val="00CA7DFA"/>
    <w:rsid w:val="00CB458D"/>
    <w:rsid w:val="00CC7E52"/>
    <w:rsid w:val="00CD2D3B"/>
    <w:rsid w:val="00CD6BC3"/>
    <w:rsid w:val="00CE22EC"/>
    <w:rsid w:val="00CF357E"/>
    <w:rsid w:val="00D01E60"/>
    <w:rsid w:val="00D07D68"/>
    <w:rsid w:val="00D112A9"/>
    <w:rsid w:val="00D1257F"/>
    <w:rsid w:val="00D13538"/>
    <w:rsid w:val="00D16506"/>
    <w:rsid w:val="00D200F5"/>
    <w:rsid w:val="00D360E1"/>
    <w:rsid w:val="00D47106"/>
    <w:rsid w:val="00D509A6"/>
    <w:rsid w:val="00D50DCB"/>
    <w:rsid w:val="00D57982"/>
    <w:rsid w:val="00D610E6"/>
    <w:rsid w:val="00D6770A"/>
    <w:rsid w:val="00D72D45"/>
    <w:rsid w:val="00D75FC2"/>
    <w:rsid w:val="00D76AC4"/>
    <w:rsid w:val="00D7787D"/>
    <w:rsid w:val="00D90E25"/>
    <w:rsid w:val="00D944B5"/>
    <w:rsid w:val="00D97693"/>
    <w:rsid w:val="00DA18F5"/>
    <w:rsid w:val="00DA2E04"/>
    <w:rsid w:val="00DA5983"/>
    <w:rsid w:val="00DA6AE0"/>
    <w:rsid w:val="00DB628A"/>
    <w:rsid w:val="00DE0FA1"/>
    <w:rsid w:val="00DE2AC6"/>
    <w:rsid w:val="00DE5821"/>
    <w:rsid w:val="00DE683F"/>
    <w:rsid w:val="00DF0A31"/>
    <w:rsid w:val="00DF3D47"/>
    <w:rsid w:val="00DF6F86"/>
    <w:rsid w:val="00E015E7"/>
    <w:rsid w:val="00E06601"/>
    <w:rsid w:val="00E125ED"/>
    <w:rsid w:val="00E13E4F"/>
    <w:rsid w:val="00E14285"/>
    <w:rsid w:val="00E41ADD"/>
    <w:rsid w:val="00E52CB5"/>
    <w:rsid w:val="00E53DD3"/>
    <w:rsid w:val="00E568A5"/>
    <w:rsid w:val="00E60F31"/>
    <w:rsid w:val="00E67854"/>
    <w:rsid w:val="00E7377F"/>
    <w:rsid w:val="00E7460E"/>
    <w:rsid w:val="00E83500"/>
    <w:rsid w:val="00EA0AA7"/>
    <w:rsid w:val="00EB3D12"/>
    <w:rsid w:val="00EC1BE6"/>
    <w:rsid w:val="00EC4386"/>
    <w:rsid w:val="00ED0443"/>
    <w:rsid w:val="00ED3175"/>
    <w:rsid w:val="00EE1722"/>
    <w:rsid w:val="00EE59D0"/>
    <w:rsid w:val="00EE61AE"/>
    <w:rsid w:val="00EF00EC"/>
    <w:rsid w:val="00EF1638"/>
    <w:rsid w:val="00EF6F7E"/>
    <w:rsid w:val="00EF78A2"/>
    <w:rsid w:val="00F07C34"/>
    <w:rsid w:val="00F171E7"/>
    <w:rsid w:val="00F21495"/>
    <w:rsid w:val="00F21705"/>
    <w:rsid w:val="00F2257A"/>
    <w:rsid w:val="00F266C1"/>
    <w:rsid w:val="00F26C97"/>
    <w:rsid w:val="00F31305"/>
    <w:rsid w:val="00F44159"/>
    <w:rsid w:val="00F454BB"/>
    <w:rsid w:val="00F523D2"/>
    <w:rsid w:val="00F550BD"/>
    <w:rsid w:val="00F60D4C"/>
    <w:rsid w:val="00F62964"/>
    <w:rsid w:val="00F6693E"/>
    <w:rsid w:val="00F82C2C"/>
    <w:rsid w:val="00F85F10"/>
    <w:rsid w:val="00F87C5E"/>
    <w:rsid w:val="00F90B2C"/>
    <w:rsid w:val="00F938ED"/>
    <w:rsid w:val="00F95278"/>
    <w:rsid w:val="00F9553A"/>
    <w:rsid w:val="00FB70B6"/>
    <w:rsid w:val="00FC0FEA"/>
    <w:rsid w:val="00FC308F"/>
    <w:rsid w:val="00FD5F73"/>
    <w:rsid w:val="00FD6C53"/>
    <w:rsid w:val="00FE31B7"/>
    <w:rsid w:val="00FF3921"/>
    <w:rsid w:val="00FF54F9"/>
    <w:rsid w:val="00FF6617"/>
    <w:rsid w:val="149A14AE"/>
    <w:rsid w:val="15960E7D"/>
    <w:rsid w:val="1E1079EB"/>
    <w:rsid w:val="2E944A8A"/>
    <w:rsid w:val="31614F6D"/>
    <w:rsid w:val="34D503AA"/>
    <w:rsid w:val="46645906"/>
    <w:rsid w:val="55517407"/>
    <w:rsid w:val="5A822BB7"/>
    <w:rsid w:val="5EFE2E50"/>
    <w:rsid w:val="6B87197D"/>
    <w:rsid w:val="75FF5423"/>
    <w:rsid w:val="7E27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line number"/>
    <w:basedOn w:val="7"/>
    <w:semiHidden/>
    <w:unhideWhenUsed/>
    <w:qFormat/>
    <w:uiPriority w:val="99"/>
  </w:style>
  <w:style w:type="character" w:styleId="9">
    <w:name w:val="Hyperlink"/>
    <w:basedOn w:val="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  <w14:ligatures w14:val="none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  <w14:ligatures w14:val="non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Paragraph"/>
    <w:qFormat/>
    <w:uiPriority w:val="0"/>
    <w:pPr>
      <w:spacing w:before="120"/>
      <w:ind w:firstLine="720"/>
    </w:pPr>
    <w:rPr>
      <w:rFonts w:ascii="Times New Roman" w:hAnsi="Times New Roman" w:eastAsia="Arial Unicode MS" w:cs="Arial Unicode MS"/>
      <w:color w:val="000000"/>
      <w:sz w:val="24"/>
      <w:szCs w:val="24"/>
      <w:u w:color="000000"/>
      <w:lang w:val="en-US" w:eastAsia="zh-CN" w:bidi="ar-SA"/>
    </w:rPr>
  </w:style>
  <w:style w:type="character" w:customStyle="1" w:styleId="14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6">
    <w:name w:val="EndNote Bibliography Title"/>
    <w:basedOn w:val="1"/>
    <w:link w:val="17"/>
    <w:uiPriority w:val="0"/>
    <w:pPr>
      <w:jc w:val="center"/>
    </w:pPr>
    <w:rPr>
      <w:rFonts w:ascii="等线" w:hAnsi="等线" w:eastAsia="等线"/>
      <w:sz w:val="20"/>
    </w:rPr>
  </w:style>
  <w:style w:type="character" w:customStyle="1" w:styleId="17">
    <w:name w:val="EndNote Bibliography Title 字符"/>
    <w:basedOn w:val="7"/>
    <w:link w:val="16"/>
    <w:qFormat/>
    <w:uiPriority w:val="0"/>
    <w:rPr>
      <w:rFonts w:ascii="等线" w:hAnsi="等线" w:eastAsia="等线"/>
      <w:kern w:val="2"/>
      <w:szCs w:val="22"/>
    </w:rPr>
  </w:style>
  <w:style w:type="paragraph" w:customStyle="1" w:styleId="18">
    <w:name w:val="EndNote Bibliography"/>
    <w:basedOn w:val="1"/>
    <w:link w:val="19"/>
    <w:qFormat/>
    <w:uiPriority w:val="0"/>
    <w:rPr>
      <w:rFonts w:ascii="等线" w:hAnsi="等线" w:eastAsia="等线"/>
      <w:sz w:val="20"/>
    </w:rPr>
  </w:style>
  <w:style w:type="character" w:customStyle="1" w:styleId="19">
    <w:name w:val="EndNote Bibliography 字符"/>
    <w:basedOn w:val="7"/>
    <w:link w:val="18"/>
    <w:qFormat/>
    <w:uiPriority w:val="0"/>
    <w:rPr>
      <w:rFonts w:ascii="等线" w:hAnsi="等线" w:eastAsia="等线"/>
      <w:kern w:val="2"/>
      <w:szCs w:val="22"/>
    </w:rPr>
  </w:style>
  <w:style w:type="paragraph" w:customStyle="1" w:styleId="2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978</Words>
  <Characters>5378</Characters>
  <Lines>223</Lines>
  <Paragraphs>268</Paragraphs>
  <TotalTime>22</TotalTime>
  <ScaleCrop>false</ScaleCrop>
  <LinksUpToDate>false</LinksUpToDate>
  <CharactersWithSpaces>6218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2025-10-31T08:15:00Z</dcterms:created>
  <dc:creator>YY Fan</dc:creator>
  <cp:lastModifiedBy>biofy</cp:lastModifiedBy>
  <dcterms:modified xsi:type="dcterms:W3CDTF">2025-11-10T14:54:28Z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eyJoZGlkIjoiMzAwZDE4Mzk1YjExNmFlYzU3NmU3YWY1OGI1MjVmZmUifQ==</vt:lpwstr>
  </property>
  <property fmtid="{D5CDD505-2E9C-101B-9397-08002B2CF9AE}" pid="3" name="KSOProductBuildVer">
    <vt:lpwstr>2052-12.1.0.23542</vt:lpwstr>
  </property>
  <property fmtid="{D5CDD505-2E9C-101B-9397-08002B2CF9AE}" pid="4" name="ICV">
    <vt:lpwstr>8EB82E731A2B46C0B47EC0526841C3A9_12</vt:lpwstr>
  </property>
</Properties>
</file>