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F25FA">
      <w:pPr>
        <w:jc w:val="left"/>
        <w:rPr>
          <w:rFonts w:ascii="Times New Roman" w:hAnsi="Times New Roman" w:cs="Times New Roman"/>
          <w:b/>
          <w:bCs/>
          <w:sz w:val="24"/>
        </w:rPr>
      </w:pPr>
      <w:r>
        <w:rPr>
          <w:rFonts w:ascii="Times New Roman" w:hAnsi="Times New Roman" w:cs="Times New Roman"/>
          <w:b/>
          <w:bCs/>
          <w:sz w:val="24"/>
        </w:rPr>
        <w:t>Supplementary Figures</w:t>
      </w:r>
    </w:p>
    <w:p w14:paraId="2943B095">
      <w:pPr>
        <w:jc w:val="left"/>
        <w:rPr>
          <w:rFonts w:hint="eastAsia" w:ascii="Times New Roman" w:hAnsi="Times New Roman" w:cs="Times New Roman"/>
          <w:b/>
          <w:bCs/>
          <w:sz w:val="24"/>
          <w:lang w:eastAsia="zh-CN"/>
        </w:rPr>
      </w:pPr>
      <w:r>
        <w:rPr>
          <w:rFonts w:ascii="Times New Roman" w:hAnsi="Times New Roman" w:cs="Times New Roman"/>
          <w:b/>
          <w:bCs/>
          <w:sz w:val="24"/>
          <w:lang w:val="en-US" w:eastAsia="zh-CN"/>
        </w:rPr>
        <w:t>Mast Cell-Derived MIF Polarizes Th17 Cells to Drive Lung Adenocarcinoma Progression</w:t>
      </w:r>
    </w:p>
    <w:p w14:paraId="3F9309A8">
      <w:pPr>
        <w:rPr>
          <w:rFonts w:hint="eastAsia" w:eastAsiaTheme="minorEastAsia"/>
          <w:lang w:eastAsia="zh-CN"/>
        </w:rPr>
      </w:pPr>
      <w:r>
        <w:rPr>
          <w:rFonts w:hint="eastAsia" w:eastAsiaTheme="minorEastAsia"/>
          <w:lang w:eastAsia="zh-CN"/>
        </w:rPr>
        <w:drawing>
          <wp:inline distT="0" distB="0" distL="114300" distR="114300">
            <wp:extent cx="5273040" cy="5211445"/>
            <wp:effectExtent l="0" t="0" r="0" b="635"/>
            <wp:docPr id="6" name="图片 6"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5"/>
                    <pic:cNvPicPr>
                      <a:picLocks noChangeAspect="1"/>
                    </pic:cNvPicPr>
                  </pic:nvPicPr>
                  <pic:blipFill>
                    <a:blip r:embed="rId4"/>
                    <a:stretch>
                      <a:fillRect/>
                    </a:stretch>
                  </pic:blipFill>
                  <pic:spPr>
                    <a:xfrm>
                      <a:off x="0" y="0"/>
                      <a:ext cx="5273040" cy="5211445"/>
                    </a:xfrm>
                    <a:prstGeom prst="rect">
                      <a:avLst/>
                    </a:prstGeom>
                  </pic:spPr>
                </pic:pic>
              </a:graphicData>
            </a:graphic>
          </wp:inline>
        </w:drawing>
      </w:r>
    </w:p>
    <w:p w14:paraId="5B03053E">
      <w:pPr>
        <w:rPr>
          <w:rFonts w:hint="eastAsia" w:ascii="Times New Roman" w:hAnsi="Times New Roman" w:cs="Times New Roman"/>
          <w:sz w:val="24"/>
          <w:lang w:eastAsia="zh-CN"/>
        </w:rPr>
      </w:pP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1</w:t>
      </w:r>
      <w:r>
        <w:rPr>
          <w:rFonts w:hint="eastAsia" w:ascii="Times New Roman" w:hAnsi="Times New Roman" w:cs="Times New Roman"/>
          <w:b/>
          <w:bCs/>
          <w:sz w:val="24"/>
          <w:lang w:eastAsia="zh-CN"/>
        </w:rPr>
        <w:t>. Original single-channel and multiplex immunofluorescence (mIHC) images validating staining specificity and co-localization.</w:t>
      </w:r>
      <w:r>
        <w:rPr>
          <w:rFonts w:hint="eastAsia" w:ascii="Times New Roman" w:hAnsi="Times New Roman" w:cs="Times New Roman"/>
          <w:sz w:val="24"/>
          <w:lang w:eastAsia="zh-CN"/>
        </w:rPr>
        <w:t>The images transparently show the raw data used for analysis.(i) The final merged multiplex immunofluorescence (mIHC) image (pseudo-colored).</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zh-CN"/>
        </w:rPr>
        <w:t>Single-channel greyscale images: The original, unprocessed grayscale images for each marker are shown in the top row.(ii) DAPI (nuclear stain).(iii) CK7 (tumor cell marker).(iv) Tryptase (MC marker).(viii) CD3 (pan-T cell marker).(ix) CD4 (helper T cell marker).(x) IL-17A (Th17 cytokine).Single-channel pseudo-colored images: The corresponding pseudo-colored images for each marker are shown in the bottom row for visual clarity, maintaining the same order.(v) DAPI (blue).</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zh-CN"/>
        </w:rPr>
        <w:t>(vi) CK7 (</w:t>
      </w:r>
      <w:r>
        <w:rPr>
          <w:rFonts w:hint="eastAsia" w:ascii="Times New Roman" w:hAnsi="Times New Roman" w:cs="Times New Roman"/>
          <w:sz w:val="24"/>
          <w:lang w:val="en-US" w:eastAsia="zh-CN"/>
        </w:rPr>
        <w:t>pink</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zh-CN"/>
        </w:rPr>
        <w:t>(vii) Tryptase (green).</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zh-CN"/>
        </w:rPr>
        <w:t>(xi) CD3 (red).</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zh-CN"/>
        </w:rPr>
        <w:t>(xii) CD4 (yellow).(xiii) IL-17A (</w:t>
      </w:r>
      <w:r>
        <w:rPr>
          <w:rFonts w:hint="eastAsia" w:ascii="Times New Roman" w:hAnsi="Times New Roman" w:cs="Times New Roman"/>
          <w:sz w:val="24"/>
          <w:lang w:val="en-US" w:eastAsia="zh-CN"/>
        </w:rPr>
        <w:t>cyan</w:t>
      </w:r>
      <w:r>
        <w:rPr>
          <w:rFonts w:hint="eastAsia" w:ascii="Times New Roman" w:hAnsi="Times New Roman" w:cs="Times New Roman"/>
          <w:sz w:val="24"/>
          <w:lang w:eastAsia="zh-CN"/>
        </w:rPr>
        <w:t>).</w:t>
      </w:r>
    </w:p>
    <w:p w14:paraId="7EFD694E">
      <w:pPr>
        <w:rPr>
          <w:rFonts w:hint="eastAsia" w:ascii="Times New Roman" w:hAnsi="Times New Roman" w:cs="Times New Roman"/>
          <w:sz w:val="24"/>
          <w:lang w:eastAsia="zh-CN"/>
        </w:rPr>
      </w:pPr>
      <w:r>
        <w:rPr>
          <w:rFonts w:hint="eastAsia"/>
        </w:rPr>
        <w:drawing>
          <wp:inline distT="0" distB="0" distL="114300" distR="114300">
            <wp:extent cx="5246370" cy="6995160"/>
            <wp:effectExtent l="0" t="0" r="11430" b="0"/>
            <wp:docPr id="1" name="图片 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1"/>
                    <pic:cNvPicPr>
                      <a:picLocks noChangeAspect="1"/>
                    </pic:cNvPicPr>
                  </pic:nvPicPr>
                  <pic:blipFill>
                    <a:blip r:embed="rId5"/>
                    <a:stretch>
                      <a:fillRect/>
                    </a:stretch>
                  </pic:blipFill>
                  <pic:spPr>
                    <a:xfrm>
                      <a:off x="0" y="0"/>
                      <a:ext cx="5246370" cy="6995160"/>
                    </a:xfrm>
                    <a:prstGeom prst="rect">
                      <a:avLst/>
                    </a:prstGeom>
                  </pic:spPr>
                </pic:pic>
              </a:graphicData>
            </a:graphic>
          </wp:inline>
        </w:drawing>
      </w: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2</w:t>
      </w:r>
      <w:r>
        <w:rPr>
          <w:rFonts w:hint="eastAsia" w:ascii="Times New Roman" w:hAnsi="Times New Roman" w:cs="Times New Roman"/>
          <w:b/>
          <w:bCs/>
          <w:sz w:val="24"/>
          <w:lang w:eastAsia="zh-CN"/>
        </w:rPr>
        <w:t>. Supplementary three-year survival analyses of mast cell and Th17 cell infiltration in LUAD, stratified by disease stage.</w:t>
      </w:r>
      <w:r>
        <w:rPr>
          <w:rFonts w:hint="eastAsia" w:ascii="Times New Roman" w:hAnsi="Times New Roman" w:cs="Times New Roman"/>
          <w:sz w:val="24"/>
          <w:lang w:eastAsia="zh-CN"/>
        </w:rPr>
        <w:t>(A, B) Kaplan-Meier curves depicting the association between Th17 cell infiltration and three-year survival in the entire LUAD cohort (n=80). Patients were stratified into high and low groups based on the median of Th17 cell absolute count (A) and percentage (B). Survival differences were assessed by the log-rank test.(C-H) Stage-stratified Kaplan-Meier three-year survival analyses for MC and Th17 cell infiltration. Within each TNM stage subgroup, patients were similarly dichotomized into high and low groups based on the median value of the specified metric.(C) Stage I subgroup analysis: Th17 cell count (top left), Th17 cell percentage (top right), MC count (bottom left), and MC percentage (bottom right).(D) Stage II subgroup analysis .(E) Stage III subgroup analysis .(F) Stage IV subgroup analysis .(G) Combined early-stage (Stage I+II) subgroup analysis .(H) Combined advanced-stage (Stage III+IV) subgroup analysis .In all panels, the high infiltration group is represented by a red line and the low group by a blue line. P-values from the log-rank test are displayed on each graph. These analyses explore the prognostic association of MC/Th17 infiltration independent of disease stage.</w:t>
      </w:r>
    </w:p>
    <w:p w14:paraId="781655DD">
      <w:pPr>
        <w:rPr>
          <w:rFonts w:hint="eastAsia"/>
        </w:rPr>
      </w:pPr>
    </w:p>
    <w:p w14:paraId="03E27CE0">
      <w:pPr>
        <w:rPr>
          <w:rFonts w:hint="eastAsia"/>
        </w:rPr>
      </w:pPr>
    </w:p>
    <w:p w14:paraId="7D935927">
      <w:pPr>
        <w:rPr>
          <w:rFonts w:hint="eastAsia"/>
        </w:rPr>
      </w:pPr>
    </w:p>
    <w:p w14:paraId="7036C0BA">
      <w:pPr>
        <w:rPr>
          <w:rFonts w:hint="eastAsia"/>
        </w:rPr>
      </w:pPr>
    </w:p>
    <w:p w14:paraId="0D408B27">
      <w:pPr>
        <w:rPr>
          <w:rFonts w:hint="eastAsia"/>
        </w:rPr>
      </w:pPr>
    </w:p>
    <w:p w14:paraId="733C1D8D">
      <w:pPr>
        <w:rPr>
          <w:rFonts w:hint="eastAsia"/>
        </w:rPr>
      </w:pPr>
    </w:p>
    <w:p w14:paraId="75FF714A">
      <w:pPr>
        <w:rPr>
          <w:rFonts w:hint="eastAsia"/>
        </w:rPr>
      </w:pPr>
    </w:p>
    <w:p w14:paraId="0BD78CC7">
      <w:pPr>
        <w:rPr>
          <w:rFonts w:hint="eastAsia"/>
        </w:rPr>
      </w:pPr>
    </w:p>
    <w:p w14:paraId="0CC5B748">
      <w:pPr>
        <w:rPr>
          <w:rFonts w:hint="eastAsia"/>
        </w:rPr>
      </w:pPr>
    </w:p>
    <w:p w14:paraId="5BF81640">
      <w:pPr>
        <w:rPr>
          <w:rFonts w:hint="eastAsia"/>
        </w:rPr>
      </w:pPr>
    </w:p>
    <w:p w14:paraId="481D20E6">
      <w:pPr>
        <w:rPr>
          <w:rFonts w:hint="eastAsia"/>
        </w:rPr>
      </w:pPr>
    </w:p>
    <w:p w14:paraId="7E90CFCC">
      <w:pPr>
        <w:rPr>
          <w:rFonts w:hint="eastAsia"/>
        </w:rPr>
      </w:pPr>
    </w:p>
    <w:p w14:paraId="5D91828F">
      <w:pPr>
        <w:rPr>
          <w:rFonts w:hint="eastAsia"/>
        </w:rPr>
      </w:pPr>
    </w:p>
    <w:p w14:paraId="46EB9848">
      <w:pPr>
        <w:rPr>
          <w:rFonts w:hint="eastAsia"/>
        </w:rPr>
      </w:pPr>
    </w:p>
    <w:p w14:paraId="19436499">
      <w:pPr>
        <w:rPr>
          <w:rFonts w:hint="eastAsia"/>
        </w:rPr>
      </w:pPr>
    </w:p>
    <w:p w14:paraId="18A51891">
      <w:pPr>
        <w:rPr>
          <w:rFonts w:hint="eastAsia"/>
        </w:rPr>
      </w:pPr>
    </w:p>
    <w:p w14:paraId="6E511976">
      <w:pPr>
        <w:rPr>
          <w:rFonts w:hint="eastAsia"/>
        </w:rPr>
      </w:pPr>
    </w:p>
    <w:p w14:paraId="2AB3B10F">
      <w:pPr>
        <w:rPr>
          <w:rFonts w:hint="eastAsia"/>
        </w:rPr>
      </w:pPr>
    </w:p>
    <w:p w14:paraId="3895B3A3">
      <w:pPr>
        <w:rPr>
          <w:rFonts w:hint="eastAsia"/>
        </w:rPr>
      </w:pPr>
    </w:p>
    <w:p w14:paraId="0C48BFFF">
      <w:pPr>
        <w:rPr>
          <w:rFonts w:hint="eastAsia"/>
        </w:rPr>
      </w:pPr>
    </w:p>
    <w:p w14:paraId="658E7B40">
      <w:pPr>
        <w:rPr>
          <w:rFonts w:hint="eastAsia"/>
        </w:rPr>
      </w:pPr>
    </w:p>
    <w:p w14:paraId="70BF05C1">
      <w:pPr>
        <w:rPr>
          <w:rFonts w:hint="eastAsia"/>
        </w:rPr>
      </w:pPr>
    </w:p>
    <w:p w14:paraId="0B3C72B2">
      <w:pPr>
        <w:rPr>
          <w:rFonts w:hint="eastAsia"/>
        </w:rPr>
      </w:pPr>
    </w:p>
    <w:p w14:paraId="4E39ABAD">
      <w:pPr>
        <w:rPr>
          <w:rFonts w:hint="eastAsia" w:ascii="Times New Roman" w:hAnsi="Times New Roman" w:cs="Times New Roman"/>
          <w:b/>
          <w:bCs/>
          <w:sz w:val="24"/>
          <w:lang w:eastAsia="zh-CN"/>
        </w:rPr>
      </w:pPr>
      <w:r>
        <w:rPr>
          <w:rFonts w:hint="eastAsia" w:ascii="Times New Roman" w:hAnsi="Times New Roman" w:cs="Times New Roman"/>
          <w:b/>
          <w:bCs/>
          <w:sz w:val="24"/>
          <w:lang w:eastAsia="zh-CN"/>
        </w:rPr>
        <w:drawing>
          <wp:inline distT="0" distB="0" distL="114300" distR="114300">
            <wp:extent cx="5246370" cy="3191510"/>
            <wp:effectExtent l="0" t="0" r="11430" b="8890"/>
            <wp:docPr id="2" name="图片 2"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2"/>
                    <pic:cNvPicPr>
                      <a:picLocks noChangeAspect="1"/>
                    </pic:cNvPicPr>
                  </pic:nvPicPr>
                  <pic:blipFill>
                    <a:blip r:embed="rId6"/>
                    <a:stretch>
                      <a:fillRect/>
                    </a:stretch>
                  </pic:blipFill>
                  <pic:spPr>
                    <a:xfrm>
                      <a:off x="0" y="0"/>
                      <a:ext cx="5246370" cy="3191510"/>
                    </a:xfrm>
                    <a:prstGeom prst="rect">
                      <a:avLst/>
                    </a:prstGeom>
                  </pic:spPr>
                </pic:pic>
              </a:graphicData>
            </a:graphic>
          </wp:inline>
        </w:drawing>
      </w:r>
    </w:p>
    <w:p w14:paraId="2BB5EE29">
      <w:pPr>
        <w:rPr>
          <w:rFonts w:hint="eastAsia" w:ascii="Times New Roman" w:hAnsi="Times New Roman" w:cs="Times New Roman"/>
          <w:b/>
          <w:bCs/>
          <w:sz w:val="24"/>
          <w:lang w:eastAsia="zh-CN"/>
        </w:rPr>
      </w:pP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3</w:t>
      </w:r>
      <w:r>
        <w:rPr>
          <w:rFonts w:hint="eastAsia" w:ascii="Times New Roman" w:hAnsi="Times New Roman" w:cs="Times New Roman"/>
          <w:b/>
          <w:bCs/>
          <w:sz w:val="24"/>
          <w:lang w:eastAsia="zh-CN"/>
        </w:rPr>
        <w:t>. Comprehensive volcano plots of differentially expressed genes (DEGs) across all major cell subsets in the LUAD tumor microenvironment.</w:t>
      </w:r>
    </w:p>
    <w:p w14:paraId="242902F4">
      <w:pPr>
        <w:rPr>
          <w:rStyle w:val="5"/>
          <w:rFonts w:ascii="Segoe UI" w:hAnsi="Segoe UI" w:eastAsia="Segoe UI" w:cs="Segoe UI"/>
          <w:b/>
          <w:bCs/>
          <w:i w:val="0"/>
          <w:iCs w:val="0"/>
          <w:caps w:val="0"/>
          <w:color w:val="0F1115"/>
          <w:spacing w:val="0"/>
          <w:sz w:val="19"/>
          <w:szCs w:val="19"/>
          <w:shd w:val="clear" w:fill="FFFFFF"/>
        </w:rPr>
      </w:pPr>
    </w:p>
    <w:p w14:paraId="04F3C130">
      <w:pPr>
        <w:rPr>
          <w:rStyle w:val="5"/>
          <w:rFonts w:ascii="Segoe UI" w:hAnsi="Segoe UI" w:eastAsia="Segoe UI" w:cs="Segoe UI"/>
          <w:b/>
          <w:bCs/>
          <w:i w:val="0"/>
          <w:iCs w:val="0"/>
          <w:caps w:val="0"/>
          <w:color w:val="0F1115"/>
          <w:spacing w:val="0"/>
          <w:sz w:val="19"/>
          <w:szCs w:val="19"/>
          <w:shd w:val="clear" w:fill="FFFFFF"/>
        </w:rPr>
      </w:pPr>
    </w:p>
    <w:p w14:paraId="09B60139">
      <w:pPr>
        <w:rPr>
          <w:rStyle w:val="5"/>
          <w:rFonts w:ascii="Segoe UI" w:hAnsi="Segoe UI" w:eastAsia="Segoe UI" w:cs="Segoe UI"/>
          <w:b/>
          <w:bCs/>
          <w:i w:val="0"/>
          <w:iCs w:val="0"/>
          <w:caps w:val="0"/>
          <w:color w:val="0F1115"/>
          <w:spacing w:val="0"/>
          <w:sz w:val="19"/>
          <w:szCs w:val="19"/>
          <w:shd w:val="clear" w:fill="FFFFFF"/>
        </w:rPr>
      </w:pPr>
    </w:p>
    <w:p w14:paraId="715A7F8D">
      <w:pPr>
        <w:rPr>
          <w:rStyle w:val="5"/>
          <w:rFonts w:ascii="Segoe UI" w:hAnsi="Segoe UI" w:eastAsia="Segoe UI" w:cs="Segoe UI"/>
          <w:b/>
          <w:bCs/>
          <w:i w:val="0"/>
          <w:iCs w:val="0"/>
          <w:caps w:val="0"/>
          <w:color w:val="0F1115"/>
          <w:spacing w:val="0"/>
          <w:sz w:val="19"/>
          <w:szCs w:val="19"/>
          <w:shd w:val="clear" w:fill="FFFFFF"/>
        </w:rPr>
      </w:pPr>
    </w:p>
    <w:p w14:paraId="232CF47F">
      <w:pPr>
        <w:rPr>
          <w:rStyle w:val="5"/>
          <w:rFonts w:ascii="Segoe UI" w:hAnsi="Segoe UI" w:eastAsia="Segoe UI" w:cs="Segoe UI"/>
          <w:b/>
          <w:bCs/>
          <w:i w:val="0"/>
          <w:iCs w:val="0"/>
          <w:caps w:val="0"/>
          <w:color w:val="0F1115"/>
          <w:spacing w:val="0"/>
          <w:sz w:val="19"/>
          <w:szCs w:val="19"/>
          <w:shd w:val="clear" w:fill="FFFFFF"/>
        </w:rPr>
      </w:pPr>
    </w:p>
    <w:p w14:paraId="1B005FDD">
      <w:pPr>
        <w:rPr>
          <w:rStyle w:val="5"/>
          <w:rFonts w:ascii="Segoe UI" w:hAnsi="Segoe UI" w:eastAsia="Segoe UI" w:cs="Segoe UI"/>
          <w:b/>
          <w:bCs/>
          <w:i w:val="0"/>
          <w:iCs w:val="0"/>
          <w:caps w:val="0"/>
          <w:color w:val="0F1115"/>
          <w:spacing w:val="0"/>
          <w:sz w:val="19"/>
          <w:szCs w:val="19"/>
          <w:shd w:val="clear" w:fill="FFFFFF"/>
        </w:rPr>
      </w:pPr>
    </w:p>
    <w:p w14:paraId="4AEEA067">
      <w:pPr>
        <w:rPr>
          <w:rStyle w:val="5"/>
          <w:rFonts w:ascii="Segoe UI" w:hAnsi="Segoe UI" w:eastAsia="Segoe UI" w:cs="Segoe UI"/>
          <w:b/>
          <w:bCs/>
          <w:i w:val="0"/>
          <w:iCs w:val="0"/>
          <w:caps w:val="0"/>
          <w:color w:val="0F1115"/>
          <w:spacing w:val="0"/>
          <w:sz w:val="19"/>
          <w:szCs w:val="19"/>
          <w:shd w:val="clear" w:fill="FFFFFF"/>
        </w:rPr>
      </w:pPr>
    </w:p>
    <w:p w14:paraId="4E0E9EE9">
      <w:pPr>
        <w:rPr>
          <w:rStyle w:val="5"/>
          <w:rFonts w:ascii="Segoe UI" w:hAnsi="Segoe UI" w:eastAsia="Segoe UI" w:cs="Segoe UI"/>
          <w:b/>
          <w:bCs/>
          <w:i w:val="0"/>
          <w:iCs w:val="0"/>
          <w:caps w:val="0"/>
          <w:color w:val="0F1115"/>
          <w:spacing w:val="0"/>
          <w:sz w:val="19"/>
          <w:szCs w:val="19"/>
          <w:shd w:val="clear" w:fill="FFFFFF"/>
        </w:rPr>
      </w:pPr>
    </w:p>
    <w:p w14:paraId="3AEB20B1">
      <w:pPr>
        <w:rPr>
          <w:rStyle w:val="5"/>
          <w:rFonts w:ascii="Segoe UI" w:hAnsi="Segoe UI" w:eastAsia="Segoe UI" w:cs="Segoe UI"/>
          <w:b/>
          <w:bCs/>
          <w:i w:val="0"/>
          <w:iCs w:val="0"/>
          <w:caps w:val="0"/>
          <w:color w:val="0F1115"/>
          <w:spacing w:val="0"/>
          <w:sz w:val="19"/>
          <w:szCs w:val="19"/>
          <w:shd w:val="clear" w:fill="FFFFFF"/>
        </w:rPr>
      </w:pPr>
    </w:p>
    <w:p w14:paraId="76F39169">
      <w:pPr>
        <w:rPr>
          <w:rStyle w:val="5"/>
          <w:rFonts w:ascii="Segoe UI" w:hAnsi="Segoe UI" w:eastAsia="Segoe UI" w:cs="Segoe UI"/>
          <w:b/>
          <w:bCs/>
          <w:i w:val="0"/>
          <w:iCs w:val="0"/>
          <w:caps w:val="0"/>
          <w:color w:val="0F1115"/>
          <w:spacing w:val="0"/>
          <w:sz w:val="19"/>
          <w:szCs w:val="19"/>
          <w:shd w:val="clear" w:fill="FFFFFF"/>
        </w:rPr>
      </w:pPr>
    </w:p>
    <w:p w14:paraId="460F06A7">
      <w:pPr>
        <w:rPr>
          <w:rStyle w:val="5"/>
          <w:rFonts w:ascii="Segoe UI" w:hAnsi="Segoe UI" w:eastAsia="Segoe UI" w:cs="Segoe UI"/>
          <w:b/>
          <w:bCs/>
          <w:i w:val="0"/>
          <w:iCs w:val="0"/>
          <w:caps w:val="0"/>
          <w:color w:val="0F1115"/>
          <w:spacing w:val="0"/>
          <w:sz w:val="19"/>
          <w:szCs w:val="19"/>
          <w:shd w:val="clear" w:fill="FFFFFF"/>
        </w:rPr>
      </w:pPr>
    </w:p>
    <w:p w14:paraId="2989068F">
      <w:pPr>
        <w:rPr>
          <w:rStyle w:val="5"/>
          <w:rFonts w:ascii="Segoe UI" w:hAnsi="Segoe UI" w:eastAsia="Segoe UI" w:cs="Segoe UI"/>
          <w:b/>
          <w:bCs/>
          <w:i w:val="0"/>
          <w:iCs w:val="0"/>
          <w:caps w:val="0"/>
          <w:color w:val="0F1115"/>
          <w:spacing w:val="0"/>
          <w:sz w:val="19"/>
          <w:szCs w:val="19"/>
          <w:shd w:val="clear" w:fill="FFFFFF"/>
        </w:rPr>
      </w:pPr>
    </w:p>
    <w:p w14:paraId="145B2F6E">
      <w:pPr>
        <w:rPr>
          <w:rStyle w:val="5"/>
          <w:rFonts w:ascii="Segoe UI" w:hAnsi="Segoe UI" w:eastAsia="Segoe UI" w:cs="Segoe UI"/>
          <w:b/>
          <w:bCs/>
          <w:i w:val="0"/>
          <w:iCs w:val="0"/>
          <w:caps w:val="0"/>
          <w:color w:val="0F1115"/>
          <w:spacing w:val="0"/>
          <w:sz w:val="19"/>
          <w:szCs w:val="19"/>
          <w:shd w:val="clear" w:fill="FFFFFF"/>
        </w:rPr>
      </w:pPr>
    </w:p>
    <w:p w14:paraId="64EFED53">
      <w:pPr>
        <w:rPr>
          <w:rStyle w:val="5"/>
          <w:rFonts w:ascii="Segoe UI" w:hAnsi="Segoe UI" w:eastAsia="Segoe UI" w:cs="Segoe UI"/>
          <w:b/>
          <w:bCs/>
          <w:i w:val="0"/>
          <w:iCs w:val="0"/>
          <w:caps w:val="0"/>
          <w:color w:val="0F1115"/>
          <w:spacing w:val="0"/>
          <w:sz w:val="19"/>
          <w:szCs w:val="19"/>
          <w:shd w:val="clear" w:fill="FFFFFF"/>
        </w:rPr>
      </w:pPr>
    </w:p>
    <w:p w14:paraId="50B61AF9">
      <w:pPr>
        <w:rPr>
          <w:rStyle w:val="5"/>
          <w:rFonts w:ascii="Segoe UI" w:hAnsi="Segoe UI" w:eastAsia="Segoe UI" w:cs="Segoe UI"/>
          <w:b/>
          <w:bCs/>
          <w:i w:val="0"/>
          <w:iCs w:val="0"/>
          <w:caps w:val="0"/>
          <w:color w:val="0F1115"/>
          <w:spacing w:val="0"/>
          <w:sz w:val="19"/>
          <w:szCs w:val="19"/>
          <w:shd w:val="clear" w:fill="FFFFFF"/>
        </w:rPr>
      </w:pPr>
    </w:p>
    <w:p w14:paraId="6449DE0C">
      <w:pPr>
        <w:rPr>
          <w:rStyle w:val="5"/>
          <w:rFonts w:ascii="Segoe UI" w:hAnsi="Segoe UI" w:eastAsia="Segoe UI" w:cs="Segoe UI"/>
          <w:b/>
          <w:bCs/>
          <w:i w:val="0"/>
          <w:iCs w:val="0"/>
          <w:caps w:val="0"/>
          <w:color w:val="0F1115"/>
          <w:spacing w:val="0"/>
          <w:sz w:val="19"/>
          <w:szCs w:val="19"/>
          <w:shd w:val="clear" w:fill="FFFFFF"/>
        </w:rPr>
      </w:pPr>
    </w:p>
    <w:p w14:paraId="255A0B47">
      <w:pPr>
        <w:rPr>
          <w:rStyle w:val="5"/>
          <w:rFonts w:ascii="Segoe UI" w:hAnsi="Segoe UI" w:eastAsia="Segoe UI" w:cs="Segoe UI"/>
          <w:b/>
          <w:bCs/>
          <w:i w:val="0"/>
          <w:iCs w:val="0"/>
          <w:caps w:val="0"/>
          <w:color w:val="0F1115"/>
          <w:spacing w:val="0"/>
          <w:sz w:val="19"/>
          <w:szCs w:val="19"/>
          <w:shd w:val="clear" w:fill="FFFFFF"/>
        </w:rPr>
      </w:pPr>
    </w:p>
    <w:p w14:paraId="5866861C">
      <w:pPr>
        <w:rPr>
          <w:rStyle w:val="5"/>
          <w:rFonts w:hint="eastAsia" w:ascii="Segoe UI" w:hAnsi="Segoe UI" w:eastAsia="Segoe UI" w:cs="Segoe UI"/>
          <w:b/>
          <w:bCs/>
          <w:i w:val="0"/>
          <w:iCs w:val="0"/>
          <w:caps w:val="0"/>
          <w:color w:val="0F1115"/>
          <w:spacing w:val="0"/>
          <w:sz w:val="19"/>
          <w:szCs w:val="19"/>
          <w:shd w:val="clear" w:fill="FFFFFF"/>
          <w:lang w:eastAsia="zh-CN"/>
        </w:rPr>
      </w:pPr>
    </w:p>
    <w:p w14:paraId="1833C73D">
      <w:pPr>
        <w:rPr>
          <w:rStyle w:val="5"/>
          <w:rFonts w:hint="eastAsia" w:ascii="Segoe UI" w:hAnsi="Segoe UI" w:eastAsia="Segoe UI" w:cs="Segoe UI"/>
          <w:b/>
          <w:bCs/>
          <w:i w:val="0"/>
          <w:iCs w:val="0"/>
          <w:caps w:val="0"/>
          <w:color w:val="0F1115"/>
          <w:spacing w:val="0"/>
          <w:sz w:val="19"/>
          <w:szCs w:val="19"/>
          <w:shd w:val="clear" w:fill="FFFFFF"/>
          <w:lang w:eastAsia="zh-CN"/>
        </w:rPr>
      </w:pPr>
    </w:p>
    <w:p w14:paraId="33721E93">
      <w:pPr>
        <w:rPr>
          <w:rStyle w:val="5"/>
          <w:rFonts w:hint="eastAsia" w:ascii="Segoe UI" w:hAnsi="Segoe UI" w:eastAsia="Segoe UI" w:cs="Segoe UI"/>
          <w:b/>
          <w:bCs/>
          <w:i w:val="0"/>
          <w:iCs w:val="0"/>
          <w:caps w:val="0"/>
          <w:color w:val="0F1115"/>
          <w:spacing w:val="0"/>
          <w:sz w:val="19"/>
          <w:szCs w:val="19"/>
          <w:shd w:val="clear" w:fill="FFFFFF"/>
          <w:lang w:eastAsia="zh-CN"/>
        </w:rPr>
      </w:pPr>
    </w:p>
    <w:p w14:paraId="15D9ECA5">
      <w:pPr>
        <w:rPr>
          <w:rStyle w:val="5"/>
          <w:rFonts w:hint="eastAsia" w:ascii="Segoe UI" w:hAnsi="Segoe UI" w:eastAsia="Segoe UI" w:cs="Segoe UI"/>
          <w:b/>
          <w:bCs/>
          <w:i w:val="0"/>
          <w:iCs w:val="0"/>
          <w:caps w:val="0"/>
          <w:color w:val="0F1115"/>
          <w:spacing w:val="0"/>
          <w:sz w:val="19"/>
          <w:szCs w:val="19"/>
          <w:shd w:val="clear" w:fill="FFFFFF"/>
          <w:lang w:eastAsia="zh-CN"/>
        </w:rPr>
      </w:pPr>
    </w:p>
    <w:p w14:paraId="6C724F0C">
      <w:pPr>
        <w:rPr>
          <w:rStyle w:val="5"/>
          <w:rFonts w:hint="eastAsia" w:ascii="Segoe UI" w:hAnsi="Segoe UI" w:eastAsia="Segoe UI" w:cs="Segoe UI"/>
          <w:b/>
          <w:bCs/>
          <w:i w:val="0"/>
          <w:iCs w:val="0"/>
          <w:caps w:val="0"/>
          <w:color w:val="0F1115"/>
          <w:spacing w:val="0"/>
          <w:sz w:val="19"/>
          <w:szCs w:val="19"/>
          <w:shd w:val="clear" w:fill="FFFFFF"/>
          <w:lang w:eastAsia="zh-CN"/>
        </w:rPr>
      </w:pPr>
    </w:p>
    <w:p w14:paraId="7D0BC442">
      <w:pPr>
        <w:rPr>
          <w:rStyle w:val="5"/>
          <w:rFonts w:hint="eastAsia" w:ascii="Segoe UI" w:hAnsi="Segoe UI" w:eastAsia="Segoe UI" w:cs="Segoe UI"/>
          <w:b/>
          <w:bCs/>
          <w:i w:val="0"/>
          <w:iCs w:val="0"/>
          <w:caps w:val="0"/>
          <w:color w:val="0F1115"/>
          <w:spacing w:val="0"/>
          <w:sz w:val="19"/>
          <w:szCs w:val="19"/>
          <w:shd w:val="clear" w:fill="FFFFFF"/>
          <w:lang w:eastAsia="zh-CN"/>
        </w:rPr>
      </w:pPr>
    </w:p>
    <w:p w14:paraId="3F8A8E4A">
      <w:pPr>
        <w:rPr>
          <w:rStyle w:val="5"/>
          <w:rFonts w:hint="eastAsia" w:ascii="Segoe UI" w:hAnsi="Segoe UI" w:eastAsia="Segoe UI" w:cs="Segoe UI"/>
          <w:b/>
          <w:bCs/>
          <w:i w:val="0"/>
          <w:iCs w:val="0"/>
          <w:caps w:val="0"/>
          <w:color w:val="0F1115"/>
          <w:spacing w:val="0"/>
          <w:sz w:val="19"/>
          <w:szCs w:val="19"/>
          <w:shd w:val="clear" w:fill="FFFFFF"/>
          <w:lang w:eastAsia="zh-CN"/>
        </w:rPr>
      </w:pPr>
    </w:p>
    <w:p w14:paraId="2A859AD3">
      <w:pPr>
        <w:rPr>
          <w:rStyle w:val="5"/>
          <w:rFonts w:hint="eastAsia" w:ascii="Segoe UI" w:hAnsi="Segoe UI" w:eastAsia="Segoe UI" w:cs="Segoe UI"/>
          <w:b/>
          <w:bCs/>
          <w:i w:val="0"/>
          <w:iCs w:val="0"/>
          <w:caps w:val="0"/>
          <w:color w:val="0F1115"/>
          <w:spacing w:val="0"/>
          <w:sz w:val="19"/>
          <w:szCs w:val="19"/>
          <w:shd w:val="clear" w:fill="FFFFFF"/>
          <w:lang w:eastAsia="zh-CN"/>
        </w:rPr>
      </w:pPr>
    </w:p>
    <w:p w14:paraId="74871D86">
      <w:pPr>
        <w:rPr>
          <w:rStyle w:val="5"/>
          <w:rFonts w:hint="eastAsia" w:ascii="Segoe UI" w:hAnsi="Segoe UI" w:eastAsia="Segoe UI" w:cs="Segoe UI"/>
          <w:b/>
          <w:bCs/>
          <w:i w:val="0"/>
          <w:iCs w:val="0"/>
          <w:caps w:val="0"/>
          <w:color w:val="0F1115"/>
          <w:spacing w:val="0"/>
          <w:sz w:val="19"/>
          <w:szCs w:val="19"/>
          <w:shd w:val="clear" w:fill="FFFFFF"/>
          <w:lang w:eastAsia="zh-CN"/>
        </w:rPr>
      </w:pPr>
      <w:r>
        <w:rPr>
          <w:rStyle w:val="5"/>
          <w:rFonts w:hint="eastAsia" w:ascii="Segoe UI" w:hAnsi="Segoe UI" w:eastAsia="Segoe UI" w:cs="Segoe UI"/>
          <w:b/>
          <w:bCs/>
          <w:i w:val="0"/>
          <w:iCs w:val="0"/>
          <w:caps w:val="0"/>
          <w:color w:val="0F1115"/>
          <w:spacing w:val="0"/>
          <w:sz w:val="19"/>
          <w:szCs w:val="19"/>
          <w:shd w:val="clear" w:fill="FFFFFF"/>
          <w:lang w:eastAsia="zh-CN"/>
        </w:rPr>
        <w:drawing>
          <wp:inline distT="0" distB="0" distL="114300" distR="114300">
            <wp:extent cx="2188845" cy="2667000"/>
            <wp:effectExtent l="0" t="0" r="5715" b="0"/>
            <wp:docPr id="7" name="图片 7" descr="MIF-ELISA(血清)-转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IF-ELISA(血清)-转移"/>
                    <pic:cNvPicPr>
                      <a:picLocks noChangeAspect="1"/>
                    </pic:cNvPicPr>
                  </pic:nvPicPr>
                  <pic:blipFill>
                    <a:blip r:embed="rId7"/>
                    <a:stretch>
                      <a:fillRect/>
                    </a:stretch>
                  </pic:blipFill>
                  <pic:spPr>
                    <a:xfrm>
                      <a:off x="0" y="0"/>
                      <a:ext cx="2188845" cy="2667000"/>
                    </a:xfrm>
                    <a:prstGeom prst="rect">
                      <a:avLst/>
                    </a:prstGeom>
                  </pic:spPr>
                </pic:pic>
              </a:graphicData>
            </a:graphic>
          </wp:inline>
        </w:drawing>
      </w:r>
    </w:p>
    <w:p w14:paraId="1B140B3C">
      <w:pPr>
        <w:rPr>
          <w:rFonts w:hint="eastAsia" w:ascii="Times New Roman" w:hAnsi="Times New Roman" w:cs="Times New Roman"/>
          <w:b/>
          <w:bCs/>
          <w:sz w:val="24"/>
          <w:lang w:eastAsia="zh-CN"/>
        </w:rPr>
      </w:pP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4</w:t>
      </w:r>
      <w:r>
        <w:rPr>
          <w:rFonts w:hint="eastAsia" w:ascii="Times New Roman" w:hAnsi="Times New Roman" w:cs="Times New Roman"/>
          <w:b/>
          <w:bCs/>
          <w:sz w:val="24"/>
          <w:lang w:eastAsia="zh-CN"/>
        </w:rPr>
        <w:t>.Circulating MIF levels in LUAD patients with or without distant metastasis</w:t>
      </w:r>
    </w:p>
    <w:p w14:paraId="57A30FDE">
      <w:pPr>
        <w:rPr>
          <w:rStyle w:val="5"/>
          <w:rFonts w:hint="eastAsia" w:ascii="Segoe UI" w:hAnsi="Segoe UI" w:eastAsia="Segoe UI" w:cs="Segoe UI"/>
          <w:b/>
          <w:bCs/>
          <w:i w:val="0"/>
          <w:iCs w:val="0"/>
          <w:caps w:val="0"/>
          <w:color w:val="0F1115"/>
          <w:spacing w:val="0"/>
          <w:sz w:val="19"/>
          <w:szCs w:val="19"/>
          <w:shd w:val="clear" w:fill="FFFFFF"/>
          <w:lang w:eastAsia="zh-CN"/>
        </w:rPr>
      </w:pPr>
    </w:p>
    <w:p w14:paraId="0F772F59">
      <w:pPr>
        <w:rPr>
          <w:rStyle w:val="5"/>
          <w:rFonts w:hint="eastAsia" w:ascii="Segoe UI" w:hAnsi="Segoe UI" w:eastAsia="Segoe UI" w:cs="Segoe UI"/>
          <w:b/>
          <w:bCs/>
          <w:i w:val="0"/>
          <w:iCs w:val="0"/>
          <w:caps w:val="0"/>
          <w:color w:val="0F1115"/>
          <w:spacing w:val="0"/>
          <w:sz w:val="19"/>
          <w:szCs w:val="19"/>
          <w:shd w:val="clear" w:fill="FFFFFF"/>
          <w:lang w:eastAsia="zh-CN"/>
        </w:rPr>
      </w:pPr>
    </w:p>
    <w:p w14:paraId="75C122A6">
      <w:pPr>
        <w:rPr>
          <w:rStyle w:val="5"/>
          <w:rFonts w:hint="eastAsia" w:ascii="Segoe UI" w:hAnsi="Segoe UI" w:eastAsia="Segoe UI" w:cs="Segoe UI"/>
          <w:b/>
          <w:bCs/>
          <w:i w:val="0"/>
          <w:iCs w:val="0"/>
          <w:caps w:val="0"/>
          <w:color w:val="0F1115"/>
          <w:spacing w:val="0"/>
          <w:sz w:val="19"/>
          <w:szCs w:val="19"/>
          <w:shd w:val="clear" w:fill="FFFFFF"/>
          <w:lang w:eastAsia="zh-CN"/>
        </w:rPr>
      </w:pPr>
    </w:p>
    <w:p w14:paraId="6D02A0B4">
      <w:pPr>
        <w:rPr>
          <w:rStyle w:val="5"/>
          <w:rFonts w:hint="eastAsia" w:ascii="Segoe UI" w:hAnsi="Segoe UI" w:eastAsia="Segoe UI" w:cs="Segoe UI"/>
          <w:b/>
          <w:bCs/>
          <w:i w:val="0"/>
          <w:iCs w:val="0"/>
          <w:caps w:val="0"/>
          <w:color w:val="0F1115"/>
          <w:spacing w:val="0"/>
          <w:sz w:val="19"/>
          <w:szCs w:val="19"/>
          <w:shd w:val="clear" w:fill="FFFFFF"/>
          <w:lang w:eastAsia="zh-CN"/>
        </w:rPr>
      </w:pPr>
      <w:bookmarkStart w:id="0" w:name="_GoBack"/>
      <w:bookmarkEnd w:id="0"/>
    </w:p>
    <w:p w14:paraId="00C87F20">
      <w:pPr>
        <w:rPr>
          <w:rStyle w:val="5"/>
          <w:rFonts w:hint="eastAsia" w:ascii="Segoe UI" w:hAnsi="Segoe UI" w:eastAsia="Segoe UI" w:cs="Segoe UI"/>
          <w:b/>
          <w:bCs/>
          <w:i w:val="0"/>
          <w:iCs w:val="0"/>
          <w:caps w:val="0"/>
          <w:color w:val="0F1115"/>
          <w:spacing w:val="0"/>
          <w:sz w:val="19"/>
          <w:szCs w:val="19"/>
          <w:shd w:val="clear" w:fill="FFFFFF"/>
          <w:lang w:eastAsia="zh-CN"/>
        </w:rPr>
      </w:pPr>
    </w:p>
    <w:p w14:paraId="44B1A4FB">
      <w:pPr>
        <w:rPr>
          <w:rStyle w:val="5"/>
          <w:rFonts w:hint="eastAsia" w:ascii="Segoe UI" w:hAnsi="Segoe UI" w:eastAsia="Segoe UI" w:cs="Segoe UI"/>
          <w:b/>
          <w:bCs/>
          <w:i w:val="0"/>
          <w:iCs w:val="0"/>
          <w:caps w:val="0"/>
          <w:color w:val="0F1115"/>
          <w:spacing w:val="0"/>
          <w:sz w:val="19"/>
          <w:szCs w:val="19"/>
          <w:shd w:val="clear" w:fill="FFFFFF"/>
          <w:lang w:eastAsia="zh-CN"/>
        </w:rPr>
      </w:pPr>
    </w:p>
    <w:p w14:paraId="793BA2D5">
      <w:pPr>
        <w:rPr>
          <w:rStyle w:val="5"/>
          <w:rFonts w:hint="eastAsia" w:ascii="Segoe UI" w:hAnsi="Segoe UI" w:eastAsia="Segoe UI" w:cs="Segoe UI"/>
          <w:b/>
          <w:bCs/>
          <w:i w:val="0"/>
          <w:iCs w:val="0"/>
          <w:caps w:val="0"/>
          <w:color w:val="0F1115"/>
          <w:spacing w:val="0"/>
          <w:sz w:val="19"/>
          <w:szCs w:val="19"/>
          <w:shd w:val="clear" w:fill="FFFFFF"/>
          <w:lang w:eastAsia="zh-CN"/>
        </w:rPr>
      </w:pPr>
    </w:p>
    <w:p w14:paraId="56BDD510">
      <w:pPr>
        <w:rPr>
          <w:rStyle w:val="5"/>
          <w:rFonts w:hint="eastAsia" w:ascii="Segoe UI" w:hAnsi="Segoe UI" w:eastAsia="Segoe UI" w:cs="Segoe UI"/>
          <w:b/>
          <w:bCs/>
          <w:i w:val="0"/>
          <w:iCs w:val="0"/>
          <w:caps w:val="0"/>
          <w:color w:val="0F1115"/>
          <w:spacing w:val="0"/>
          <w:sz w:val="19"/>
          <w:szCs w:val="19"/>
          <w:shd w:val="clear" w:fill="FFFFFF"/>
          <w:lang w:eastAsia="zh-CN"/>
        </w:rPr>
      </w:pPr>
    </w:p>
    <w:p w14:paraId="0F419704">
      <w:pPr>
        <w:rPr>
          <w:rStyle w:val="5"/>
          <w:rFonts w:hint="eastAsia" w:ascii="Segoe UI" w:hAnsi="Segoe UI" w:eastAsia="Segoe UI" w:cs="Segoe UI"/>
          <w:b/>
          <w:bCs/>
          <w:i w:val="0"/>
          <w:iCs w:val="0"/>
          <w:caps w:val="0"/>
          <w:color w:val="0F1115"/>
          <w:spacing w:val="0"/>
          <w:sz w:val="19"/>
          <w:szCs w:val="19"/>
          <w:shd w:val="clear" w:fill="FFFFFF"/>
          <w:lang w:eastAsia="zh-CN"/>
        </w:rPr>
      </w:pPr>
    </w:p>
    <w:p w14:paraId="3D0DC79C">
      <w:pPr>
        <w:rPr>
          <w:rStyle w:val="5"/>
          <w:rFonts w:hint="eastAsia" w:ascii="Segoe UI" w:hAnsi="Segoe UI" w:eastAsia="Segoe UI" w:cs="Segoe UI"/>
          <w:b/>
          <w:bCs/>
          <w:i w:val="0"/>
          <w:iCs w:val="0"/>
          <w:caps w:val="0"/>
          <w:color w:val="0F1115"/>
          <w:spacing w:val="0"/>
          <w:sz w:val="19"/>
          <w:szCs w:val="19"/>
          <w:shd w:val="clear" w:fill="FFFFFF"/>
          <w:lang w:eastAsia="zh-CN"/>
        </w:rPr>
      </w:pPr>
    </w:p>
    <w:p w14:paraId="50FCF912">
      <w:pPr>
        <w:rPr>
          <w:rStyle w:val="5"/>
          <w:rFonts w:hint="eastAsia" w:ascii="Segoe UI" w:hAnsi="Segoe UI" w:eastAsia="Segoe UI" w:cs="Segoe UI"/>
          <w:b/>
          <w:bCs/>
          <w:i w:val="0"/>
          <w:iCs w:val="0"/>
          <w:caps w:val="0"/>
          <w:color w:val="0F1115"/>
          <w:spacing w:val="0"/>
          <w:sz w:val="19"/>
          <w:szCs w:val="19"/>
          <w:shd w:val="clear" w:fill="FFFFFF"/>
          <w:lang w:eastAsia="zh-CN"/>
        </w:rPr>
      </w:pPr>
    </w:p>
    <w:p w14:paraId="1F156DCB">
      <w:pPr>
        <w:rPr>
          <w:rStyle w:val="5"/>
          <w:rFonts w:hint="eastAsia" w:ascii="Segoe UI" w:hAnsi="Segoe UI" w:eastAsia="Segoe UI" w:cs="Segoe UI"/>
          <w:b/>
          <w:bCs/>
          <w:i w:val="0"/>
          <w:iCs w:val="0"/>
          <w:caps w:val="0"/>
          <w:color w:val="0F1115"/>
          <w:spacing w:val="0"/>
          <w:sz w:val="19"/>
          <w:szCs w:val="19"/>
          <w:shd w:val="clear" w:fill="FFFFFF"/>
          <w:lang w:eastAsia="zh-CN"/>
        </w:rPr>
      </w:pPr>
    </w:p>
    <w:p w14:paraId="17158DF8">
      <w:pPr>
        <w:rPr>
          <w:rStyle w:val="5"/>
          <w:rFonts w:hint="eastAsia" w:ascii="Segoe UI" w:hAnsi="Segoe UI" w:eastAsia="Segoe UI" w:cs="Segoe UI"/>
          <w:b/>
          <w:bCs/>
          <w:i w:val="0"/>
          <w:iCs w:val="0"/>
          <w:caps w:val="0"/>
          <w:color w:val="0F1115"/>
          <w:spacing w:val="0"/>
          <w:sz w:val="19"/>
          <w:szCs w:val="19"/>
          <w:shd w:val="clear" w:fill="FFFFFF"/>
          <w:lang w:eastAsia="zh-CN"/>
        </w:rPr>
      </w:pPr>
    </w:p>
    <w:p w14:paraId="704AC60D">
      <w:pPr>
        <w:rPr>
          <w:rStyle w:val="5"/>
          <w:rFonts w:hint="eastAsia" w:ascii="Segoe UI" w:hAnsi="Segoe UI" w:eastAsia="Segoe UI" w:cs="Segoe UI"/>
          <w:b/>
          <w:bCs/>
          <w:i w:val="0"/>
          <w:iCs w:val="0"/>
          <w:caps w:val="0"/>
          <w:color w:val="0F1115"/>
          <w:spacing w:val="0"/>
          <w:sz w:val="19"/>
          <w:szCs w:val="19"/>
          <w:shd w:val="clear" w:fill="FFFFFF"/>
          <w:lang w:eastAsia="zh-CN"/>
        </w:rPr>
      </w:pPr>
    </w:p>
    <w:p w14:paraId="094EA3AD">
      <w:pPr>
        <w:rPr>
          <w:rStyle w:val="5"/>
          <w:rFonts w:hint="eastAsia" w:ascii="Segoe UI" w:hAnsi="Segoe UI" w:eastAsia="Segoe UI" w:cs="Segoe UI"/>
          <w:b/>
          <w:bCs/>
          <w:i w:val="0"/>
          <w:iCs w:val="0"/>
          <w:caps w:val="0"/>
          <w:color w:val="0F1115"/>
          <w:spacing w:val="0"/>
          <w:sz w:val="19"/>
          <w:szCs w:val="19"/>
          <w:shd w:val="clear" w:fill="FFFFFF"/>
          <w:lang w:eastAsia="zh-CN"/>
        </w:rPr>
      </w:pPr>
    </w:p>
    <w:p w14:paraId="663082BE">
      <w:pPr>
        <w:rPr>
          <w:rStyle w:val="5"/>
          <w:rFonts w:hint="eastAsia" w:ascii="Segoe UI" w:hAnsi="Segoe UI" w:eastAsia="Segoe UI" w:cs="Segoe UI"/>
          <w:b/>
          <w:bCs/>
          <w:i w:val="0"/>
          <w:iCs w:val="0"/>
          <w:caps w:val="0"/>
          <w:color w:val="0F1115"/>
          <w:spacing w:val="0"/>
          <w:sz w:val="19"/>
          <w:szCs w:val="19"/>
          <w:shd w:val="clear" w:fill="FFFFFF"/>
          <w:lang w:eastAsia="zh-CN"/>
        </w:rPr>
      </w:pPr>
    </w:p>
    <w:p w14:paraId="6DE4C402">
      <w:pPr>
        <w:rPr>
          <w:rStyle w:val="5"/>
          <w:rFonts w:hint="eastAsia" w:ascii="Segoe UI" w:hAnsi="Segoe UI" w:eastAsia="Segoe UI" w:cs="Segoe UI"/>
          <w:b/>
          <w:bCs/>
          <w:i w:val="0"/>
          <w:iCs w:val="0"/>
          <w:caps w:val="0"/>
          <w:color w:val="0F1115"/>
          <w:spacing w:val="0"/>
          <w:sz w:val="19"/>
          <w:szCs w:val="19"/>
          <w:shd w:val="clear" w:fill="FFFFFF"/>
          <w:lang w:eastAsia="zh-CN"/>
        </w:rPr>
      </w:pPr>
    </w:p>
    <w:p w14:paraId="7B072C07">
      <w:pPr>
        <w:rPr>
          <w:rStyle w:val="5"/>
          <w:rFonts w:hint="eastAsia" w:ascii="Segoe UI" w:hAnsi="Segoe UI" w:eastAsia="Segoe UI" w:cs="Segoe UI"/>
          <w:b/>
          <w:bCs/>
          <w:i w:val="0"/>
          <w:iCs w:val="0"/>
          <w:caps w:val="0"/>
          <w:color w:val="0F1115"/>
          <w:spacing w:val="0"/>
          <w:sz w:val="19"/>
          <w:szCs w:val="19"/>
          <w:shd w:val="clear" w:fill="FFFFFF"/>
          <w:lang w:eastAsia="zh-CN"/>
        </w:rPr>
      </w:pPr>
    </w:p>
    <w:p w14:paraId="357E2FCF">
      <w:pPr>
        <w:rPr>
          <w:rStyle w:val="5"/>
          <w:rFonts w:hint="eastAsia" w:ascii="Segoe UI" w:hAnsi="Segoe UI" w:eastAsia="Segoe UI" w:cs="Segoe UI"/>
          <w:b/>
          <w:bCs/>
          <w:i w:val="0"/>
          <w:iCs w:val="0"/>
          <w:caps w:val="0"/>
          <w:color w:val="0F1115"/>
          <w:spacing w:val="0"/>
          <w:sz w:val="19"/>
          <w:szCs w:val="19"/>
          <w:shd w:val="clear" w:fill="FFFFFF"/>
          <w:lang w:eastAsia="zh-CN"/>
        </w:rPr>
      </w:pPr>
    </w:p>
    <w:p w14:paraId="470DE79B">
      <w:pPr>
        <w:rPr>
          <w:rStyle w:val="5"/>
          <w:rFonts w:hint="eastAsia" w:ascii="Segoe UI" w:hAnsi="Segoe UI" w:eastAsia="Segoe UI" w:cs="Segoe UI"/>
          <w:b/>
          <w:bCs/>
          <w:i w:val="0"/>
          <w:iCs w:val="0"/>
          <w:caps w:val="0"/>
          <w:color w:val="0F1115"/>
          <w:spacing w:val="0"/>
          <w:sz w:val="19"/>
          <w:szCs w:val="19"/>
          <w:shd w:val="clear" w:fill="FFFFFF"/>
          <w:lang w:eastAsia="zh-CN"/>
        </w:rPr>
      </w:pPr>
    </w:p>
    <w:p w14:paraId="37D614F9">
      <w:pPr>
        <w:rPr>
          <w:rStyle w:val="5"/>
          <w:rFonts w:hint="eastAsia" w:ascii="Segoe UI" w:hAnsi="Segoe UI" w:eastAsia="Segoe UI" w:cs="Segoe UI"/>
          <w:b/>
          <w:bCs/>
          <w:i w:val="0"/>
          <w:iCs w:val="0"/>
          <w:caps w:val="0"/>
          <w:color w:val="0F1115"/>
          <w:spacing w:val="0"/>
          <w:sz w:val="19"/>
          <w:szCs w:val="19"/>
          <w:shd w:val="clear" w:fill="FFFFFF"/>
          <w:lang w:eastAsia="zh-CN"/>
        </w:rPr>
      </w:pPr>
    </w:p>
    <w:p w14:paraId="3313CA55">
      <w:pPr>
        <w:rPr>
          <w:rStyle w:val="5"/>
          <w:rFonts w:hint="eastAsia" w:ascii="Segoe UI" w:hAnsi="Segoe UI" w:eastAsia="Segoe UI" w:cs="Segoe UI"/>
          <w:b/>
          <w:bCs/>
          <w:i w:val="0"/>
          <w:iCs w:val="0"/>
          <w:caps w:val="0"/>
          <w:color w:val="0F1115"/>
          <w:spacing w:val="0"/>
          <w:sz w:val="19"/>
          <w:szCs w:val="19"/>
          <w:shd w:val="clear" w:fill="FFFFFF"/>
          <w:lang w:eastAsia="zh-CN"/>
        </w:rPr>
      </w:pPr>
    </w:p>
    <w:p w14:paraId="7BBB07F9">
      <w:pPr>
        <w:rPr>
          <w:rStyle w:val="5"/>
          <w:rFonts w:hint="eastAsia" w:ascii="Segoe UI" w:hAnsi="Segoe UI" w:eastAsia="Segoe UI" w:cs="Segoe UI"/>
          <w:b/>
          <w:bCs/>
          <w:i w:val="0"/>
          <w:iCs w:val="0"/>
          <w:caps w:val="0"/>
          <w:color w:val="0F1115"/>
          <w:spacing w:val="0"/>
          <w:sz w:val="19"/>
          <w:szCs w:val="19"/>
          <w:shd w:val="clear" w:fill="FFFFFF"/>
          <w:lang w:eastAsia="zh-CN"/>
        </w:rPr>
      </w:pPr>
    </w:p>
    <w:p w14:paraId="53B8E4AF">
      <w:pPr>
        <w:rPr>
          <w:rStyle w:val="5"/>
          <w:rFonts w:hint="eastAsia" w:ascii="Segoe UI" w:hAnsi="Segoe UI" w:eastAsia="Segoe UI" w:cs="Segoe UI"/>
          <w:b/>
          <w:bCs/>
          <w:i w:val="0"/>
          <w:iCs w:val="0"/>
          <w:caps w:val="0"/>
          <w:color w:val="0F1115"/>
          <w:spacing w:val="0"/>
          <w:sz w:val="19"/>
          <w:szCs w:val="19"/>
          <w:shd w:val="clear" w:fill="FFFFFF"/>
          <w:lang w:eastAsia="zh-CN"/>
        </w:rPr>
      </w:pPr>
    </w:p>
    <w:p w14:paraId="6C455AC6">
      <w:pPr>
        <w:rPr>
          <w:rStyle w:val="5"/>
          <w:rFonts w:hint="eastAsia" w:ascii="Segoe UI" w:hAnsi="Segoe UI" w:eastAsia="Segoe UI" w:cs="Segoe UI"/>
          <w:b/>
          <w:bCs/>
          <w:i w:val="0"/>
          <w:iCs w:val="0"/>
          <w:caps w:val="0"/>
          <w:color w:val="0F1115"/>
          <w:spacing w:val="0"/>
          <w:sz w:val="19"/>
          <w:szCs w:val="19"/>
          <w:shd w:val="clear" w:fill="FFFFFF"/>
          <w:lang w:eastAsia="zh-CN"/>
        </w:rPr>
      </w:pPr>
    </w:p>
    <w:p w14:paraId="09A320BD">
      <w:pPr>
        <w:rPr>
          <w:rStyle w:val="5"/>
          <w:rFonts w:hint="eastAsia" w:ascii="Segoe UI" w:hAnsi="Segoe UI" w:eastAsia="Segoe UI" w:cs="Segoe UI"/>
          <w:b/>
          <w:bCs/>
          <w:i w:val="0"/>
          <w:iCs w:val="0"/>
          <w:caps w:val="0"/>
          <w:color w:val="0F1115"/>
          <w:spacing w:val="0"/>
          <w:sz w:val="19"/>
          <w:szCs w:val="19"/>
          <w:shd w:val="clear" w:fill="FFFFFF"/>
          <w:lang w:eastAsia="zh-CN"/>
        </w:rPr>
      </w:pPr>
    </w:p>
    <w:p w14:paraId="3BCEEB0C">
      <w:pPr>
        <w:rPr>
          <w:rStyle w:val="5"/>
          <w:rFonts w:hint="eastAsia" w:ascii="Segoe UI" w:hAnsi="Segoe UI" w:eastAsia="Segoe UI" w:cs="Segoe UI"/>
          <w:b/>
          <w:bCs/>
          <w:i w:val="0"/>
          <w:iCs w:val="0"/>
          <w:caps w:val="0"/>
          <w:color w:val="0F1115"/>
          <w:spacing w:val="0"/>
          <w:sz w:val="19"/>
          <w:szCs w:val="19"/>
          <w:shd w:val="clear" w:fill="FFFFFF"/>
          <w:lang w:eastAsia="zh-CN"/>
        </w:rPr>
      </w:pPr>
    </w:p>
    <w:p w14:paraId="7BADFBFA">
      <w:pPr>
        <w:rPr>
          <w:rStyle w:val="5"/>
          <w:rFonts w:hint="eastAsia" w:ascii="Segoe UI" w:hAnsi="Segoe UI" w:eastAsia="Segoe UI" w:cs="Segoe UI"/>
          <w:b/>
          <w:bCs/>
          <w:i w:val="0"/>
          <w:iCs w:val="0"/>
          <w:caps w:val="0"/>
          <w:color w:val="0F1115"/>
          <w:spacing w:val="0"/>
          <w:sz w:val="19"/>
          <w:szCs w:val="19"/>
          <w:shd w:val="clear" w:fill="FFFFFF"/>
          <w:lang w:eastAsia="zh-CN"/>
        </w:rPr>
      </w:pPr>
    </w:p>
    <w:p w14:paraId="011F30AC">
      <w:pPr>
        <w:rPr>
          <w:rStyle w:val="5"/>
          <w:rFonts w:hint="eastAsia" w:ascii="Segoe UI" w:hAnsi="Segoe UI" w:eastAsia="Segoe UI" w:cs="Segoe UI"/>
          <w:b/>
          <w:bCs/>
          <w:i w:val="0"/>
          <w:iCs w:val="0"/>
          <w:caps w:val="0"/>
          <w:color w:val="0F1115"/>
          <w:spacing w:val="0"/>
          <w:sz w:val="19"/>
          <w:szCs w:val="19"/>
          <w:shd w:val="clear" w:fill="FFFFFF"/>
          <w:lang w:eastAsia="zh-CN"/>
        </w:rPr>
      </w:pPr>
    </w:p>
    <w:p w14:paraId="071E2D4F">
      <w:pPr>
        <w:rPr>
          <w:rStyle w:val="5"/>
          <w:rFonts w:hint="eastAsia" w:ascii="Segoe UI" w:hAnsi="Segoe UI" w:eastAsia="Segoe UI" w:cs="Segoe UI"/>
          <w:b/>
          <w:bCs/>
          <w:i w:val="0"/>
          <w:iCs w:val="0"/>
          <w:caps w:val="0"/>
          <w:color w:val="0F1115"/>
          <w:spacing w:val="0"/>
          <w:sz w:val="19"/>
          <w:szCs w:val="19"/>
          <w:shd w:val="clear" w:fill="FFFFFF"/>
          <w:lang w:eastAsia="zh-CN"/>
        </w:rPr>
      </w:pPr>
      <w:r>
        <w:rPr>
          <w:rStyle w:val="5"/>
          <w:rFonts w:hint="eastAsia" w:ascii="Segoe UI" w:hAnsi="Segoe UI" w:eastAsia="Segoe UI" w:cs="Segoe UI"/>
          <w:b/>
          <w:bCs/>
          <w:i w:val="0"/>
          <w:iCs w:val="0"/>
          <w:caps w:val="0"/>
          <w:color w:val="0F1115"/>
          <w:spacing w:val="0"/>
          <w:sz w:val="19"/>
          <w:szCs w:val="19"/>
          <w:shd w:val="clear" w:fill="FFFFFF"/>
          <w:lang w:eastAsia="zh-CN"/>
        </w:rPr>
        <w:drawing>
          <wp:inline distT="0" distB="0" distL="114300" distR="114300">
            <wp:extent cx="5246370" cy="3219450"/>
            <wp:effectExtent l="0" t="0" r="11430" b="11430"/>
            <wp:docPr id="4" name="图片 4"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3"/>
                    <pic:cNvPicPr>
                      <a:picLocks noChangeAspect="1"/>
                    </pic:cNvPicPr>
                  </pic:nvPicPr>
                  <pic:blipFill>
                    <a:blip r:embed="rId8"/>
                    <a:stretch>
                      <a:fillRect/>
                    </a:stretch>
                  </pic:blipFill>
                  <pic:spPr>
                    <a:xfrm>
                      <a:off x="0" y="0"/>
                      <a:ext cx="5246370" cy="3219450"/>
                    </a:xfrm>
                    <a:prstGeom prst="rect">
                      <a:avLst/>
                    </a:prstGeom>
                  </pic:spPr>
                </pic:pic>
              </a:graphicData>
            </a:graphic>
          </wp:inline>
        </w:drawing>
      </w:r>
    </w:p>
    <w:p w14:paraId="55807291">
      <w:pPr>
        <w:rPr>
          <w:rStyle w:val="5"/>
          <w:rFonts w:hint="eastAsia" w:ascii="Segoe UI" w:hAnsi="Segoe UI" w:eastAsia="Segoe UI" w:cs="Segoe UI"/>
          <w:b/>
          <w:bCs/>
          <w:i w:val="0"/>
          <w:iCs w:val="0"/>
          <w:caps w:val="0"/>
          <w:color w:val="0F1115"/>
          <w:spacing w:val="0"/>
          <w:sz w:val="19"/>
          <w:szCs w:val="19"/>
          <w:shd w:val="clear" w:fill="FFFFFF"/>
          <w:lang w:eastAsia="zh-CN"/>
        </w:rPr>
      </w:pPr>
    </w:p>
    <w:p w14:paraId="293A1E00">
      <w:pPr>
        <w:rPr>
          <w:rFonts w:hint="eastAsia" w:ascii="Times New Roman" w:hAnsi="Times New Roman" w:cs="Times New Roman"/>
          <w:b w:val="0"/>
          <w:bCs w:val="0"/>
          <w:sz w:val="24"/>
          <w:lang w:eastAsia="zh-CN"/>
        </w:rPr>
      </w:pP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5</w:t>
      </w:r>
      <w:r>
        <w:rPr>
          <w:rFonts w:hint="eastAsia" w:ascii="Times New Roman" w:hAnsi="Times New Roman" w:cs="Times New Roman"/>
          <w:b/>
          <w:bCs/>
          <w:sz w:val="24"/>
          <w:lang w:eastAsia="zh-CN"/>
        </w:rPr>
        <w:t>. Flow cytometry gating strategy for the identification of mast cells and tumor-infiltrating Th17 cells.</w:t>
      </w:r>
      <w:r>
        <w:rPr>
          <w:rFonts w:hint="eastAsia" w:ascii="Times New Roman" w:hAnsi="Times New Roman" w:cs="Times New Roman"/>
          <w:b w:val="0"/>
          <w:bCs w:val="0"/>
          <w:sz w:val="24"/>
          <w:lang w:eastAsia="zh-CN"/>
        </w:rPr>
        <w:t>This supplementary figure details the step-by-step gating strategy and associated quality controls used for flow cytometric analysis.(A, B) Representative gating strategy for identifying double-positive (</w:t>
      </w:r>
      <w:r>
        <w:rPr>
          <w:rFonts w:hint="eastAsia" w:ascii="Times New Roman" w:hAnsi="Times New Roman" w:cs="Times New Roman"/>
          <w:b w:val="0"/>
          <w:bCs w:val="0"/>
          <w:sz w:val="24"/>
          <w:lang w:val="en-US" w:eastAsia="zh-CN"/>
        </w:rPr>
        <w:t>CD117</w:t>
      </w:r>
      <w:r>
        <w:rPr>
          <w:rFonts w:hint="eastAsia" w:ascii="Times New Roman" w:hAnsi="Times New Roman" w:cs="Times New Roman"/>
          <w:b w:val="0"/>
          <w:bCs w:val="0"/>
          <w:sz w:val="24"/>
          <w:vertAlign w:val="superscript"/>
          <w:lang w:val="en-US" w:eastAsia="zh-CN"/>
        </w:rPr>
        <w:t>+</w:t>
      </w:r>
      <w:r>
        <w:rPr>
          <w:rFonts w:hint="eastAsia" w:ascii="Times New Roman" w:hAnsi="Times New Roman" w:cs="Times New Roman"/>
          <w:b w:val="0"/>
          <w:bCs w:val="0"/>
          <w:sz w:val="24"/>
          <w:lang w:val="en-US" w:eastAsia="zh-CN"/>
        </w:rPr>
        <w:t xml:space="preserve"> F</w:t>
      </w:r>
      <w:r>
        <w:rPr>
          <w:rFonts w:ascii="Arial" w:hAnsi="Arial" w:eastAsia="等线" w:cs="Arial"/>
          <w:sz w:val="20"/>
          <w:szCs w:val="20"/>
          <w:lang w:val="en-US" w:eastAsia="zh-CN" w:bidi="ar"/>
        </w:rPr>
        <w:t>cε</w:t>
      </w:r>
      <w:r>
        <w:rPr>
          <w:rFonts w:hint="eastAsia" w:ascii="Times New Roman" w:hAnsi="Times New Roman" w:cs="Times New Roman"/>
          <w:b w:val="0"/>
          <w:bCs w:val="0"/>
          <w:sz w:val="24"/>
          <w:lang w:val="en-US" w:eastAsia="zh-CN"/>
        </w:rPr>
        <w:t>R1</w:t>
      </w:r>
      <w:r>
        <w:rPr>
          <w:rFonts w:hint="eastAsia" w:ascii="Times New Roman" w:hAnsi="Times New Roman" w:cs="Times New Roman"/>
          <w:b w:val="0"/>
          <w:bCs w:val="0"/>
          <w:sz w:val="24"/>
          <w:vertAlign w:val="superscript"/>
          <w:lang w:val="en-US" w:eastAsia="zh-CN"/>
        </w:rPr>
        <w:t>+</w:t>
      </w:r>
      <w:r>
        <w:rPr>
          <w:rFonts w:hint="eastAsia" w:ascii="Times New Roman" w:hAnsi="Times New Roman" w:cs="Times New Roman"/>
          <w:b w:val="0"/>
          <w:bCs w:val="0"/>
          <w:sz w:val="24"/>
          <w:lang w:eastAsia="zh-CN"/>
        </w:rPr>
        <w:t>) mast cells derived from bone marrow (BMMCs).(A) An unstained blank control sample, used to establish the baseline fluorescence and define the negative population region (&gt;99% of events enclosed). The identical quadrant thresholds derived from this control were consistently applied to all experimental samples.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lang w:eastAsia="zh-CN"/>
        </w:rPr>
        <w:t xml:space="preserve">(B) A representative sample tube showing the identification of </w:t>
      </w:r>
      <w:r>
        <w:rPr>
          <w:rFonts w:hint="eastAsia" w:ascii="Times New Roman" w:hAnsi="Times New Roman" w:cs="Times New Roman"/>
          <w:b w:val="0"/>
          <w:bCs w:val="0"/>
          <w:sz w:val="24"/>
          <w:lang w:val="en-US" w:eastAsia="zh-CN"/>
        </w:rPr>
        <w:t>CD117</w:t>
      </w:r>
      <w:r>
        <w:rPr>
          <w:rFonts w:hint="eastAsia" w:ascii="Times New Roman" w:hAnsi="Times New Roman" w:cs="Times New Roman"/>
          <w:b w:val="0"/>
          <w:bCs w:val="0"/>
          <w:sz w:val="24"/>
          <w:vertAlign w:val="superscript"/>
          <w:lang w:val="en-US" w:eastAsia="zh-CN"/>
        </w:rPr>
        <w:t>+</w:t>
      </w:r>
      <w:r>
        <w:rPr>
          <w:rFonts w:hint="eastAsia" w:ascii="Times New Roman" w:hAnsi="Times New Roman" w:cs="Times New Roman"/>
          <w:b w:val="0"/>
          <w:bCs w:val="0"/>
          <w:sz w:val="24"/>
          <w:lang w:val="en-US" w:eastAsia="zh-CN"/>
        </w:rPr>
        <w:t xml:space="preserve"> F</w:t>
      </w:r>
      <w:r>
        <w:rPr>
          <w:rFonts w:ascii="Arial" w:hAnsi="Arial" w:eastAsia="等线" w:cs="Arial"/>
          <w:sz w:val="20"/>
          <w:szCs w:val="20"/>
          <w:lang w:val="en-US" w:eastAsia="zh-CN" w:bidi="ar"/>
        </w:rPr>
        <w:t>cε</w:t>
      </w:r>
      <w:r>
        <w:rPr>
          <w:rFonts w:hint="eastAsia" w:ascii="Times New Roman" w:hAnsi="Times New Roman" w:cs="Times New Roman"/>
          <w:b w:val="0"/>
          <w:bCs w:val="0"/>
          <w:sz w:val="24"/>
          <w:lang w:val="en-US" w:eastAsia="zh-CN"/>
        </w:rPr>
        <w:t>R1</w:t>
      </w:r>
      <w:r>
        <w:rPr>
          <w:rFonts w:hint="eastAsia" w:ascii="Times New Roman" w:hAnsi="Times New Roman" w:cs="Times New Roman"/>
          <w:b w:val="0"/>
          <w:bCs w:val="0"/>
          <w:sz w:val="24"/>
          <w:vertAlign w:val="superscript"/>
          <w:lang w:val="en-US" w:eastAsia="zh-CN"/>
        </w:rPr>
        <w:t>+</w:t>
      </w:r>
      <w:r>
        <w:rPr>
          <w:rFonts w:hint="eastAsia" w:ascii="Times New Roman" w:hAnsi="Times New Roman" w:cs="Times New Roman"/>
          <w:b w:val="0"/>
          <w:bCs w:val="0"/>
          <w:sz w:val="24"/>
          <w:lang w:eastAsia="zh-CN"/>
        </w:rPr>
        <w:t xml:space="preserve"> BMMCs (Q2 quadrant). This “Back-gating” strategy, where thresholds are strictly based on the isotype/blank control and then uniformly applied, minimizes subjective bias and ensures consistency.(C, D) Representative gating strategy for identifying tumor-infiltrating Th17 cells (CD45⁺CD3⁺CD4⁺IL-17A⁺) from mouse orthotopic tumors.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lang w:eastAsia="zh-CN"/>
        </w:rPr>
        <w:t>(C) A representative sample plot from tumor tissue. The initial gates were set on live single cells, followed by sequential gating on CD45⁺leukocytes, CD3⁺T cells, and CD4⁺helper T cells.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lang w:eastAsia="zh-CN"/>
        </w:rPr>
        <w:t>(D) The critical Fluorescence Minus One (FMO) control for the IL-17A channel, used to accurately set the positive boundary for this cytokine in the final step. Given that IL-17A⁺cells represent a low-frequency population, the FMO control provides the most rigorous reference for defining positivity, as recommended. The threshold set based on (D) was applied to the sample in (C) to determine the final IL-17A⁺Th17 cell percentage.Together, these panels demonstrate the transparent and controlled analytical pipeline employed to ensure the accuracy and reproducibility of our flow cytometry data.</w:t>
      </w:r>
    </w:p>
    <w:p w14:paraId="6917A470">
      <w:pPr>
        <w:rPr>
          <w:rFonts w:hint="eastAsia"/>
          <w:lang w:eastAsia="zh-CN"/>
        </w:rPr>
      </w:pPr>
    </w:p>
    <w:p w14:paraId="6C15D7B9">
      <w:pPr>
        <w:rPr>
          <w:rFonts w:hint="eastAsia"/>
          <w:lang w:eastAsia="zh-CN"/>
        </w:rPr>
      </w:pPr>
      <w:r>
        <w:rPr>
          <w:rFonts w:hint="eastAsia"/>
          <w:lang w:eastAsia="zh-CN"/>
        </w:rPr>
        <w:drawing>
          <wp:inline distT="0" distB="0" distL="114300" distR="114300">
            <wp:extent cx="5246370" cy="3037205"/>
            <wp:effectExtent l="0" t="0" r="11430" b="10795"/>
            <wp:docPr id="5" name="图片 5"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4"/>
                    <pic:cNvPicPr>
                      <a:picLocks noChangeAspect="1"/>
                    </pic:cNvPicPr>
                  </pic:nvPicPr>
                  <pic:blipFill>
                    <a:blip r:embed="rId9"/>
                    <a:stretch>
                      <a:fillRect/>
                    </a:stretch>
                  </pic:blipFill>
                  <pic:spPr>
                    <a:xfrm>
                      <a:off x="0" y="0"/>
                      <a:ext cx="5246370" cy="3037205"/>
                    </a:xfrm>
                    <a:prstGeom prst="rect">
                      <a:avLst/>
                    </a:prstGeom>
                  </pic:spPr>
                </pic:pic>
              </a:graphicData>
            </a:graphic>
          </wp:inline>
        </w:drawing>
      </w:r>
    </w:p>
    <w:p w14:paraId="1D787581">
      <w:pPr>
        <w:rPr>
          <w:rFonts w:hint="eastAsia" w:ascii="Times New Roman" w:hAnsi="Times New Roman" w:cs="Times New Roman"/>
          <w:b w:val="0"/>
          <w:bCs w:val="0"/>
          <w:sz w:val="24"/>
          <w:lang w:eastAsia="zh-CN"/>
        </w:rPr>
      </w:pPr>
      <w:r>
        <w:rPr>
          <w:rFonts w:hint="eastAsia" w:ascii="Times New Roman" w:hAnsi="Times New Roman" w:cs="Times New Roman"/>
          <w:b/>
          <w:bCs/>
          <w:sz w:val="24"/>
          <w:lang w:eastAsia="zh-CN"/>
        </w:rPr>
        <w:t>Figure S</w:t>
      </w:r>
      <w:r>
        <w:rPr>
          <w:rFonts w:hint="eastAsia" w:ascii="Times New Roman" w:hAnsi="Times New Roman" w:cs="Times New Roman"/>
          <w:b/>
          <w:bCs/>
          <w:sz w:val="24"/>
          <w:lang w:val="en-US" w:eastAsia="zh-CN"/>
        </w:rPr>
        <w:t>6</w:t>
      </w:r>
      <w:r>
        <w:rPr>
          <w:rFonts w:hint="eastAsia" w:ascii="Times New Roman" w:hAnsi="Times New Roman" w:cs="Times New Roman"/>
          <w:b/>
          <w:bCs/>
          <w:sz w:val="24"/>
          <w:lang w:eastAsia="zh-CN"/>
        </w:rPr>
        <w:t>. Validation of the pro-tumor effects of the MC-MIF-Th17 axis using an independent murine lung adenocarcinoma cell line (CMT167).</w:t>
      </w:r>
      <w:r>
        <w:rPr>
          <w:rFonts w:hint="eastAsia" w:ascii="Times New Roman" w:hAnsi="Times New Roman" w:cs="Times New Roman"/>
          <w:b w:val="0"/>
          <w:bCs w:val="0"/>
          <w:sz w:val="24"/>
          <w:lang w:eastAsia="zh-CN"/>
        </w:rPr>
        <w:t>This supplementary figure presents the results of functional assays performed on CMT167 cells treated with conditioned media from Th17 cells polarized under different conditions, as described for LLC cells in Figure 7. The data demonstrate the generalizability of the identified mechanism across distinct cellular models.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lang w:eastAsia="zh-CN"/>
        </w:rPr>
        <w:t>(A) Representative images from Transwell assays assessing the migration (top panel, without Matrigel) and invasion (bottom panel, with Matrigel) of CMT167 cells.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lang w:eastAsia="zh-CN"/>
        </w:rPr>
        <w:t>(B, C) Quantitative analysis of CMT167 cell migration (B) and invasion (C) capabilities. Data are presented as mean ± SD. Statistical significance was determined by one-way ANOVA with post-hoc tests. (D) Proliferation of CMT167 cells measured by CCK-8 assay . Data are presented as mean ± SD (n=3). Statistical analysis was performed using two-way ANOVA.</w:t>
      </w:r>
    </w:p>
    <w:p w14:paraId="1BE3B229">
      <w:pPr>
        <w:rPr>
          <w:rFonts w:hint="eastAsia" w:ascii="Times New Roman" w:hAnsi="Times New Roman" w:cs="Times New Roman"/>
          <w:b w:val="0"/>
          <w:bCs w:val="0"/>
          <w:sz w:val="24"/>
          <w:lang w:eastAsia="zh-CN"/>
        </w:rPr>
      </w:pPr>
    </w:p>
    <w:p w14:paraId="029E5968">
      <w:pPr>
        <w:rPr>
          <w:rFonts w:hint="eastAsia" w:ascii="Times New Roman" w:hAnsi="Times New Roman" w:cs="Times New Roman"/>
          <w:b w:val="0"/>
          <w:bCs w:val="0"/>
          <w:sz w:val="24"/>
          <w:lang w:eastAsia="zh-CN"/>
        </w:rPr>
      </w:pPr>
    </w:p>
    <w:p w14:paraId="711D08A2">
      <w:pPr>
        <w:rPr>
          <w:rFonts w:hint="eastAsia" w:ascii="Times New Roman" w:hAnsi="Times New Roman" w:cs="Times New Roman"/>
          <w:b w:val="0"/>
          <w:bCs w:val="0"/>
          <w:sz w:val="24"/>
          <w:lang w:eastAsia="zh-CN"/>
        </w:rPr>
      </w:pPr>
    </w:p>
    <w:p w14:paraId="5CD269D3">
      <w:pPr>
        <w:rPr>
          <w:rFonts w:hint="eastAsia" w:ascii="Times New Roman" w:hAnsi="Times New Roman" w:cs="Times New Roman"/>
          <w:b w:val="0"/>
          <w:bCs w:val="0"/>
          <w:sz w:val="24"/>
          <w:lang w:eastAsia="zh-CN"/>
        </w:rPr>
      </w:pPr>
    </w:p>
    <w:p w14:paraId="607188D7">
      <w:pPr>
        <w:rPr>
          <w:rFonts w:hint="eastAsia" w:ascii="Times New Roman" w:hAnsi="Times New Roman" w:cs="Times New Roman"/>
          <w:b w:val="0"/>
          <w:bCs w:val="0"/>
          <w:sz w:val="24"/>
          <w:lang w:eastAsia="zh-CN"/>
        </w:rPr>
      </w:pPr>
    </w:p>
    <w:p w14:paraId="398926E5">
      <w:pPr>
        <w:rPr>
          <w:rFonts w:hint="eastAsia" w:ascii="Times New Roman" w:hAnsi="Times New Roman" w:cs="Times New Roman"/>
          <w:b w:val="0"/>
          <w:bCs w:val="0"/>
          <w:sz w:val="24"/>
          <w:lang w:eastAsia="zh-CN"/>
        </w:rPr>
      </w:pPr>
    </w:p>
    <w:p w14:paraId="1512CEE3">
      <w:pPr>
        <w:rPr>
          <w:rFonts w:hint="eastAsia" w:ascii="Times New Roman" w:hAnsi="Times New Roman" w:cs="Times New Roman"/>
          <w:b w:val="0"/>
          <w:bCs w:val="0"/>
          <w:sz w:val="24"/>
          <w:lang w:eastAsia="zh-CN"/>
        </w:rPr>
      </w:pPr>
    </w:p>
    <w:p w14:paraId="243801EB">
      <w:pPr>
        <w:rPr>
          <w:rFonts w:hint="eastAsia" w:ascii="Times New Roman" w:hAnsi="Times New Roman" w:cs="Times New Roman"/>
          <w:b w:val="0"/>
          <w:bCs w:val="0"/>
          <w:sz w:val="24"/>
          <w:lang w:eastAsia="zh-CN"/>
        </w:rPr>
      </w:pPr>
    </w:p>
    <w:p w14:paraId="25923571">
      <w:pPr>
        <w:rPr>
          <w:rFonts w:hint="eastAsia" w:ascii="Times New Roman" w:hAnsi="Times New Roman" w:cs="Times New Roman"/>
          <w:b w:val="0"/>
          <w:bCs w:val="0"/>
          <w:sz w:val="24"/>
          <w:lang w:eastAsia="zh-CN"/>
        </w:rPr>
      </w:pPr>
    </w:p>
    <w:p w14:paraId="3F4CE407">
      <w:pPr>
        <w:rPr>
          <w:rFonts w:hint="eastAsia" w:ascii="Times New Roman" w:hAnsi="Times New Roman" w:cs="Times New Roman"/>
          <w:b w:val="0"/>
          <w:bCs w:val="0"/>
          <w:sz w:val="24"/>
          <w:lang w:eastAsia="zh-CN"/>
        </w:rPr>
      </w:pPr>
    </w:p>
    <w:p w14:paraId="21E1B389">
      <w:pPr>
        <w:rPr>
          <w:rFonts w:hint="eastAsia" w:ascii="Times New Roman" w:hAnsi="Times New Roman" w:cs="Times New Roman"/>
          <w:b w:val="0"/>
          <w:bCs w:val="0"/>
          <w:sz w:val="24"/>
          <w:lang w:eastAsia="zh-CN"/>
        </w:rPr>
      </w:pPr>
    </w:p>
    <w:p w14:paraId="465894CB">
      <w:pPr>
        <w:rPr>
          <w:rFonts w:hint="eastAsia" w:ascii="Times New Roman" w:hAnsi="Times New Roman" w:cs="Times New Roman"/>
          <w:b w:val="0"/>
          <w:bCs w:val="0"/>
          <w:sz w:val="24"/>
          <w:lang w:eastAsia="zh-CN"/>
        </w:rPr>
      </w:pPr>
    </w:p>
    <w:p w14:paraId="2A881773">
      <w:pPr>
        <w:rPr>
          <w:rFonts w:hint="eastAsia" w:ascii="Times New Roman" w:hAnsi="Times New Roman" w:cs="Times New Roman"/>
          <w:b w:val="0"/>
          <w:bCs w:val="0"/>
          <w:sz w:val="24"/>
          <w:lang w:eastAsia="zh-CN"/>
        </w:rPr>
      </w:pPr>
    </w:p>
    <w:p w14:paraId="2C0A76A5">
      <w:pPr>
        <w:rPr>
          <w:rFonts w:hint="eastAsia" w:ascii="Times New Roman" w:hAnsi="Times New Roman" w:cs="Times New Roman"/>
          <w:b w:val="0"/>
          <w:bCs w:val="0"/>
          <w:sz w:val="24"/>
          <w:lang w:eastAsia="zh-CN"/>
        </w:rPr>
      </w:pPr>
    </w:p>
    <w:p w14:paraId="2C03B7B7">
      <w:pPr>
        <w:rPr>
          <w:rFonts w:hint="eastAsia" w:ascii="Times New Roman" w:hAnsi="Times New Roman" w:cs="Times New Roman"/>
          <w:b w:val="0"/>
          <w:bCs w:val="0"/>
          <w:sz w:val="24"/>
          <w:lang w:eastAsia="zh-CN"/>
        </w:rPr>
      </w:pPr>
    </w:p>
    <w:p w14:paraId="688F229F">
      <w:pPr>
        <w:rPr>
          <w:rFonts w:hint="eastAsia" w:ascii="Times New Roman" w:hAnsi="Times New Roman" w:cs="Times New Roman"/>
          <w:b w:val="0"/>
          <w:bCs w:val="0"/>
          <w:sz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160BC"/>
    <w:rsid w:val="0818406B"/>
    <w:rsid w:val="08BC0A60"/>
    <w:rsid w:val="0C5E1E2E"/>
    <w:rsid w:val="0D0160BC"/>
    <w:rsid w:val="40E63BC5"/>
    <w:rsid w:val="53CF2099"/>
    <w:rsid w:val="56FF0A48"/>
    <w:rsid w:val="68462062"/>
    <w:rsid w:val="6C09436A"/>
    <w:rsid w:val="71A469C4"/>
    <w:rsid w:val="7C774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748</Words>
  <Characters>4517</Characters>
  <Lines>0</Lines>
  <Paragraphs>0</Paragraphs>
  <TotalTime>1</TotalTime>
  <ScaleCrop>false</ScaleCrop>
  <LinksUpToDate>false</LinksUpToDate>
  <CharactersWithSpaces>5238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2025-12-29T05:27:00Z</dcterms:created>
  <dc:creator>西柚味  咯</dc:creator>
  <cp:lastModifiedBy>西柚味  咯</cp:lastModifiedBy>
  <dcterms:modified xsi:type="dcterms:W3CDTF">2025-12-29T15:27:28Z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F6860F0E29224E5F8B2BB0AB8AA48A18_11</vt:lpwstr>
  </property>
  <property fmtid="{D5CDD505-2E9C-101B-9397-08002B2CF9AE}" pid="4" name="KSOTemplateDocerSaveRecord">
    <vt:lpwstr>eyJoZGlkIjoiYjBhYmI5OWIzM2I4Y2VjMTcwZjgxYTc4MzNjNzE3ZTIiLCJ1c2VySWQiOiI0MDk3NTMxMTYifQ==</vt:lpwstr>
  </property>
</Properties>
</file>