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E5D33">
      <w:pPr>
        <w:pStyle w:val="2"/>
        <w:bidi w:val="0"/>
      </w:pPr>
      <w:r>
        <w:t xml:space="preserve">Supplementary File </w:t>
      </w:r>
    </w:p>
    <w:p w14:paraId="48AB6DC2">
      <w:pPr>
        <w:spacing w:line="276" w:lineRule="auto"/>
        <w:rPr>
          <w:rFonts w:ascii="Arial" w:hAnsi="Arial" w:cs="Arial"/>
          <w:b/>
          <w:bCs/>
          <w:sz w:val="20"/>
          <w:szCs w:val="20"/>
        </w:rPr>
      </w:pPr>
      <w:r>
        <w:rPr>
          <w:rFonts w:ascii="Arial" w:hAnsi="Arial" w:cs="Arial"/>
          <w:b/>
          <w:bCs/>
          <w:sz w:val="20"/>
          <w:szCs w:val="20"/>
        </w:rPr>
        <w:t>Methods and materials</w:t>
      </w:r>
    </w:p>
    <w:p w14:paraId="372E5999">
      <w:pPr>
        <w:spacing w:line="276" w:lineRule="auto"/>
        <w:rPr>
          <w:rFonts w:ascii="Arial" w:hAnsi="Arial" w:cs="Arial"/>
          <w:b/>
          <w:sz w:val="20"/>
          <w:szCs w:val="20"/>
        </w:rPr>
      </w:pPr>
      <w:r>
        <w:rPr>
          <w:rFonts w:ascii="Arial" w:hAnsi="Arial" w:cs="Arial"/>
          <w:b/>
          <w:sz w:val="20"/>
          <w:szCs w:val="20"/>
        </w:rPr>
        <w:t>Patients and clinical data collection</w:t>
      </w:r>
    </w:p>
    <w:p w14:paraId="08300FFD">
      <w:pPr>
        <w:spacing w:line="276" w:lineRule="auto"/>
        <w:rPr>
          <w:rFonts w:ascii="Arial" w:hAnsi="Arial" w:cs="Arial"/>
          <w:sz w:val="20"/>
          <w:szCs w:val="20"/>
        </w:rPr>
      </w:pPr>
      <w:r>
        <w:rPr>
          <w:rFonts w:ascii="Arial" w:hAnsi="Arial" w:cs="Arial"/>
          <w:sz w:val="20"/>
          <w:szCs w:val="20"/>
        </w:rPr>
        <w:t xml:space="preserve">Two patient cohorts were enrolled. Cohort 1 (tissue-based analysis) comprised 80 consecutive patients with pathologically confirmed lung adenocarcinoma who underwent curative-intent surgical resection at Shanghai General Hospital between 2022 and 2025. Formalin-fixed paraffin-embedded (FFPE) tumor blocks were retrieved for multiplex immunofluorescence staining. Complete clinicopathologic data—age, sex, TNM stage (IASLC </w:t>
      </w:r>
      <w:r>
        <w:rPr>
          <w:rFonts w:hint="eastAsia" w:ascii="Arial" w:hAnsi="Arial" w:cs="Arial"/>
          <w:sz w:val="20"/>
          <w:szCs w:val="20"/>
        </w:rPr>
        <w:t>9</w:t>
      </w:r>
      <w:r>
        <w:rPr>
          <w:rFonts w:ascii="Arial" w:hAnsi="Arial" w:cs="Arial"/>
          <w:sz w:val="20"/>
          <w:szCs w:val="20"/>
        </w:rPr>
        <w:t xml:space="preserve">th edition)—were prospectively recorded, and 3-year overall survival was ascertained by outpatient review and telephone follow-up. Cohort 2 (retrospective validation) consisted of 64 additional LUAD patients diagnosed during the same period who were stratified by the presence (n = 43) or absence (n = 21) of malignant pleural effusion (MPE). Demographics, smoking history, staging details, and plasma cytokine profiles were extracted from electronic medical records. </w:t>
      </w:r>
      <w:r>
        <w:rPr>
          <w:rFonts w:hint="eastAsia" w:ascii="Arial" w:hAnsi="Arial" w:cs="Arial"/>
          <w:sz w:val="20"/>
          <w:szCs w:val="20"/>
        </w:rPr>
        <w:t>Cohort 3 (prospective serum biomarker cohort) was subsequently enrolled to specifically evaluate the systemic level of MIF. It included 10 LUAD patients undergoing active treatment, further categorized as with (n=4) or without (n=6) radiologically confirmed distant metastasis. Serum MIF concentrations were quantified using a commercial ELISA kit.</w:t>
      </w:r>
      <w:r>
        <w:rPr>
          <w:rFonts w:ascii="Arial" w:hAnsi="Arial" w:cs="Arial"/>
          <w:sz w:val="20"/>
          <w:szCs w:val="20"/>
        </w:rPr>
        <w:t>Written informed consent was obtained from all participants, and the study protocol (No. 2022KY011) was approved by the Institutional Review Board of Shanghai General Hospital.</w:t>
      </w:r>
    </w:p>
    <w:p w14:paraId="36E20260">
      <w:pPr>
        <w:rPr>
          <w:rFonts w:ascii="Arial" w:hAnsi="Arial" w:cs="Arial"/>
          <w:sz w:val="20"/>
          <w:szCs w:val="20"/>
        </w:rPr>
      </w:pPr>
    </w:p>
    <w:p w14:paraId="1781EFD3">
      <w:pPr>
        <w:spacing w:line="276" w:lineRule="auto"/>
        <w:rPr>
          <w:rFonts w:ascii="Arial" w:hAnsi="Arial" w:cs="Arial"/>
          <w:b/>
          <w:bCs/>
          <w:kern w:val="44"/>
          <w:sz w:val="20"/>
          <w:szCs w:val="20"/>
        </w:rPr>
      </w:pPr>
      <w:r>
        <w:rPr>
          <w:rFonts w:ascii="Arial" w:hAnsi="Arial" w:cs="Arial"/>
          <w:b/>
          <w:bCs/>
          <w:kern w:val="44"/>
          <w:sz w:val="20"/>
          <w:szCs w:val="20"/>
        </w:rPr>
        <w:t>Bioinformatic analysis</w:t>
      </w:r>
    </w:p>
    <w:p w14:paraId="6EDA280C">
      <w:pPr>
        <w:spacing w:line="276" w:lineRule="auto"/>
        <w:rPr>
          <w:rFonts w:ascii="Arial" w:hAnsi="Arial" w:cs="Arial"/>
          <w:sz w:val="20"/>
          <w:szCs w:val="20"/>
        </w:rPr>
      </w:pPr>
      <w:r>
        <w:rPr>
          <w:rFonts w:hint="eastAsia" w:ascii="Arial" w:hAnsi="Arial" w:cs="Arial"/>
          <w:sz w:val="20"/>
          <w:szCs w:val="20"/>
        </w:rPr>
        <w:t>A single-cell dataset comprising 19 lung adenocarcinoma cases and 13 adjacent normal tissue samples is available at: http://lungcancer.chenlulab.com</w:t>
      </w:r>
      <w:r>
        <w:rPr>
          <w:rFonts w:hint="eastAsia" w:ascii="Arial" w:hAnsi="Arial" w:cs="Arial"/>
          <w:sz w:val="20"/>
          <w:szCs w:val="20"/>
          <w:lang w:val="en-US" w:eastAsia="zh-CN"/>
        </w:rPr>
        <w:t>.</w:t>
      </w:r>
      <w:r>
        <w:rPr>
          <w:rFonts w:ascii="Arial" w:hAnsi="Arial" w:cs="Arial"/>
          <w:sz w:val="20"/>
          <w:szCs w:val="20"/>
        </w:rPr>
        <w:t>LUAD tissue samples were selected for subsequent analysis. Following quality control procedures, data processing and dimensionality reduction were performed using the Seurat package</w:t>
      </w:r>
      <w:r>
        <w:rPr>
          <w:rFonts w:hint="eastAsia" w:ascii="Arial" w:hAnsi="Arial" w:cs="Arial"/>
          <w:sz w:val="20"/>
          <w:szCs w:val="20"/>
        </w:rPr>
        <w:t xml:space="preserve"> </w:t>
      </w:r>
      <w:r>
        <w:rPr>
          <w:rFonts w:ascii="Arial" w:hAnsi="Arial" w:cs="Arial"/>
          <w:sz w:val="20"/>
          <w:szCs w:val="20"/>
        </w:rPr>
        <w:t>including Principal Component Analysis (PCA).12 major cell types were annotated based on canonical marker genes. Complete marker gene sets for each cell type are detailed i</w:t>
      </w:r>
      <w:r>
        <w:rPr>
          <w:rFonts w:ascii="Arial" w:hAnsi="Arial" w:cs="Arial"/>
          <w:sz w:val="20"/>
          <w:szCs w:val="20"/>
          <w:highlight w:val="none"/>
        </w:rPr>
        <w:t>n Table S</w:t>
      </w:r>
      <w:r>
        <w:rPr>
          <w:rFonts w:hint="eastAsia" w:ascii="Arial" w:hAnsi="Arial" w:cs="Arial"/>
          <w:sz w:val="20"/>
          <w:szCs w:val="20"/>
          <w:highlight w:val="none"/>
          <w:lang w:val="en-US" w:eastAsia="zh-CN"/>
        </w:rPr>
        <w:t>2</w:t>
      </w:r>
      <w:r>
        <w:rPr>
          <w:rFonts w:ascii="Arial" w:hAnsi="Arial" w:cs="Arial"/>
          <w:sz w:val="20"/>
          <w:szCs w:val="20"/>
          <w:highlight w:val="none"/>
        </w:rPr>
        <w:t>.</w:t>
      </w:r>
      <w:r>
        <w:rPr>
          <w:rFonts w:ascii="Arial" w:hAnsi="Arial" w:cs="Arial"/>
          <w:sz w:val="20"/>
          <w:szCs w:val="20"/>
        </w:rPr>
        <w:t xml:space="preserve"> Differential expression analysis was conducted across all cellular subpopulations. Differentially expressed genes (DEGs) were identified using stringent thresholds: |log₂ (fold change) | &gt; 1 and false discovery rate (FDR) &lt; 0.05. Kyoto Encyclopedia of Genes and Genomes (KEGG) pathway enrichment analysis was subsequently performed on subpopulation-specific DEGs using the clusterProfiler package. Pathways with P &lt; 0.05 were considered statistically significant. To investigate MC-mediated intercellular communication in LUAD tumors versus paired peritumoral tissues, we implemented CellChat leveraging the CellPhoneDB ligand-receptor database. Significant interactions (ligand-receptor pairs and signaling pathways) originating from MCs to all recipient cell types were visualized in bubble plots.</w:t>
      </w:r>
    </w:p>
    <w:p w14:paraId="423F4F9E">
      <w:pPr>
        <w:spacing w:line="276" w:lineRule="auto"/>
        <w:rPr>
          <w:rFonts w:ascii="Arial" w:hAnsi="Arial" w:cs="Arial"/>
          <w:sz w:val="20"/>
          <w:szCs w:val="20"/>
        </w:rPr>
      </w:pPr>
    </w:p>
    <w:p w14:paraId="11DE3299">
      <w:pPr>
        <w:spacing w:line="276" w:lineRule="auto"/>
        <w:rPr>
          <w:rFonts w:ascii="Arial" w:hAnsi="Arial" w:cs="Arial"/>
          <w:b/>
          <w:bCs/>
          <w:kern w:val="44"/>
          <w:sz w:val="20"/>
          <w:szCs w:val="20"/>
        </w:rPr>
      </w:pPr>
      <w:r>
        <w:rPr>
          <w:rFonts w:ascii="Arial" w:hAnsi="Arial" w:cs="Arial"/>
          <w:b/>
          <w:bCs/>
          <w:kern w:val="44"/>
          <w:sz w:val="20"/>
          <w:szCs w:val="20"/>
        </w:rPr>
        <w:t>multiplex immunohistochemical (mIHC) staining</w:t>
      </w:r>
    </w:p>
    <w:p w14:paraId="1447D507">
      <w:pPr>
        <w:spacing w:line="276" w:lineRule="auto"/>
        <w:rPr>
          <w:rFonts w:ascii="Arial" w:hAnsi="Arial" w:cs="Arial"/>
          <w:sz w:val="20"/>
          <w:szCs w:val="20"/>
        </w:rPr>
      </w:pPr>
      <w:r>
        <w:rPr>
          <w:rFonts w:ascii="Arial" w:hAnsi="Arial" w:cs="Arial"/>
          <w:sz w:val="20"/>
          <w:szCs w:val="20"/>
        </w:rPr>
        <w:t>FFPE sections were dewaxed, rehydrated, and subjected to seven-color multiplex immunofluorescence (AFIHC027, AiFang Biological) following the vendor’s protocol. After antigen retrieval in citrate buffer (microwave), endogenous peroxidase was quenched (3 % H₂O₂, 15 min) and non-specific sites blocked with 10 % goat serum (15 min). Antibodies were added sequentially (4 °C, overnight): CK-7 (AF300781, 1:4000, AiFang Biologcal), CD3 (AF20162, 1:300, AiFang Biologcal), CD4 (AF20210, 1:500, AiFang Biologcal),</w:t>
      </w:r>
      <w:r>
        <w:rPr>
          <w:rFonts w:hint="eastAsia" w:ascii="Arial" w:hAnsi="Arial" w:cs="Arial"/>
          <w:sz w:val="20"/>
          <w:szCs w:val="20"/>
        </w:rPr>
        <w:t xml:space="preserve"> </w:t>
      </w:r>
      <w:r>
        <w:rPr>
          <w:rFonts w:ascii="Arial" w:hAnsi="Arial" w:cs="Arial"/>
          <w:sz w:val="20"/>
          <w:szCs w:val="20"/>
        </w:rPr>
        <w:t>TRYPTASE (AF20073, 1:200, AiFang Biologcal), and IL-17A (GB11110, 1:200,</w:t>
      </w:r>
      <w:r>
        <w:rPr>
          <w:rFonts w:hint="eastAsia" w:ascii="Arial" w:hAnsi="Arial" w:cs="Arial"/>
          <w:sz w:val="20"/>
          <w:szCs w:val="20"/>
        </w:rPr>
        <w:t xml:space="preserve"> </w:t>
      </w:r>
      <w:r>
        <w:rPr>
          <w:rFonts w:ascii="Arial" w:hAnsi="Arial" w:cs="Arial"/>
          <w:sz w:val="20"/>
          <w:szCs w:val="20"/>
        </w:rPr>
        <w:t xml:space="preserve">Servicebio). Each cycle comprised HRP-polymer anti-mouse/rabbit IgG (AFIHC001, 30 min), TYR-fluorophore (8 min), three PBST washes, and microwave stripping </w:t>
      </w:r>
      <w:r>
        <w:rPr>
          <w:rFonts w:hint="eastAsia" w:ascii="Arial" w:hAnsi="Arial" w:cs="Arial"/>
          <w:sz w:val="20"/>
          <w:szCs w:val="20"/>
        </w:rPr>
        <w:t>before</w:t>
      </w:r>
      <w:r>
        <w:rPr>
          <w:rFonts w:ascii="Arial" w:hAnsi="Arial" w:cs="Arial"/>
          <w:sz w:val="20"/>
          <w:szCs w:val="20"/>
        </w:rPr>
        <w:t xml:space="preserve"> the next primary antibody. Nuclei were counterstained with DAPI (10 min, dark) and slides mounted in anti-fade medium before whole-slide imaging on an 8-channel scanner (AF-KL-20-8, AiFang).</w:t>
      </w:r>
    </w:p>
    <w:p w14:paraId="22C41EEC">
      <w:pPr>
        <w:spacing w:line="276" w:lineRule="auto"/>
        <w:rPr>
          <w:rFonts w:ascii="Arial" w:hAnsi="Arial" w:cs="Arial"/>
          <w:sz w:val="20"/>
          <w:szCs w:val="20"/>
        </w:rPr>
      </w:pPr>
    </w:p>
    <w:p w14:paraId="58E3121C">
      <w:pPr>
        <w:spacing w:line="276" w:lineRule="auto"/>
        <w:rPr>
          <w:rFonts w:ascii="Arial" w:hAnsi="Arial" w:cs="Arial"/>
          <w:b/>
          <w:bCs/>
          <w:kern w:val="44"/>
          <w:sz w:val="20"/>
          <w:szCs w:val="20"/>
        </w:rPr>
      </w:pPr>
      <w:r>
        <w:rPr>
          <w:rFonts w:ascii="Arial" w:hAnsi="Arial" w:cs="Arial"/>
          <w:b/>
          <w:bCs/>
          <w:kern w:val="44"/>
          <w:sz w:val="20"/>
          <w:szCs w:val="20"/>
        </w:rPr>
        <w:t>mIHC image acquisition and Digital Pathology</w:t>
      </w:r>
    </w:p>
    <w:p w14:paraId="1A3A95DD">
      <w:pPr>
        <w:spacing w:line="276" w:lineRule="auto"/>
        <w:rPr>
          <w:rFonts w:ascii="Arial" w:hAnsi="Arial" w:cs="Arial"/>
          <w:sz w:val="20"/>
          <w:szCs w:val="20"/>
        </w:rPr>
      </w:pPr>
      <w:r>
        <w:rPr>
          <w:rFonts w:ascii="Arial" w:hAnsi="Arial" w:cs="Arial"/>
          <w:sz w:val="20"/>
          <w:szCs w:val="20"/>
        </w:rPr>
        <w:t>mIHC-slide scanning was conducted using an eight-channel fluorescence digital slide scanner (AF-KL-20-8, AiFang Biological, China), generating high-resolution images stored in</w:t>
      </w:r>
      <w:r>
        <w:rPr>
          <w:rFonts w:hint="eastAsia" w:ascii="Arial" w:hAnsi="Arial" w:cs="Arial"/>
          <w:sz w:val="20"/>
          <w:szCs w:val="20"/>
        </w:rPr>
        <w:t xml:space="preserve"> </w:t>
      </w:r>
      <w:r>
        <w:rPr>
          <w:rFonts w:ascii="Arial" w:hAnsi="Arial" w:cs="Arial"/>
          <w:sz w:val="20"/>
          <w:szCs w:val="20"/>
        </w:rPr>
        <w:t>.kfbf format for subsequent analysis.</w:t>
      </w:r>
      <w:r>
        <w:rPr>
          <w:rFonts w:hint="eastAsia" w:ascii="Arial" w:hAnsi="Arial" w:cs="Arial"/>
          <w:sz w:val="20"/>
          <w:szCs w:val="20"/>
        </w:rPr>
        <w:t xml:space="preserve"> </w:t>
      </w:r>
      <w:r>
        <w:rPr>
          <w:rFonts w:ascii="Arial" w:hAnsi="Arial" w:cs="Arial"/>
          <w:sz w:val="20"/>
          <w:szCs w:val="20"/>
        </w:rPr>
        <w:t>Digital image analysis was performed using the VISIOPHARM platform (VISIOPHARM,</w:t>
      </w:r>
      <w:r>
        <w:rPr>
          <w:rFonts w:hint="eastAsia" w:ascii="Arial" w:hAnsi="Arial" w:cs="Arial"/>
          <w:sz w:val="20"/>
          <w:szCs w:val="20"/>
        </w:rPr>
        <w:t xml:space="preserve"> </w:t>
      </w:r>
      <w:r>
        <w:rPr>
          <w:rFonts w:ascii="Arial" w:hAnsi="Arial" w:cs="Arial"/>
          <w:sz w:val="20"/>
          <w:szCs w:val="20"/>
        </w:rPr>
        <w:t xml:space="preserve">Hoersholm, Denmark). Customized analysis pipelines were developed to identify and quantify specific cell populations based on established marker combinations: tumor cells (CK7+), mast cells (Tryptase+), and </w:t>
      </w:r>
      <w:r>
        <w:rPr>
          <w:rFonts w:hint="eastAsia" w:ascii="Arial" w:hAnsi="Arial" w:cs="Arial"/>
          <w:sz w:val="20"/>
          <w:szCs w:val="20"/>
        </w:rPr>
        <w:t>Th17</w:t>
      </w:r>
      <w:r>
        <w:rPr>
          <w:rFonts w:ascii="Arial" w:hAnsi="Arial" w:cs="Arial"/>
          <w:sz w:val="20"/>
          <w:szCs w:val="20"/>
        </w:rPr>
        <w:t xml:space="preserve"> cells (CD3+CD4+IL-17A+). Thresholds for positive staining were optimized and consistently applied across all samples to ensure analytical reproducibility.</w:t>
      </w:r>
      <w:r>
        <w:rPr>
          <w:rFonts w:hint="eastAsia" w:ascii="Arial" w:hAnsi="Arial" w:cs="Arial"/>
          <w:sz w:val="20"/>
          <w:szCs w:val="20"/>
        </w:rPr>
        <w:t xml:space="preserve"> </w:t>
      </w:r>
      <w:r>
        <w:rPr>
          <w:rFonts w:ascii="Arial" w:hAnsi="Arial" w:cs="Arial"/>
          <w:sz w:val="20"/>
          <w:szCs w:val="20"/>
        </w:rPr>
        <w:t>The analysis generated three primary datasets corresponding to our key findings: (1) absolute cell counts and proportional abundances for correlation studies; (2) spatial coordinates for evaluating peritumoral distribution patterns across defined infiltration zones (0-20 μm, 20-40 μm, 40-60 μm) from the tumor-stroma interface; and (3) cellular densities stratified by patient subgroups for survival correlation analysis.</w:t>
      </w:r>
      <w:r>
        <w:rPr>
          <w:rFonts w:hint="eastAsia" w:ascii="Arial" w:hAnsi="Arial" w:cs="Arial"/>
          <w:sz w:val="20"/>
          <w:szCs w:val="20"/>
        </w:rPr>
        <w:t xml:space="preserve"> </w:t>
      </w:r>
      <w:r>
        <w:rPr>
          <w:rFonts w:ascii="Arial" w:hAnsi="Arial" w:cs="Arial"/>
          <w:sz w:val="20"/>
          <w:szCs w:val="20"/>
        </w:rPr>
        <w:t>All statistical analyses were performed using GraphPad Prism and Rstudio, with specific tests indicated in respective figure legends.</w:t>
      </w:r>
    </w:p>
    <w:p w14:paraId="54940305">
      <w:pPr>
        <w:spacing w:line="276" w:lineRule="auto"/>
        <w:rPr>
          <w:rFonts w:ascii="Arial" w:hAnsi="Arial" w:cs="Arial"/>
          <w:b/>
          <w:bCs/>
          <w:sz w:val="20"/>
          <w:szCs w:val="20"/>
        </w:rPr>
      </w:pPr>
    </w:p>
    <w:p w14:paraId="4D44B873">
      <w:pPr>
        <w:spacing w:line="276" w:lineRule="auto"/>
        <w:rPr>
          <w:rFonts w:ascii="Arial" w:hAnsi="Arial" w:cs="Arial"/>
          <w:b/>
          <w:bCs/>
          <w:sz w:val="20"/>
          <w:szCs w:val="20"/>
        </w:rPr>
      </w:pPr>
      <w:r>
        <w:rPr>
          <w:rFonts w:ascii="Arial" w:hAnsi="Arial" w:cs="Arial"/>
          <w:b/>
          <w:bCs/>
          <w:sz w:val="20"/>
          <w:szCs w:val="20"/>
        </w:rPr>
        <w:t>Cell culture</w:t>
      </w:r>
    </w:p>
    <w:p w14:paraId="6064E140">
      <w:pPr>
        <w:spacing w:line="276" w:lineRule="auto"/>
        <w:rPr>
          <w:rFonts w:ascii="Arial" w:hAnsi="Arial" w:cs="Arial"/>
          <w:strike/>
          <w:sz w:val="20"/>
          <w:szCs w:val="20"/>
        </w:rPr>
      </w:pPr>
      <w:r>
        <w:rPr>
          <w:rFonts w:ascii="Arial" w:hAnsi="Arial" w:cs="Arial"/>
          <w:sz w:val="20"/>
          <w:szCs w:val="20"/>
        </w:rPr>
        <w:t>Bone marrow-derived mast cells (BMMCs) were generated following established protocols. Briefly, bone marrow cells isolated from femurs of 4-6-week-old C57BL/6 mice were cultured in RPMI-1640 medium (Meilunbio, China) supplemented with 10% fetal bovine serum (Excell, China), 10ng/mL recombinant interleukin-3 (rIL-3; PeproTech, USA), 50μM β-mercaptoethanol (MDBio, USA), 2mM L-glutamine (Meilunbio), 10mM HEPES buffer (Meilunbio), 10× non-essential amino acids (Beyotime, China), and 1% penicillin/streptomycin (Beyotime). The culture medium was refreshed weekly under standard incubation conditions (37°C, 5% CO2). After 4 weeks of differentiation, BMMCs with &gt;97% purity were confirmed through two complementary validation methods: 1) characteristic metachromatic staining with toluidine blue, 2) flow cytometric detection of FcεRI surface expression, and CD117 (c-Kit) immunophenotyping. Lewis lung carcinoma (LLC) cells</w:t>
      </w:r>
      <w:r>
        <w:rPr>
          <w:rFonts w:hint="eastAsia" w:ascii="Arial" w:hAnsi="Arial" w:cs="Arial"/>
          <w:sz w:val="20"/>
          <w:szCs w:val="20"/>
          <w:lang w:val="en-US" w:eastAsia="zh-CN"/>
        </w:rPr>
        <w:t xml:space="preserve">, </w:t>
      </w:r>
      <w:r>
        <w:rPr>
          <w:rFonts w:ascii="Arial" w:hAnsi="Arial" w:cs="Arial"/>
          <w:sz w:val="20"/>
          <w:szCs w:val="20"/>
        </w:rPr>
        <w:t>luciferase-expressing LLC derivatives (LLC-Luc)</w:t>
      </w:r>
      <w:r>
        <w:rPr>
          <w:rFonts w:hint="eastAsia" w:ascii="Arial" w:hAnsi="Arial" w:cs="Arial"/>
          <w:sz w:val="20"/>
          <w:szCs w:val="20"/>
          <w:lang w:val="en-US" w:eastAsia="zh-CN"/>
        </w:rPr>
        <w:t xml:space="preserve"> and CMT167 cells</w:t>
      </w:r>
      <w:r>
        <w:rPr>
          <w:rFonts w:ascii="Arial" w:hAnsi="Arial" w:cs="Arial"/>
          <w:sz w:val="20"/>
          <w:szCs w:val="20"/>
        </w:rPr>
        <w:t xml:space="preserve"> were obtained from Coweldgen Scientific (Shanghai, China). Both cell lines were maintained in DMEM medium (YOBIBIO, China) containing 10% FBS and 1% penicillin/streptomycin. </w:t>
      </w:r>
    </w:p>
    <w:p w14:paraId="19224D69">
      <w:pPr>
        <w:spacing w:line="276" w:lineRule="auto"/>
        <w:rPr>
          <w:rFonts w:ascii="Arial" w:hAnsi="Arial" w:cs="Arial"/>
          <w:b/>
          <w:bCs/>
          <w:sz w:val="20"/>
          <w:szCs w:val="20"/>
        </w:rPr>
      </w:pPr>
    </w:p>
    <w:p w14:paraId="540083F8">
      <w:pPr>
        <w:spacing w:line="276" w:lineRule="auto"/>
        <w:rPr>
          <w:rFonts w:ascii="Arial" w:hAnsi="Arial" w:cs="Arial"/>
          <w:b/>
          <w:bCs/>
          <w:sz w:val="20"/>
          <w:szCs w:val="20"/>
        </w:rPr>
      </w:pPr>
      <w:bookmarkStart w:id="0" w:name="_Hlk203145614"/>
      <w:r>
        <w:rPr>
          <w:rFonts w:ascii="Arial" w:hAnsi="Arial" w:cs="Arial"/>
          <w:b/>
          <w:bCs/>
          <w:sz w:val="20"/>
          <w:szCs w:val="20"/>
        </w:rPr>
        <w:t>LLC-Conditioned Medium</w:t>
      </w:r>
    </w:p>
    <w:bookmarkEnd w:id="0"/>
    <w:p w14:paraId="32D39E3B">
      <w:pPr>
        <w:spacing w:line="276" w:lineRule="auto"/>
        <w:rPr>
          <w:rFonts w:ascii="Arial" w:hAnsi="Arial" w:cs="Arial"/>
          <w:sz w:val="20"/>
          <w:szCs w:val="20"/>
        </w:rPr>
      </w:pPr>
      <w:r>
        <w:rPr>
          <w:rFonts w:ascii="Arial" w:hAnsi="Arial" w:cs="Arial"/>
          <w:sz w:val="20"/>
          <w:szCs w:val="20"/>
        </w:rPr>
        <w:t>LLC-Conditioned Medium (LCM) was generated by incubating LLC cells in serum-free DMEM for 24 hours under standard culture conditions. The resultant conditioned medium was clarified through sequential centrifugation to remove cellular debris followed by ultrafiltration concentration by Amicon®3kDa (Millipore, USA). Aliquots of 10× concentrated LCM were cryopreserved at −80°C until experimental use.</w:t>
      </w:r>
    </w:p>
    <w:p w14:paraId="7B6A0ECD">
      <w:pPr>
        <w:spacing w:line="276" w:lineRule="auto"/>
        <w:rPr>
          <w:rFonts w:ascii="Arial" w:hAnsi="Arial" w:cs="Arial"/>
          <w:sz w:val="20"/>
          <w:szCs w:val="20"/>
        </w:rPr>
      </w:pPr>
    </w:p>
    <w:p w14:paraId="2EC6D8B7">
      <w:pPr>
        <w:spacing w:line="276" w:lineRule="auto"/>
        <w:rPr>
          <w:rFonts w:ascii="Arial" w:hAnsi="Arial" w:cs="Arial"/>
          <w:sz w:val="20"/>
          <w:szCs w:val="20"/>
        </w:rPr>
      </w:pPr>
      <w:r>
        <w:rPr>
          <w:rFonts w:ascii="Arial" w:hAnsi="Arial" w:cs="Arial"/>
          <w:b/>
          <w:bCs/>
          <w:sz w:val="20"/>
          <w:szCs w:val="20"/>
        </w:rPr>
        <w:t xml:space="preserve">Murine naïve CD4+ T cell purification and </w:t>
      </w:r>
      <w:r>
        <w:rPr>
          <w:rFonts w:hint="eastAsia" w:ascii="Arial" w:hAnsi="Arial" w:cs="Arial"/>
          <w:b/>
          <w:bCs/>
          <w:sz w:val="20"/>
          <w:szCs w:val="20"/>
        </w:rPr>
        <w:t>Th17</w:t>
      </w:r>
      <w:r>
        <w:rPr>
          <w:rFonts w:ascii="Arial" w:hAnsi="Arial" w:cs="Arial"/>
          <w:b/>
          <w:bCs/>
          <w:sz w:val="20"/>
          <w:szCs w:val="20"/>
        </w:rPr>
        <w:t xml:space="preserve"> CELL differentiation in vitro.</w:t>
      </w:r>
    </w:p>
    <w:p w14:paraId="1D74C344">
      <w:pPr>
        <w:spacing w:line="276" w:lineRule="auto"/>
        <w:rPr>
          <w:rFonts w:ascii="Arial" w:hAnsi="Arial" w:cs="Arial"/>
          <w:sz w:val="20"/>
          <w:szCs w:val="20"/>
        </w:rPr>
      </w:pPr>
      <w:r>
        <w:rPr>
          <w:rFonts w:ascii="Arial" w:hAnsi="Arial" w:cs="Arial"/>
          <w:sz w:val="20"/>
          <w:szCs w:val="20"/>
        </w:rPr>
        <w:t>High-purity murine naïve CD4+ T cells (CD4+CD44lowCD62Lhigh) were efficiently isolated from the splenocytes of 6-8-week-old C57BL\6 mice using the EasySep Mouse Naïve CD4+TCell Iso Kit</w:t>
      </w:r>
      <w:r>
        <w:rPr>
          <w:rFonts w:hint="eastAsia" w:ascii="Arial" w:hAnsi="Arial" w:cs="Arial"/>
          <w:sz w:val="20"/>
          <w:szCs w:val="20"/>
        </w:rPr>
        <w:t xml:space="preserve"> </w:t>
      </w:r>
      <w:r>
        <w:rPr>
          <w:rFonts w:ascii="Arial" w:hAnsi="Arial" w:cs="Arial"/>
          <w:sz w:val="20"/>
          <w:szCs w:val="20"/>
        </w:rPr>
        <w:t xml:space="preserve">(STEMCELL, USA) through an immunomagnetic negative selection strategy. For generating </w:t>
      </w:r>
      <w:r>
        <w:rPr>
          <w:rFonts w:hint="eastAsia" w:ascii="Arial" w:hAnsi="Arial" w:cs="Arial"/>
          <w:sz w:val="20"/>
          <w:szCs w:val="20"/>
        </w:rPr>
        <w:t>Th17</w:t>
      </w:r>
      <w:r>
        <w:rPr>
          <w:rFonts w:ascii="Arial" w:hAnsi="Arial" w:cs="Arial"/>
          <w:sz w:val="20"/>
          <w:szCs w:val="20"/>
        </w:rPr>
        <w:t xml:space="preserve"> subtypes, naïve CD4+ T cells were further cultured in the </w:t>
      </w:r>
      <w:r>
        <w:rPr>
          <w:rFonts w:hint="eastAsia" w:ascii="Arial" w:hAnsi="Arial" w:cs="Arial"/>
          <w:sz w:val="20"/>
          <w:szCs w:val="20"/>
        </w:rPr>
        <w:t>Th17</w:t>
      </w:r>
      <w:r>
        <w:rPr>
          <w:rFonts w:ascii="Arial" w:hAnsi="Arial" w:cs="Arial"/>
          <w:sz w:val="20"/>
          <w:szCs w:val="20"/>
        </w:rPr>
        <w:t xml:space="preserve"> differentiation condition medium and activated with plate-bound 2.5 μg/mL anti-CD3 and 2.5 μg/mL anti-CD28 antibodies (BioLegend, USA). </w:t>
      </w:r>
      <w:r>
        <w:rPr>
          <w:rFonts w:hint="eastAsia" w:ascii="Arial" w:hAnsi="Arial" w:cs="Arial"/>
          <w:sz w:val="20"/>
          <w:szCs w:val="20"/>
        </w:rPr>
        <w:t>Th17</w:t>
      </w:r>
      <w:r>
        <w:rPr>
          <w:rFonts w:ascii="Arial" w:hAnsi="Arial" w:cs="Arial"/>
          <w:sz w:val="20"/>
          <w:szCs w:val="20"/>
        </w:rPr>
        <w:t xml:space="preserve"> differentiation condition medium containing: IMDM medium (EpiZyme, China), 10% FBS, 1% penicillin/streptomycin, 40 ng/mL rIL-6 (HUABIO, China), 5 ng/mL rTGF-β1 (abbkine, USA),10 ng/mL rIL-23 (Invitrogen, USA), 5 µg/mL anti-mouse IL-4 and 5 µg/mL anti-mouse IFN-γ (BioLegend).</w:t>
      </w:r>
    </w:p>
    <w:p w14:paraId="2373D8ED">
      <w:pPr>
        <w:spacing w:line="276" w:lineRule="auto"/>
        <w:rPr>
          <w:rFonts w:ascii="Arial" w:hAnsi="Arial" w:cs="Arial"/>
          <w:b/>
          <w:bCs/>
          <w:sz w:val="20"/>
          <w:szCs w:val="20"/>
        </w:rPr>
      </w:pPr>
    </w:p>
    <w:p w14:paraId="2E55D20B">
      <w:pPr>
        <w:spacing w:line="276" w:lineRule="auto"/>
        <w:rPr>
          <w:rFonts w:ascii="Arial" w:hAnsi="Arial" w:cs="Arial"/>
          <w:b/>
          <w:bCs/>
          <w:sz w:val="20"/>
          <w:szCs w:val="20"/>
        </w:rPr>
      </w:pPr>
      <w:r>
        <w:rPr>
          <w:rFonts w:ascii="Arial" w:hAnsi="Arial" w:cs="Arial"/>
          <w:b/>
          <w:bCs/>
          <w:sz w:val="20"/>
          <w:szCs w:val="20"/>
        </w:rPr>
        <w:t>In Vitro Co-Culture Systems</w:t>
      </w:r>
    </w:p>
    <w:p w14:paraId="2D67B096">
      <w:pPr>
        <w:spacing w:line="276" w:lineRule="auto"/>
        <w:rPr>
          <w:rFonts w:ascii="Arial" w:hAnsi="Arial" w:cs="Arial"/>
          <w:sz w:val="20"/>
          <w:szCs w:val="20"/>
        </w:rPr>
      </w:pPr>
      <w:r>
        <w:rPr>
          <w:rFonts w:ascii="Arial" w:hAnsi="Arial" w:cs="Arial"/>
          <w:sz w:val="20"/>
          <w:szCs w:val="20"/>
        </w:rPr>
        <w:t>Three co-culture systems were systematically established to delineate cellular interactions within the tumor microenvironment.</w:t>
      </w:r>
      <w:r>
        <w:rPr>
          <w:rFonts w:hint="eastAsia" w:ascii="Arial" w:hAnsi="Arial" w:cs="Arial"/>
          <w:sz w:val="20"/>
          <w:szCs w:val="20"/>
        </w:rPr>
        <w:t xml:space="preserve"> </w:t>
      </w:r>
      <w:r>
        <w:rPr>
          <w:rFonts w:ascii="Arial" w:hAnsi="Arial" w:cs="Arial"/>
          <w:sz w:val="20"/>
          <w:szCs w:val="20"/>
        </w:rPr>
        <w:t xml:space="preserve">First, BMMCs was cultured in serum-free RPMI-1640 medium supplemented with 10% 10× concentrated LCM, with another group treated with RPMI-1640 medium 10% 10× concentrated LCM and 100μM CS (MedChemExpress). After 12-hour incubation, supernatants were separated by centrifugation and processed through differential ultrafiltration: BMMC-derived conditioned media were concentrated </w:t>
      </w:r>
      <w:r>
        <w:rPr>
          <w:rFonts w:hint="eastAsia" w:ascii="Arial" w:hAnsi="Arial" w:cs="Arial"/>
          <w:sz w:val="20"/>
          <w:szCs w:val="20"/>
          <w:highlight w:val="none"/>
          <w:lang w:val="en-US" w:eastAsia="zh-CN"/>
        </w:rPr>
        <w:t>1</w:t>
      </w:r>
      <w:r>
        <w:rPr>
          <w:rFonts w:ascii="Arial" w:hAnsi="Arial" w:cs="Arial"/>
          <w:sz w:val="20"/>
          <w:szCs w:val="20"/>
          <w:highlight w:val="none"/>
        </w:rPr>
        <w:t>0×</w:t>
      </w:r>
      <w:r>
        <w:rPr>
          <w:rFonts w:ascii="Arial" w:hAnsi="Arial" w:cs="Arial"/>
          <w:sz w:val="20"/>
          <w:szCs w:val="20"/>
        </w:rPr>
        <w:t xml:space="preserve"> for immunoblotting or 10× </w:t>
      </w:r>
      <w:bookmarkStart w:id="1" w:name="OLE_LINK2"/>
      <w:r>
        <w:rPr>
          <w:rFonts w:hint="eastAsia" w:ascii="Arial" w:hAnsi="Arial" w:cs="Arial"/>
          <w:sz w:val="20"/>
          <w:szCs w:val="20"/>
          <w:lang w:val="en-US" w:eastAsia="zh-CN"/>
        </w:rPr>
        <w:t>[</w:t>
      </w:r>
      <w:r>
        <w:rPr>
          <w:rFonts w:ascii="Arial" w:hAnsi="Arial" w:cs="Arial"/>
          <w:sz w:val="20"/>
          <w:szCs w:val="20"/>
        </w:rPr>
        <w:t>SN</w:t>
      </w:r>
      <w:r>
        <w:rPr>
          <w:rFonts w:hint="eastAsia" w:ascii="Arial" w:hAnsi="Arial" w:cs="Arial"/>
          <w:sz w:val="20"/>
          <w:szCs w:val="20"/>
          <w:lang w:val="en-US" w:eastAsia="zh-CN"/>
        </w:rPr>
        <w:t>(LCM)</w:t>
      </w:r>
      <w:r>
        <w:rPr>
          <w:rFonts w:ascii="Arial" w:hAnsi="Arial" w:cs="Arial"/>
          <w:sz w:val="20"/>
          <w:szCs w:val="20"/>
        </w:rPr>
        <w:t>/</w:t>
      </w:r>
      <w:bookmarkStart w:id="2" w:name="OLE_LINK1"/>
      <w:r>
        <w:rPr>
          <w:rFonts w:ascii="Arial" w:hAnsi="Arial" w:cs="Arial"/>
          <w:sz w:val="20"/>
          <w:szCs w:val="20"/>
        </w:rPr>
        <w:t>SN</w:t>
      </w:r>
      <w:bookmarkEnd w:id="1"/>
      <w:bookmarkEnd w:id="2"/>
      <w:r>
        <w:rPr>
          <w:rFonts w:hint="eastAsia" w:ascii="Arial" w:hAnsi="Arial" w:cs="Arial"/>
          <w:sz w:val="20"/>
          <w:szCs w:val="20"/>
          <w:lang w:val="en-US" w:eastAsia="zh-CN"/>
        </w:rPr>
        <w:t xml:space="preserve">(CS/LCM)] </w:t>
      </w:r>
      <w:r>
        <w:rPr>
          <w:rFonts w:ascii="Arial" w:hAnsi="Arial" w:cs="Arial"/>
          <w:sz w:val="20"/>
          <w:szCs w:val="20"/>
        </w:rPr>
        <w:t xml:space="preserve">for cryopreservation at −80°C. Next, naïve CD4+ T cells were polarized under modified </w:t>
      </w:r>
      <w:r>
        <w:rPr>
          <w:rFonts w:hint="eastAsia" w:ascii="Arial" w:hAnsi="Arial" w:cs="Arial"/>
          <w:sz w:val="20"/>
          <w:szCs w:val="20"/>
        </w:rPr>
        <w:t>Th17</w:t>
      </w:r>
      <w:r>
        <w:rPr>
          <w:rFonts w:ascii="Arial" w:hAnsi="Arial" w:cs="Arial"/>
          <w:sz w:val="20"/>
          <w:szCs w:val="20"/>
        </w:rPr>
        <w:t>-inducing conditions across six experimental groups: (1) IMDM containing 10% 10× concentrated LCM, (2) IMDM containing 10% 10× concentrated SN</w:t>
      </w:r>
      <w:r>
        <w:rPr>
          <w:rFonts w:hint="eastAsia" w:ascii="Arial" w:hAnsi="Arial" w:cs="Arial"/>
          <w:sz w:val="20"/>
          <w:szCs w:val="20"/>
          <w:lang w:val="en-US" w:eastAsia="zh-CN"/>
        </w:rPr>
        <w:t>(LCM)</w:t>
      </w:r>
      <w:r>
        <w:rPr>
          <w:rFonts w:ascii="Arial" w:hAnsi="Arial" w:cs="Arial"/>
          <w:sz w:val="20"/>
          <w:szCs w:val="20"/>
        </w:rPr>
        <w:t xml:space="preserve"> , (3) IMDM containing 10% 10× concentrated SN</w:t>
      </w:r>
      <w:r>
        <w:rPr>
          <w:rFonts w:hint="eastAsia" w:ascii="Arial" w:hAnsi="Arial" w:cs="Arial"/>
          <w:sz w:val="20"/>
          <w:szCs w:val="20"/>
          <w:lang w:val="en-US" w:eastAsia="zh-CN"/>
        </w:rPr>
        <w:t>(CS/LCM)</w:t>
      </w:r>
      <w:r>
        <w:rPr>
          <w:rFonts w:ascii="Arial" w:hAnsi="Arial" w:cs="Arial"/>
          <w:sz w:val="20"/>
          <w:szCs w:val="20"/>
        </w:rPr>
        <w:t xml:space="preserve">, (4) standard </w:t>
      </w:r>
      <w:r>
        <w:rPr>
          <w:rFonts w:hint="eastAsia" w:ascii="Arial" w:hAnsi="Arial" w:cs="Arial"/>
          <w:sz w:val="20"/>
          <w:szCs w:val="20"/>
        </w:rPr>
        <w:t>Th17</w:t>
      </w:r>
      <w:r>
        <w:rPr>
          <w:rFonts w:ascii="Arial" w:hAnsi="Arial" w:cs="Arial"/>
          <w:sz w:val="20"/>
          <w:szCs w:val="20"/>
        </w:rPr>
        <w:t xml:space="preserve"> medium supplemented with</w:t>
      </w:r>
      <w:r>
        <w:rPr>
          <w:rFonts w:ascii="Arial" w:hAnsi="Arial" w:cs="Arial"/>
          <w:sz w:val="20"/>
          <w:szCs w:val="20"/>
          <w:highlight w:val="none"/>
        </w:rPr>
        <w:t xml:space="preserve"> 5</w:t>
      </w:r>
      <w:r>
        <w:rPr>
          <w:rFonts w:hint="eastAsia" w:ascii="Arial" w:hAnsi="Arial" w:cs="Arial"/>
          <w:sz w:val="20"/>
          <w:szCs w:val="20"/>
          <w:highlight w:val="none"/>
          <w:lang w:val="en-US" w:eastAsia="zh-CN"/>
        </w:rPr>
        <w:t>0n</w:t>
      </w:r>
      <w:r>
        <w:rPr>
          <w:rFonts w:ascii="Arial" w:hAnsi="Arial" w:cs="Arial"/>
          <w:sz w:val="20"/>
          <w:szCs w:val="20"/>
          <w:highlight w:val="none"/>
        </w:rPr>
        <w:t xml:space="preserve">g/mL </w:t>
      </w:r>
      <w:r>
        <w:rPr>
          <w:rFonts w:ascii="Arial" w:hAnsi="Arial" w:cs="Arial"/>
          <w:sz w:val="20"/>
          <w:szCs w:val="20"/>
        </w:rPr>
        <w:t xml:space="preserve">recombinant MIF (BioLegend),  (5) </w:t>
      </w:r>
      <w:r>
        <w:rPr>
          <w:rFonts w:hint="eastAsia" w:ascii="Arial" w:hAnsi="Arial" w:cs="Arial"/>
          <w:sz w:val="20"/>
          <w:szCs w:val="20"/>
        </w:rPr>
        <w:t>Th17</w:t>
      </w:r>
      <w:r>
        <w:rPr>
          <w:rFonts w:ascii="Arial" w:hAnsi="Arial" w:cs="Arial"/>
          <w:sz w:val="20"/>
          <w:szCs w:val="20"/>
        </w:rPr>
        <w:t xml:space="preserve"> medium co-treated with MIF and 200μM ISO-1, and (6)standard </w:t>
      </w:r>
      <w:r>
        <w:rPr>
          <w:rFonts w:hint="eastAsia" w:ascii="Arial" w:hAnsi="Arial" w:cs="Arial"/>
          <w:sz w:val="20"/>
          <w:szCs w:val="20"/>
        </w:rPr>
        <w:t>Th17</w:t>
      </w:r>
      <w:r>
        <w:rPr>
          <w:rFonts w:ascii="Arial" w:hAnsi="Arial" w:cs="Arial"/>
          <w:sz w:val="20"/>
          <w:szCs w:val="20"/>
        </w:rPr>
        <w:t xml:space="preserve"> medium as control. Following 72-hour differentiation, cellular fractions underwent flow cytometric quantification of CD4+IL-17A+ populations and RT-qPCR analysis of RORγt/IL-17A expression, while supernatants were 10× concentrated to generate </w:t>
      </w:r>
      <w:r>
        <w:rPr>
          <w:rFonts w:ascii="Arial" w:hAnsi="Arial" w:eastAsia="等线" w:cs="Arial"/>
          <w:sz w:val="20"/>
          <w:szCs w:val="20"/>
          <w:lang w:val="en-US" w:eastAsia="zh-CN" w:bidi="ar"/>
        </w:rPr>
        <w:t>SN[Th17+SN(CS/LCM)]</w:t>
      </w:r>
      <w:r>
        <w:rPr>
          <w:rFonts w:ascii="Arial" w:hAnsi="Arial" w:cs="Arial"/>
          <w:sz w:val="20"/>
          <w:szCs w:val="20"/>
        </w:rPr>
        <w:t xml:space="preserve">, </w:t>
      </w:r>
      <w:r>
        <w:rPr>
          <w:rFonts w:ascii="Arial" w:hAnsi="Arial" w:eastAsia="等线" w:cs="Arial"/>
          <w:sz w:val="20"/>
          <w:szCs w:val="20"/>
          <w:lang w:val="en-US" w:eastAsia="zh-CN" w:bidi="ar"/>
        </w:rPr>
        <w:t>SN[Th17+SN(LCM)]</w:t>
      </w:r>
      <w:r>
        <w:rPr>
          <w:rFonts w:ascii="Arial" w:hAnsi="Arial" w:cs="Arial"/>
          <w:sz w:val="20"/>
          <w:szCs w:val="20"/>
        </w:rPr>
        <w:t xml:space="preserve">, </w:t>
      </w:r>
      <w:r>
        <w:rPr>
          <w:rFonts w:ascii="Arial" w:hAnsi="Arial" w:eastAsia="等线" w:cs="Arial"/>
          <w:sz w:val="20"/>
          <w:szCs w:val="20"/>
          <w:lang w:val="en-US" w:eastAsia="zh-CN" w:bidi="ar"/>
        </w:rPr>
        <w:t>SN(Th17+MIF)</w:t>
      </w:r>
      <w:r>
        <w:rPr>
          <w:rFonts w:ascii="Arial" w:hAnsi="Arial" w:cs="Arial"/>
          <w:sz w:val="20"/>
          <w:szCs w:val="20"/>
        </w:rPr>
        <w:t xml:space="preserve">, and </w:t>
      </w:r>
      <w:r>
        <w:rPr>
          <w:rFonts w:ascii="Arial" w:hAnsi="Arial" w:eastAsia="等线" w:cs="Arial"/>
          <w:sz w:val="20"/>
          <w:szCs w:val="20"/>
          <w:lang w:val="en-US" w:eastAsia="zh-CN" w:bidi="ar"/>
        </w:rPr>
        <w:t>SN(Th17+MIF/ISO</w:t>
      </w:r>
      <w:r>
        <w:rPr>
          <w:rFonts w:hint="default" w:ascii="Cambria Math" w:hAnsi="Cambria Math" w:eastAsia="等线" w:cs="Cambria Math"/>
          <w:sz w:val="20"/>
          <w:szCs w:val="20"/>
          <w:lang w:val="en-US" w:eastAsia="zh-CN" w:bidi="ar"/>
        </w:rPr>
        <w:noBreakHyphen/>
      </w:r>
      <w:r>
        <w:rPr>
          <w:rFonts w:hint="default" w:ascii="Arial" w:hAnsi="Arial" w:eastAsia="等线" w:cs="Arial"/>
          <w:sz w:val="20"/>
          <w:szCs w:val="20"/>
          <w:lang w:val="en-US" w:eastAsia="zh-CN" w:bidi="ar"/>
        </w:rPr>
        <w:t>1)</w:t>
      </w:r>
      <w:r>
        <w:rPr>
          <w:rFonts w:ascii="Arial" w:hAnsi="Arial" w:cs="Arial"/>
          <w:sz w:val="20"/>
          <w:szCs w:val="20"/>
        </w:rPr>
        <w:t xml:space="preserve"> conditioned media.ly, functional crosstalk was evaluated by exposing LLC</w:t>
      </w:r>
      <w:r>
        <w:rPr>
          <w:rFonts w:hint="eastAsia" w:ascii="Arial" w:hAnsi="Arial" w:cs="Arial"/>
          <w:sz w:val="20"/>
          <w:szCs w:val="20"/>
          <w:lang w:val="en-US" w:eastAsia="zh-CN"/>
        </w:rPr>
        <w:t xml:space="preserve"> and CMT167</w:t>
      </w:r>
      <w:r>
        <w:rPr>
          <w:rFonts w:ascii="Arial" w:hAnsi="Arial" w:cs="Arial"/>
          <w:sz w:val="20"/>
          <w:szCs w:val="20"/>
        </w:rPr>
        <w:t xml:space="preserve"> cells to DMEM containing 10% of the four </w:t>
      </w:r>
      <w:r>
        <w:rPr>
          <w:rFonts w:hint="eastAsia" w:ascii="Arial" w:hAnsi="Arial" w:cs="Arial"/>
          <w:sz w:val="20"/>
          <w:szCs w:val="20"/>
        </w:rPr>
        <w:t>Th17</w:t>
      </w:r>
      <w:r>
        <w:rPr>
          <w:rFonts w:ascii="Arial" w:hAnsi="Arial" w:cs="Arial"/>
          <w:sz w:val="20"/>
          <w:szCs w:val="20"/>
        </w:rPr>
        <w:t xml:space="preserve">-derived conditioned media or 50 ng/mL recombinant IL-17A (Fine, China). Cellular responses were quantified through CCK-8, cell scratch, colony formation, transwell migration, matrigel invasion assays. </w:t>
      </w:r>
    </w:p>
    <w:p w14:paraId="7DEE33FE">
      <w:pPr>
        <w:spacing w:line="276" w:lineRule="auto"/>
        <w:rPr>
          <w:rFonts w:ascii="Arial" w:hAnsi="Arial" w:cs="Arial"/>
          <w:sz w:val="20"/>
          <w:szCs w:val="20"/>
        </w:rPr>
      </w:pPr>
    </w:p>
    <w:p w14:paraId="42C1CD69">
      <w:pPr>
        <w:spacing w:line="276" w:lineRule="auto"/>
        <w:rPr>
          <w:rFonts w:hint="eastAsia" w:ascii="Arial" w:hAnsi="Arial" w:cs="Arial"/>
          <w:b/>
          <w:bCs/>
          <w:sz w:val="20"/>
          <w:szCs w:val="20"/>
        </w:rPr>
      </w:pPr>
      <w:r>
        <w:rPr>
          <w:rFonts w:hint="eastAsia" w:ascii="Arial" w:hAnsi="Arial" w:cs="Arial"/>
          <w:b/>
          <w:bCs/>
          <w:sz w:val="20"/>
          <w:szCs w:val="20"/>
        </w:rPr>
        <w:t>Enzyme-linked immunosorbent assay (ELISA)</w:t>
      </w:r>
    </w:p>
    <w:p w14:paraId="014D788D">
      <w:pPr>
        <w:spacing w:line="276" w:lineRule="auto"/>
        <w:rPr>
          <w:rFonts w:ascii="Arial" w:hAnsi="Arial" w:cs="Arial"/>
          <w:sz w:val="20"/>
          <w:szCs w:val="20"/>
        </w:rPr>
      </w:pPr>
      <w:r>
        <w:rPr>
          <w:rFonts w:hint="eastAsia" w:ascii="Arial" w:hAnsi="Arial" w:cs="Arial"/>
          <w:sz w:val="20"/>
          <w:szCs w:val="20"/>
        </w:rPr>
        <w:t>The concentrations of MIF in cell culture supernatants and human serum samples were quantified using commercially available ELISA kits specific for mouse MIF (Elabscience</w:t>
      </w:r>
      <w:r>
        <w:rPr>
          <w:rFonts w:hint="eastAsia" w:ascii="Arial" w:hAnsi="Arial" w:cs="Arial"/>
          <w:sz w:val="20"/>
          <w:szCs w:val="20"/>
          <w:lang w:val="en-US" w:eastAsia="zh-CN"/>
        </w:rPr>
        <w:t>, China</w:t>
      </w:r>
      <w:r>
        <w:rPr>
          <w:rFonts w:hint="eastAsia" w:ascii="Arial" w:hAnsi="Arial" w:cs="Arial"/>
          <w:sz w:val="20"/>
          <w:szCs w:val="20"/>
        </w:rPr>
        <w:t>) and human MIF (Elabscience), respectively, following the manufacturer's instructions.Cell culture supernatants: Supernatants from different experimental groups were collected, including: 1) SN(LCM): supernatant from bone marrow-derived mast cells (BMMCs) stimulated with LLC-conditioned medium (LCM); 2) SN(CS/LCM): supernatant from BMMCs pre-treated with Cromolyn Sodium (CS) prior to LCM stimulation; 3) supernatant from unstimulated BMMCs; and 4) LCM control. All supernatants were centrifuged at 3000 rpm for 15 minutes at 4°C to remove cellular debris, aliquoted, and stored at -80°C until analysis. Samples were diluted appropriately within the dynamic range of the assay.</w:t>
      </w:r>
      <w:r>
        <w:rPr>
          <w:rFonts w:hint="eastAsia" w:ascii="Arial" w:hAnsi="Arial" w:cs="Arial"/>
          <w:sz w:val="20"/>
          <w:szCs w:val="20"/>
          <w:lang w:val="en-US" w:eastAsia="zh-CN"/>
        </w:rPr>
        <w:t xml:space="preserve"> </w:t>
      </w:r>
      <w:r>
        <w:rPr>
          <w:rFonts w:hint="eastAsia" w:ascii="Arial" w:hAnsi="Arial" w:cs="Arial"/>
          <w:sz w:val="20"/>
          <w:szCs w:val="20"/>
        </w:rPr>
        <w:t>Human serum samples: Venous blood samples from patients were collected in serum separator tubes, allowed to clot at room temperature for 30 minutes, and then centrifuged at 3000 rpm for 15 minutes at 4°C. The resulting supernatant (serum) was carefully aliquoted and stored at -80°C. Serum samples were analyzed undiluted or at appropriate dilutions as determined by preliminary tests.Assay procedure: Briefly, standards and prepared samples were added to antibody-precoated wells and incubated. After washing, a biotinylated detection antibody was added, followed by streptavidin-horseradish peroxidase (HRP) conjugate. Tetramethylbenzidine (TMB) substrate was used for color development, and the reaction was stopped with sulfuric acid solution. The absorbance was measured at 450 nm using a microplate reader. All samples and standards were assayed in duplicate. The concentration of MIF in each sample was calculated by interpolating from the standard curve generated with recombinant protein.</w:t>
      </w:r>
    </w:p>
    <w:p w14:paraId="3ECC8028">
      <w:pPr>
        <w:spacing w:line="276" w:lineRule="auto"/>
        <w:rPr>
          <w:rFonts w:ascii="Arial" w:hAnsi="Arial" w:cs="Arial"/>
          <w:sz w:val="20"/>
          <w:szCs w:val="20"/>
        </w:rPr>
      </w:pPr>
    </w:p>
    <w:p w14:paraId="364D9EBF">
      <w:pPr>
        <w:spacing w:line="276" w:lineRule="auto"/>
        <w:rPr>
          <w:rFonts w:ascii="Arial" w:hAnsi="Arial" w:cs="Arial"/>
          <w:b/>
          <w:bCs/>
          <w:sz w:val="20"/>
          <w:szCs w:val="20"/>
        </w:rPr>
      </w:pPr>
      <w:r>
        <w:rPr>
          <w:rFonts w:ascii="Arial" w:hAnsi="Arial" w:cs="Arial"/>
          <w:b/>
          <w:bCs/>
          <w:sz w:val="20"/>
          <w:szCs w:val="20"/>
        </w:rPr>
        <w:t>Flow cytometry</w:t>
      </w:r>
    </w:p>
    <w:p w14:paraId="5ACFC872">
      <w:pPr>
        <w:spacing w:line="276" w:lineRule="auto"/>
        <w:rPr>
          <w:rFonts w:ascii="Arial" w:hAnsi="Arial" w:cs="Arial"/>
          <w:sz w:val="20"/>
          <w:szCs w:val="20"/>
        </w:rPr>
      </w:pPr>
      <w:r>
        <w:rPr>
          <w:rFonts w:ascii="Arial" w:hAnsi="Arial" w:cs="Arial"/>
          <w:sz w:val="20"/>
          <w:szCs w:val="20"/>
        </w:rPr>
        <w:t xml:space="preserve">For quantitative assessment of </w:t>
      </w:r>
      <w:r>
        <w:rPr>
          <w:rFonts w:hint="eastAsia" w:ascii="Arial" w:hAnsi="Arial" w:cs="Arial"/>
          <w:sz w:val="20"/>
          <w:szCs w:val="20"/>
        </w:rPr>
        <w:t>Th17</w:t>
      </w:r>
      <w:r>
        <w:rPr>
          <w:rFonts w:ascii="Arial" w:hAnsi="Arial" w:cs="Arial"/>
          <w:sz w:val="20"/>
          <w:szCs w:val="20"/>
        </w:rPr>
        <w:t xml:space="preserve"> cell differentiation efficiency in vitro experiments and </w:t>
      </w:r>
      <w:r>
        <w:rPr>
          <w:rFonts w:hint="eastAsia" w:ascii="Arial" w:hAnsi="Arial" w:cs="Arial"/>
          <w:sz w:val="20"/>
          <w:szCs w:val="20"/>
        </w:rPr>
        <w:t>Th17</w:t>
      </w:r>
      <w:r>
        <w:rPr>
          <w:rFonts w:ascii="Arial" w:hAnsi="Arial" w:cs="Arial"/>
          <w:sz w:val="20"/>
          <w:szCs w:val="20"/>
        </w:rPr>
        <w:t xml:space="preserve"> cell infiltration within tumor-infiltrating CD4+ T lymphocytes,</w:t>
      </w:r>
      <w:r>
        <w:rPr>
          <w:rFonts w:hint="eastAsia" w:ascii="Arial" w:hAnsi="Arial" w:cs="Arial"/>
          <w:sz w:val="20"/>
          <w:szCs w:val="20"/>
        </w:rPr>
        <w:t xml:space="preserve"> a</w:t>
      </w:r>
      <w:r>
        <w:rPr>
          <w:rFonts w:ascii="Arial" w:hAnsi="Arial" w:cs="Arial"/>
          <w:sz w:val="20"/>
          <w:szCs w:val="20"/>
        </w:rPr>
        <w:t xml:space="preserve"> three-color and</w:t>
      </w:r>
      <w:r>
        <w:rPr>
          <w:rFonts w:hint="eastAsia" w:ascii="Arial" w:hAnsi="Arial" w:cs="Arial"/>
          <w:sz w:val="20"/>
          <w:szCs w:val="20"/>
        </w:rPr>
        <w:t xml:space="preserve"> </w:t>
      </w:r>
      <w:r>
        <w:rPr>
          <w:rFonts w:ascii="Arial" w:hAnsi="Arial" w:cs="Arial"/>
          <w:sz w:val="20"/>
          <w:szCs w:val="20"/>
        </w:rPr>
        <w:t>another</w:t>
      </w:r>
      <w:r>
        <w:rPr>
          <w:rFonts w:hint="eastAsia" w:ascii="Arial" w:hAnsi="Arial" w:cs="Arial"/>
          <w:sz w:val="20"/>
          <w:szCs w:val="20"/>
        </w:rPr>
        <w:t xml:space="preserve"> </w:t>
      </w:r>
      <w:r>
        <w:rPr>
          <w:rFonts w:ascii="Arial" w:hAnsi="Arial" w:cs="Arial"/>
          <w:sz w:val="20"/>
          <w:szCs w:val="20"/>
        </w:rPr>
        <w:t xml:space="preserve">five-color flow cytometry staining protocol were respectively implemented. It is worth noting that before continuing staining, resuspend the cells in RPMI 1640 medium and use the Leukocyte Activation Cocktail (BD Pharmingen) </w:t>
      </w:r>
      <w:r>
        <w:rPr>
          <w:rFonts w:hint="eastAsia" w:ascii="Arial" w:hAnsi="Arial" w:cs="Arial"/>
          <w:sz w:val="20"/>
          <w:szCs w:val="20"/>
        </w:rPr>
        <w:t xml:space="preserve">to </w:t>
      </w:r>
      <w:r>
        <w:rPr>
          <w:rFonts w:ascii="Arial" w:hAnsi="Arial" w:cs="Arial"/>
          <w:sz w:val="20"/>
          <w:szCs w:val="20"/>
        </w:rPr>
        <w:t xml:space="preserve">stimulate for 6 hours. Briefly, single-cell suspensions were first incubated with Zombie Aqua™ Fixable Viability Kit (BioLegend) for 15 min at normal temperature in PBS to discriminate live/dead cells. Then, cells were blocked with anti-mouse CD16/CD32 (starter, China) for 15 minutes at 4°C to minimize nonspecific antibody binding. Subsequent surface staining in </w:t>
      </w:r>
      <w:r>
        <w:rPr>
          <w:rFonts w:hint="eastAsia" w:ascii="Arial" w:hAnsi="Arial" w:cs="Arial"/>
          <w:sz w:val="20"/>
          <w:szCs w:val="20"/>
        </w:rPr>
        <w:t xml:space="preserve">the </w:t>
      </w:r>
      <w:r>
        <w:rPr>
          <w:rFonts w:ascii="Arial" w:hAnsi="Arial" w:cs="Arial"/>
          <w:sz w:val="20"/>
          <w:szCs w:val="20"/>
        </w:rPr>
        <w:t>five-color protocol was performed using three fluorochrome-conjugated monoclonal antibodies: anti-mouse CD45-APC-Cy7, anti-mouse CD3ε-PerCP-Cy5.5, and anti-mouse CD4-APC (BD Pharmingen, USA) in Stain Buffer (Absin) for 30 min at 4°C s in the dark. T</w:t>
      </w:r>
      <w:r>
        <w:rPr>
          <w:rFonts w:hint="eastAsia" w:ascii="Arial" w:hAnsi="Arial" w:cs="Arial"/>
          <w:sz w:val="20"/>
          <w:szCs w:val="20"/>
        </w:rPr>
        <w:t>he t</w:t>
      </w:r>
      <w:r>
        <w:rPr>
          <w:rFonts w:ascii="Arial" w:hAnsi="Arial" w:cs="Arial"/>
          <w:sz w:val="20"/>
          <w:szCs w:val="20"/>
        </w:rPr>
        <w:t xml:space="preserve">hree-color staining protocol only use anti-mouse CD4-APC. For intracellular IL-17A detection, cells were fixed/permeabilized using the Transcription Factor Buffer Set (BD Pharmingen), followed by anti-IL-17A-PE antibody (BD Pharmingen) incubation for 30 min at 4°C in the dark. Compensated data acquisition was performed on a BD LSRFortessa™ X-20 analyzer, collecting ≥100,000 viable cell events per sample. </w:t>
      </w:r>
      <w:r>
        <w:rPr>
          <w:rFonts w:hint="eastAsia" w:ascii="Arial" w:hAnsi="Arial" w:cs="Arial"/>
          <w:sz w:val="20"/>
          <w:szCs w:val="20"/>
        </w:rPr>
        <w:t>Th17</w:t>
      </w:r>
      <w:r>
        <w:rPr>
          <w:rFonts w:ascii="Arial" w:hAnsi="Arial" w:cs="Arial"/>
          <w:sz w:val="20"/>
          <w:szCs w:val="20"/>
        </w:rPr>
        <w:t xml:space="preserve"> cell frequency was calculated as (IL-17A+ cells / CD4+ T cells) × 100% using FlowJo</w:t>
      </w:r>
      <w:r>
        <w:rPr>
          <w:rFonts w:hint="eastAsia" w:ascii="Arial" w:hAnsi="Arial" w:cs="Arial"/>
          <w:sz w:val="20"/>
          <w:szCs w:val="20"/>
        </w:rPr>
        <w:t xml:space="preserve"> </w:t>
      </w:r>
      <w:r>
        <w:rPr>
          <w:rFonts w:ascii="Arial" w:hAnsi="Arial" w:cs="Arial"/>
          <w:sz w:val="20"/>
          <w:szCs w:val="20"/>
        </w:rPr>
        <w:t>with</w:t>
      </w:r>
      <w:r>
        <w:rPr>
          <w:rFonts w:hint="eastAsia" w:ascii="Arial" w:hAnsi="Arial" w:cs="Arial"/>
          <w:sz w:val="20"/>
          <w:szCs w:val="20"/>
        </w:rPr>
        <w:t xml:space="preserve"> </w:t>
      </w:r>
      <w:r>
        <w:rPr>
          <w:rFonts w:ascii="Arial" w:hAnsi="Arial" w:cs="Arial"/>
          <w:sz w:val="20"/>
          <w:szCs w:val="20"/>
        </w:rPr>
        <w:t>a</w:t>
      </w:r>
      <w:r>
        <w:rPr>
          <w:rFonts w:hint="eastAsia" w:ascii="Arial" w:hAnsi="Arial" w:cs="Arial"/>
          <w:sz w:val="20"/>
          <w:szCs w:val="20"/>
        </w:rPr>
        <w:t xml:space="preserve"> </w:t>
      </w:r>
      <w:r>
        <w:rPr>
          <w:rFonts w:ascii="Arial" w:hAnsi="Arial" w:cs="Arial"/>
          <w:sz w:val="20"/>
          <w:szCs w:val="20"/>
        </w:rPr>
        <w:t>quadrant gating strategy validated through fluorescence-minus-one (FMO) controls.</w:t>
      </w:r>
    </w:p>
    <w:p w14:paraId="7049AD0E">
      <w:pPr>
        <w:spacing w:line="276" w:lineRule="auto"/>
        <w:rPr>
          <w:rFonts w:ascii="Arial" w:hAnsi="Arial" w:cs="Arial"/>
          <w:sz w:val="20"/>
          <w:szCs w:val="20"/>
        </w:rPr>
      </w:pPr>
    </w:p>
    <w:p w14:paraId="5580E4A6">
      <w:pPr>
        <w:spacing w:line="276" w:lineRule="auto"/>
        <w:rPr>
          <w:rFonts w:ascii="Arial" w:hAnsi="Arial" w:cs="Arial"/>
          <w:b/>
          <w:bCs/>
          <w:sz w:val="20"/>
          <w:szCs w:val="20"/>
        </w:rPr>
      </w:pPr>
      <w:r>
        <w:rPr>
          <w:rFonts w:ascii="Arial" w:hAnsi="Arial" w:cs="Arial"/>
          <w:b/>
          <w:bCs/>
          <w:sz w:val="20"/>
          <w:szCs w:val="20"/>
        </w:rPr>
        <w:t>Western blot analysis</w:t>
      </w:r>
    </w:p>
    <w:p w14:paraId="06ECF871">
      <w:pPr>
        <w:spacing w:line="276" w:lineRule="auto"/>
        <w:rPr>
          <w:rFonts w:ascii="Arial" w:hAnsi="Arial" w:cs="Arial"/>
          <w:sz w:val="20"/>
          <w:szCs w:val="20"/>
        </w:rPr>
      </w:pPr>
      <w:r>
        <w:rPr>
          <w:rFonts w:ascii="Arial" w:hAnsi="Arial" w:cs="Arial"/>
          <w:sz w:val="20"/>
          <w:szCs w:val="20"/>
        </w:rPr>
        <w:t>Western blot analysis was performed as described earlier. For total protein isolation, cells were homogenized in the 200 µl RIPA Lysis Buffer (EpiZyme) containing Protease Inhibitor Cocktail (1:100; MedChemExpress). Briefly, total protein extracts were loaded on SDS-PAGE, subjected to electrophoresis, and blotted onto PVDF Membrane (Millipore). The primary antibodies included: mouse anti-MIF (Proteintech,China), mouse anti-GAPDH (servicebio,China). HRP-conjugated goat anti-rabbit or rabbit anti-mouse w</w:t>
      </w:r>
      <w:r>
        <w:rPr>
          <w:rFonts w:hint="eastAsia" w:ascii="Arial" w:hAnsi="Arial" w:cs="Arial"/>
          <w:sz w:val="20"/>
          <w:szCs w:val="20"/>
        </w:rPr>
        <w:t>as</w:t>
      </w:r>
      <w:r>
        <w:rPr>
          <w:rFonts w:ascii="Arial" w:hAnsi="Arial" w:cs="Arial"/>
          <w:sz w:val="20"/>
          <w:szCs w:val="20"/>
        </w:rPr>
        <w:t xml:space="preserve"> used as secondary antibody (EpiZyme).</w:t>
      </w:r>
    </w:p>
    <w:p w14:paraId="7C1D02BE">
      <w:pPr>
        <w:spacing w:line="276" w:lineRule="auto"/>
        <w:rPr>
          <w:rFonts w:ascii="Arial" w:hAnsi="Arial" w:cs="Arial"/>
          <w:sz w:val="20"/>
          <w:szCs w:val="20"/>
        </w:rPr>
      </w:pPr>
    </w:p>
    <w:p w14:paraId="7FFF2C07">
      <w:pPr>
        <w:spacing w:line="276" w:lineRule="auto"/>
        <w:rPr>
          <w:rFonts w:ascii="Arial" w:hAnsi="Arial" w:cs="Arial"/>
          <w:b/>
          <w:bCs/>
          <w:sz w:val="20"/>
          <w:szCs w:val="20"/>
        </w:rPr>
      </w:pPr>
      <w:r>
        <w:rPr>
          <w:rFonts w:ascii="Arial" w:hAnsi="Arial" w:cs="Arial"/>
          <w:b/>
          <w:bCs/>
          <w:sz w:val="20"/>
          <w:szCs w:val="20"/>
        </w:rPr>
        <w:t>Real-time PCR analysis</w:t>
      </w:r>
    </w:p>
    <w:p w14:paraId="7B49163B">
      <w:pPr>
        <w:spacing w:line="276" w:lineRule="auto"/>
        <w:rPr>
          <w:rFonts w:ascii="Arial" w:hAnsi="Arial" w:cs="Arial"/>
          <w:sz w:val="20"/>
          <w:szCs w:val="20"/>
        </w:rPr>
      </w:pPr>
      <w:r>
        <w:rPr>
          <w:rFonts w:ascii="Arial" w:hAnsi="Arial" w:cs="Arial"/>
          <w:sz w:val="20"/>
          <w:szCs w:val="20"/>
        </w:rPr>
        <w:t>RNA extraction from cellular and tumor samples was performed using HyperPure RNA Isolation Kit (EnzyArtisan). First-strand cDNA synthesis was subsequently conducted using HyperScript III RT SuperMix, (EnzyArtisan) under controlled thermal conditions. Gene expression profiling was implemented through quantitative PCR analysis employing SYBR qPCR Mix (EnzyArtisan) on LightCycler®480, Roche. Expression levels were normalized against the endogenous reference gene GAPDH and calculated.Results were normalized to Ct values using the ΔΔCT method. All oligonucleotide primers utilized in this study were designed following MIQE guidelines, with detailed sequences documented in the supplementary materials (Table S</w:t>
      </w:r>
      <w:r>
        <w:rPr>
          <w:rFonts w:hint="eastAsia" w:ascii="Arial" w:hAnsi="Arial" w:cs="Arial"/>
          <w:sz w:val="20"/>
          <w:szCs w:val="20"/>
          <w:lang w:val="en-US" w:eastAsia="zh-CN"/>
        </w:rPr>
        <w:t>3</w:t>
      </w:r>
      <w:r>
        <w:rPr>
          <w:rFonts w:ascii="Arial" w:hAnsi="Arial" w:cs="Arial"/>
          <w:sz w:val="20"/>
          <w:szCs w:val="20"/>
        </w:rPr>
        <w:t>).</w:t>
      </w:r>
    </w:p>
    <w:p w14:paraId="0D5E6B4C">
      <w:pPr>
        <w:spacing w:line="276" w:lineRule="auto"/>
        <w:rPr>
          <w:rFonts w:ascii="Arial" w:hAnsi="Arial" w:cs="Arial"/>
          <w:sz w:val="20"/>
          <w:szCs w:val="20"/>
        </w:rPr>
      </w:pPr>
      <w:bookmarkStart w:id="3" w:name="_GoBack"/>
      <w:bookmarkEnd w:id="3"/>
    </w:p>
    <w:p w14:paraId="3DE6C1DB">
      <w:pPr>
        <w:spacing w:line="276" w:lineRule="auto"/>
        <w:rPr>
          <w:rFonts w:ascii="Arial" w:hAnsi="Arial" w:cs="Arial"/>
          <w:sz w:val="20"/>
          <w:szCs w:val="20"/>
        </w:rPr>
      </w:pPr>
    </w:p>
    <w:p w14:paraId="58A7C21A">
      <w:pPr>
        <w:spacing w:line="276" w:lineRule="auto"/>
        <w:rPr>
          <w:rFonts w:ascii="Arial" w:hAnsi="Arial" w:cs="Arial"/>
          <w:b/>
          <w:bCs/>
          <w:sz w:val="20"/>
          <w:szCs w:val="20"/>
        </w:rPr>
      </w:pPr>
      <w:r>
        <w:rPr>
          <w:rFonts w:ascii="Arial" w:hAnsi="Arial" w:cs="Arial"/>
          <w:b/>
          <w:bCs/>
          <w:sz w:val="20"/>
          <w:szCs w:val="20"/>
        </w:rPr>
        <w:t>Cell Proliferation Assay</w:t>
      </w:r>
    </w:p>
    <w:p w14:paraId="36CE4D97">
      <w:pPr>
        <w:spacing w:line="276" w:lineRule="auto"/>
        <w:rPr>
          <w:rFonts w:ascii="Arial" w:hAnsi="Arial" w:cs="Arial"/>
          <w:sz w:val="20"/>
          <w:szCs w:val="20"/>
        </w:rPr>
      </w:pPr>
      <w:r>
        <w:rPr>
          <w:rFonts w:ascii="Arial" w:hAnsi="Arial" w:cs="Arial"/>
          <w:sz w:val="20"/>
          <w:szCs w:val="20"/>
        </w:rPr>
        <w:t>Cell proliferative activity was evaluated using the Cell Counting Kit-8 (CCK-8, LIFE, China). Cells were seeded in 96-well plates at a density of 2×10³ cells/well and incubated for 24, 48, or 72 hours with different stimulations. Subsequently, 10% CCK-8 reagent in culture medium was added to each well, followed by a 2-hour light-protected incubation at 37°C. Absorbance measurements were conducted at 450 nm using a SpectraMax Plus384 microplate reader (Molecular Devices).</w:t>
      </w:r>
    </w:p>
    <w:p w14:paraId="23837425">
      <w:pPr>
        <w:spacing w:line="276" w:lineRule="auto"/>
        <w:rPr>
          <w:rFonts w:ascii="Arial" w:hAnsi="Arial" w:cs="Arial"/>
          <w:sz w:val="20"/>
          <w:szCs w:val="20"/>
        </w:rPr>
      </w:pPr>
    </w:p>
    <w:p w14:paraId="050B8490">
      <w:pPr>
        <w:spacing w:line="276" w:lineRule="auto"/>
        <w:rPr>
          <w:rFonts w:ascii="Arial" w:hAnsi="Arial" w:cs="Arial"/>
          <w:b/>
          <w:bCs/>
          <w:sz w:val="20"/>
          <w:szCs w:val="20"/>
        </w:rPr>
      </w:pPr>
      <w:r>
        <w:rPr>
          <w:rFonts w:ascii="Arial" w:hAnsi="Arial" w:cs="Arial"/>
          <w:b/>
          <w:bCs/>
          <w:sz w:val="20"/>
          <w:szCs w:val="20"/>
        </w:rPr>
        <w:t>Colony Formation Assay</w:t>
      </w:r>
    </w:p>
    <w:p w14:paraId="25E948FA">
      <w:pPr>
        <w:spacing w:line="276" w:lineRule="auto"/>
        <w:rPr>
          <w:rFonts w:ascii="Arial" w:hAnsi="Arial" w:cs="Arial"/>
          <w:sz w:val="20"/>
          <w:szCs w:val="20"/>
        </w:rPr>
      </w:pPr>
      <w:r>
        <w:rPr>
          <w:rFonts w:ascii="Arial" w:hAnsi="Arial" w:cs="Arial"/>
          <w:sz w:val="20"/>
          <w:szCs w:val="20"/>
        </w:rPr>
        <w:t>Cells were plated in six-well plates at 1×10³ cells/well and cultured under standard conditions (37°C, 5% CO₂) for 14 days. Complete medium replacement was performed at 48-hour intervals with synchronized administration of specific treatment factors. Colonies were fixed with 4% paraformaldehyde (15 min), stained with0.1% crystal violet (30 min), and gently washed with PBS. Following air-drying, colony morphology was documented using a ChemiDoc imaging system (Bio-Rad). Quantitative analysis was performed using ImageJ software (v1.53t, NIH) with size thresholds (&gt;50 cells) and circularity parameters (0.7-1.0) to exclude debris and cell clusters.</w:t>
      </w:r>
    </w:p>
    <w:p w14:paraId="01A16F4C">
      <w:pPr>
        <w:spacing w:line="276" w:lineRule="auto"/>
        <w:rPr>
          <w:rFonts w:ascii="Arial" w:hAnsi="Arial" w:cs="Arial"/>
          <w:sz w:val="20"/>
          <w:szCs w:val="20"/>
        </w:rPr>
      </w:pPr>
    </w:p>
    <w:p w14:paraId="29376D3C">
      <w:pPr>
        <w:spacing w:line="276" w:lineRule="auto"/>
        <w:rPr>
          <w:rFonts w:ascii="Arial" w:hAnsi="Arial" w:cs="Arial"/>
          <w:b/>
          <w:bCs/>
          <w:sz w:val="20"/>
          <w:szCs w:val="20"/>
        </w:rPr>
      </w:pPr>
      <w:r>
        <w:rPr>
          <w:rFonts w:ascii="Arial" w:hAnsi="Arial" w:cs="Arial"/>
          <w:b/>
          <w:bCs/>
          <w:sz w:val="20"/>
          <w:szCs w:val="20"/>
        </w:rPr>
        <w:t>Scratch Wound Healing Assay</w:t>
      </w:r>
    </w:p>
    <w:p w14:paraId="4E665A3C">
      <w:pPr>
        <w:spacing w:line="276" w:lineRule="auto"/>
        <w:rPr>
          <w:rFonts w:ascii="Arial" w:hAnsi="Arial" w:cs="Arial"/>
          <w:sz w:val="20"/>
          <w:szCs w:val="20"/>
        </w:rPr>
      </w:pPr>
      <w:r>
        <w:rPr>
          <w:rFonts w:ascii="Arial" w:hAnsi="Arial" w:cs="Arial"/>
          <w:sz w:val="20"/>
          <w:szCs w:val="20"/>
        </w:rPr>
        <w:t>Cellular migratory capacity was assessed through standardized scratch wound assays. Following culture in six-well plates to ~80% confluency, cell monolayers were mechanically disrupted using sterile 10 mL pipette tips. After PBS washing to remove dislodged cells, initial wound dimensions (0 h baseline) were documented using an Olympus CKX41 inverted microscope (Japan) under specified stimulation conditions. Subsequent imaging at 24 h post-stimulation enabled quantitative analysis, with three randomly selected fields per well subjected to wound width measurements using ImageJ software (mean ± SD).</w:t>
      </w:r>
    </w:p>
    <w:p w14:paraId="47A0810E">
      <w:pPr>
        <w:spacing w:line="276" w:lineRule="auto"/>
        <w:rPr>
          <w:rFonts w:ascii="Arial" w:hAnsi="Arial" w:cs="Arial"/>
          <w:sz w:val="20"/>
          <w:szCs w:val="20"/>
        </w:rPr>
      </w:pPr>
    </w:p>
    <w:p w14:paraId="7383E2BB">
      <w:pPr>
        <w:spacing w:line="276" w:lineRule="auto"/>
        <w:rPr>
          <w:rFonts w:ascii="Arial" w:hAnsi="Arial" w:cs="Arial"/>
          <w:b/>
          <w:bCs/>
          <w:sz w:val="20"/>
          <w:szCs w:val="20"/>
        </w:rPr>
      </w:pPr>
      <w:r>
        <w:rPr>
          <w:rFonts w:ascii="Arial" w:hAnsi="Arial" w:cs="Arial"/>
          <w:b/>
          <w:bCs/>
          <w:sz w:val="20"/>
          <w:szCs w:val="20"/>
        </w:rPr>
        <w:t>Cell Migration and Invasion Assessment</w:t>
      </w:r>
    </w:p>
    <w:p w14:paraId="259E0850">
      <w:pPr>
        <w:spacing w:line="276" w:lineRule="auto"/>
        <w:rPr>
          <w:rFonts w:ascii="Arial" w:hAnsi="Arial" w:cs="Arial"/>
          <w:sz w:val="20"/>
          <w:szCs w:val="20"/>
        </w:rPr>
      </w:pPr>
      <w:r>
        <w:rPr>
          <w:rFonts w:ascii="Arial" w:hAnsi="Arial" w:cs="Arial"/>
          <w:sz w:val="20"/>
          <w:szCs w:val="20"/>
        </w:rPr>
        <w:t>Transwell migration and Matrigel invasion assays were conducted using 6-well Corning chambers. For invasion evaluation, chambers were pre-coated with 50 mg/L Matrigel matrix. LLC cellular suspensions (2×10⁴ cells/well in 100 μL serum-free DMEM) were loaded into upper chambers, while lower chambers contained complete DMEM with 10% FBS. Following 24-hour incubation under specific stimulation conditions, transmigrated cells underwent sequential processing: methanol fixation (10 min), crystal violet staining (20 min), and PBS washing. Cellular translocation was quantified through systematic random sampling of five microscopic fields per membrane using an Olympus BX53 imaging system with CellSens software.</w:t>
      </w:r>
    </w:p>
    <w:p w14:paraId="3AB19996">
      <w:pPr>
        <w:spacing w:line="276" w:lineRule="auto"/>
        <w:rPr>
          <w:rFonts w:ascii="Arial" w:hAnsi="Arial" w:cs="Arial"/>
          <w:sz w:val="20"/>
          <w:szCs w:val="20"/>
        </w:rPr>
      </w:pPr>
    </w:p>
    <w:p w14:paraId="4A5DF5FE">
      <w:pPr>
        <w:spacing w:line="276" w:lineRule="auto"/>
        <w:rPr>
          <w:rFonts w:ascii="Arial" w:hAnsi="Arial" w:cs="Arial"/>
          <w:b/>
          <w:bCs/>
          <w:sz w:val="20"/>
          <w:szCs w:val="20"/>
        </w:rPr>
      </w:pPr>
      <w:r>
        <w:rPr>
          <w:rFonts w:ascii="Arial" w:hAnsi="Arial" w:cs="Arial"/>
          <w:b/>
          <w:bCs/>
          <w:sz w:val="20"/>
          <w:szCs w:val="20"/>
        </w:rPr>
        <w:t xml:space="preserve">In situ lung cancer mouse model  </w:t>
      </w:r>
    </w:p>
    <w:p w14:paraId="11B2FDB3">
      <w:pPr>
        <w:spacing w:line="276" w:lineRule="auto"/>
        <w:rPr>
          <w:rFonts w:ascii="Arial" w:hAnsi="Arial" w:cs="Arial"/>
          <w:sz w:val="20"/>
          <w:szCs w:val="20"/>
        </w:rPr>
      </w:pPr>
      <w:r>
        <w:rPr>
          <w:rFonts w:ascii="Arial" w:hAnsi="Arial" w:cs="Arial"/>
          <w:sz w:val="20"/>
          <w:szCs w:val="20"/>
        </w:rPr>
        <w:t>Briefly, subconfluent LLC-Luc cells were harvested and washed three times with PBS, resuspended in PBS and injected at a concentration of 10</w:t>
      </w:r>
      <w:r>
        <w:rPr>
          <w:rFonts w:ascii="Arial" w:hAnsi="Arial" w:cs="Arial"/>
          <w:sz w:val="20"/>
          <w:szCs w:val="20"/>
          <w:vertAlign w:val="superscript"/>
        </w:rPr>
        <w:t>6</w:t>
      </w:r>
      <w:r>
        <w:rPr>
          <w:rFonts w:ascii="Arial" w:hAnsi="Arial" w:cs="Arial"/>
          <w:sz w:val="20"/>
          <w:szCs w:val="20"/>
        </w:rPr>
        <w:t xml:space="preserve"> LLC-Luc cells per mouse. After 7 days, mice were injected intraperitoneally (i.p.) with ISO-1 (10mg/kg/d), cromolyn sodium (50mg/kg/2d) in PBS or PBS alone.Following two weeks of daily therapeutic intervention, euthanasia was humanely performed via intraperitoneal administration of pentobarbital sodium, with subsequent collection of orthotopic lung tumors. Tumor tissues were enzymatically dissociated into single-cell suspensions using a Mouse Tumor Dissociation Kit (Absin, China), followed by erythrocyte depletion using ACK lysing buffer (Absin). For quantitative assessment of </w:t>
      </w:r>
      <w:r>
        <w:rPr>
          <w:rFonts w:hint="eastAsia" w:ascii="Arial" w:hAnsi="Arial" w:cs="Arial"/>
          <w:sz w:val="20"/>
          <w:szCs w:val="20"/>
        </w:rPr>
        <w:t>Th17</w:t>
      </w:r>
      <w:r>
        <w:rPr>
          <w:rFonts w:ascii="Arial" w:hAnsi="Arial" w:cs="Arial"/>
          <w:sz w:val="20"/>
          <w:szCs w:val="20"/>
        </w:rPr>
        <w:t xml:space="preserve"> cell infiltration within tumor-infiltrating CD4+ T lymphocytes, staining with </w:t>
      </w:r>
      <w:r>
        <w:rPr>
          <w:rFonts w:hint="eastAsia" w:ascii="Arial" w:hAnsi="Arial" w:cs="Arial"/>
          <w:sz w:val="20"/>
          <w:szCs w:val="20"/>
        </w:rPr>
        <w:t>Th17</w:t>
      </w:r>
      <w:r>
        <w:rPr>
          <w:rFonts w:ascii="Arial" w:hAnsi="Arial" w:cs="Arial"/>
          <w:sz w:val="20"/>
          <w:szCs w:val="20"/>
        </w:rPr>
        <w:t xml:space="preserve"> cell markers followed by flow cytometry analysis was performed.</w:t>
      </w:r>
    </w:p>
    <w:p w14:paraId="1ABB6923">
      <w:pPr>
        <w:spacing w:line="276" w:lineRule="auto"/>
        <w:rPr>
          <w:rFonts w:ascii="Arial" w:hAnsi="Arial" w:cs="Arial"/>
          <w:sz w:val="20"/>
          <w:szCs w:val="20"/>
        </w:rPr>
      </w:pPr>
    </w:p>
    <w:p w14:paraId="22BD2488">
      <w:pPr>
        <w:spacing w:line="276" w:lineRule="auto"/>
        <w:rPr>
          <w:rFonts w:ascii="Arial" w:hAnsi="Arial" w:cs="Arial"/>
          <w:b/>
          <w:bCs/>
          <w:sz w:val="20"/>
          <w:szCs w:val="20"/>
        </w:rPr>
      </w:pPr>
      <w:r>
        <w:rPr>
          <w:rFonts w:ascii="Arial" w:hAnsi="Arial" w:cs="Arial"/>
          <w:b/>
          <w:bCs/>
          <w:sz w:val="20"/>
          <w:szCs w:val="20"/>
        </w:rPr>
        <w:t>Bioluminescence Imaging</w:t>
      </w:r>
    </w:p>
    <w:p w14:paraId="4D2F2D74">
      <w:pPr>
        <w:spacing w:line="276" w:lineRule="auto"/>
        <w:rPr>
          <w:rFonts w:ascii="Arial" w:hAnsi="Arial" w:cs="Arial"/>
          <w:sz w:val="20"/>
          <w:szCs w:val="20"/>
        </w:rPr>
      </w:pPr>
      <w:r>
        <w:rPr>
          <w:rFonts w:ascii="Arial" w:hAnsi="Arial" w:cs="Arial"/>
          <w:sz w:val="20"/>
          <w:szCs w:val="20"/>
        </w:rPr>
        <w:t>Tumor progression was longitudinally monitored through bioluminescence imaging (BLI) using an optimized protocol. Anesthetized mice (2.5% isoflurane in oxygen, 3 L/min) received intraperitoneal administration of D-luciferin potassium salt (150mg/kg in PBS; Meilunbio) followed by a 10-minute biodistribution period. At the same time as ISO-1 and cromolyn sodium treatment, quantitative analysis was performed using Xenogen IVIS Spectrum optical imaging equipment on days 0, 7, and 14, respectively, with the total fluorescence intensity representing the size of the tumor.</w:t>
      </w:r>
    </w:p>
    <w:p w14:paraId="02717911">
      <w:pPr>
        <w:spacing w:line="276" w:lineRule="auto"/>
        <w:rPr>
          <w:rFonts w:ascii="Arial" w:hAnsi="Arial" w:cs="Arial"/>
          <w:sz w:val="20"/>
          <w:szCs w:val="20"/>
        </w:rPr>
      </w:pPr>
    </w:p>
    <w:p w14:paraId="158CC44E">
      <w:pPr>
        <w:spacing w:line="276" w:lineRule="auto"/>
        <w:rPr>
          <w:rFonts w:hint="eastAsia" w:ascii="Arial" w:hAnsi="Arial" w:cs="Arial" w:eastAsiaTheme="minorEastAsia"/>
          <w:b/>
          <w:bCs/>
          <w:sz w:val="20"/>
          <w:szCs w:val="20"/>
          <w:lang w:val="en-US" w:eastAsia="zh-CN"/>
        </w:rPr>
      </w:pPr>
      <w:r>
        <w:rPr>
          <w:rFonts w:hint="eastAsia" w:ascii="Arial" w:hAnsi="Arial" w:cs="Arial"/>
          <w:b/>
          <w:bCs/>
          <w:sz w:val="20"/>
          <w:szCs w:val="20"/>
        </w:rPr>
        <w:t>Immunohistochemistry</w:t>
      </w:r>
      <w:r>
        <w:rPr>
          <w:rFonts w:hint="eastAsia" w:ascii="Arial" w:hAnsi="Arial" w:cs="Arial"/>
          <w:b/>
          <w:bCs/>
          <w:sz w:val="20"/>
          <w:szCs w:val="20"/>
          <w:lang w:val="en-US" w:eastAsia="zh-CN"/>
        </w:rPr>
        <w:t xml:space="preserve"> analysis</w:t>
      </w:r>
    </w:p>
    <w:p w14:paraId="0F56D499">
      <w:pPr>
        <w:spacing w:line="276" w:lineRule="auto"/>
        <w:rPr>
          <w:rFonts w:ascii="Arial" w:hAnsi="Arial" w:cs="Arial"/>
          <w:sz w:val="20"/>
          <w:szCs w:val="20"/>
        </w:rPr>
      </w:pPr>
      <w:r>
        <w:rPr>
          <w:rFonts w:hint="eastAsia" w:ascii="Arial" w:hAnsi="Arial" w:cs="Arial"/>
          <w:sz w:val="20"/>
          <w:szCs w:val="20"/>
        </w:rPr>
        <w:t>Tumor tissues from orthotopic lung cancer mice were fixed, paraffin-embedded, and sectioned at 5 μm. After deparaffinization and antigen retrieval in citrate buffer (pH 6.0), endogenous peroxidase was blocked. Sections were blocked with normal goat serum and incubated overnight at 4°C with an anti-IL-17A primary antibody (Abcam), followed by an HRP-conjugated secondary antibody and DAB development, with hematoxylin counterstaining.For quantification, whole-slide or multiple high-power fields</w:t>
      </w:r>
      <w:r>
        <w:rPr>
          <w:rFonts w:hint="eastAsia" w:ascii="Arial" w:hAnsi="Arial" w:cs="Arial"/>
          <w:sz w:val="20"/>
          <w:szCs w:val="20"/>
          <w:lang w:val="en-US" w:eastAsia="zh-CN"/>
        </w:rPr>
        <w:t xml:space="preserve"> </w:t>
      </w:r>
      <w:r>
        <w:rPr>
          <w:rFonts w:hint="eastAsia" w:ascii="Arial" w:hAnsi="Arial" w:cs="Arial"/>
          <w:sz w:val="20"/>
          <w:szCs w:val="20"/>
        </w:rPr>
        <w:t>were digitally captured. Using ImageJ software, the IL-17A-positive area (brown DAB) was segmented from the background via color deconvolution and thresholding. The Average Optical Density (AOD) was calculated as AOD = Integrated Optical Density (IOD) of the positive area / Total positive area, and compared statistically across groups.</w:t>
      </w:r>
    </w:p>
    <w:p w14:paraId="726FBBA6">
      <w:pPr>
        <w:spacing w:line="276" w:lineRule="auto"/>
        <w:rPr>
          <w:rFonts w:hint="eastAsia" w:ascii="Arial" w:hAnsi="Arial" w:cs="Arial"/>
          <w:b/>
          <w:bCs/>
          <w:sz w:val="20"/>
          <w:szCs w:val="20"/>
        </w:rPr>
      </w:pPr>
    </w:p>
    <w:p w14:paraId="437EB462">
      <w:pPr>
        <w:spacing w:line="276" w:lineRule="auto"/>
        <w:rPr>
          <w:rFonts w:hint="default" w:ascii="Arial" w:hAnsi="Arial" w:cs="Arial"/>
          <w:b/>
          <w:bCs/>
          <w:sz w:val="20"/>
          <w:szCs w:val="20"/>
        </w:rPr>
      </w:pPr>
      <w:r>
        <w:rPr>
          <w:rFonts w:hint="default" w:ascii="Arial" w:hAnsi="Arial" w:cs="Arial"/>
          <w:b/>
          <w:bCs/>
          <w:sz w:val="20"/>
          <w:szCs w:val="20"/>
        </w:rPr>
        <w:t>Statistical analysis</w:t>
      </w:r>
    </w:p>
    <w:p w14:paraId="3E1C516B">
      <w:pPr>
        <w:rPr>
          <w:rFonts w:hint="eastAsia" w:eastAsia="宋体"/>
          <w:lang w:val="en-US" w:eastAsia="zh-CN"/>
        </w:rPr>
      </w:pPr>
      <w:r>
        <w:rPr>
          <w:rFonts w:ascii="Arial" w:hAnsi="Arial" w:eastAsia="Helvetica" w:cs="Arial"/>
          <w:color w:val="1A1A1A"/>
          <w:sz w:val="20"/>
          <w:szCs w:val="20"/>
          <w:shd w:val="clear" w:color="auto" w:fill="FFFFFF"/>
        </w:rPr>
        <w:t>GraphPad Software</w:t>
      </w:r>
      <w:r>
        <w:rPr>
          <w:rFonts w:hint="eastAsia" w:ascii="Arial" w:hAnsi="Arial" w:cs="Arial"/>
          <w:color w:val="1A1A1A"/>
          <w:sz w:val="20"/>
          <w:szCs w:val="20"/>
          <w:shd w:val="clear" w:color="auto" w:fill="FFFFFF"/>
        </w:rPr>
        <w:t xml:space="preserve"> </w:t>
      </w:r>
      <w:r>
        <w:rPr>
          <w:rFonts w:ascii="Arial" w:hAnsi="Arial" w:cs="Arial"/>
          <w:color w:val="1A1A1A"/>
          <w:sz w:val="20"/>
          <w:szCs w:val="20"/>
          <w:shd w:val="clear" w:color="auto" w:fill="FFFFFF"/>
        </w:rPr>
        <w:t>10.0</w:t>
      </w:r>
      <w:r>
        <w:rPr>
          <w:rFonts w:ascii="Arial" w:hAnsi="Arial" w:eastAsia="Helvetica" w:cs="Arial"/>
          <w:color w:val="1A1A1A"/>
          <w:sz w:val="20"/>
          <w:szCs w:val="20"/>
          <w:shd w:val="clear" w:color="auto" w:fill="FFFFFF"/>
        </w:rPr>
        <w:t xml:space="preserve"> was used to graph and analyze </w:t>
      </w:r>
      <w:r>
        <w:rPr>
          <w:rFonts w:ascii="Arial" w:hAnsi="Arial" w:cs="Arial"/>
          <w:color w:val="1A1A1A"/>
          <w:sz w:val="20"/>
          <w:szCs w:val="20"/>
          <w:shd w:val="clear" w:color="auto" w:fill="FFFFFF"/>
        </w:rPr>
        <w:t>normally distributed variables</w:t>
      </w:r>
      <w:r>
        <w:rPr>
          <w:rFonts w:hint="eastAsia" w:ascii="Arial" w:hAnsi="Arial" w:cs="Arial"/>
          <w:color w:val="1A1A1A"/>
          <w:sz w:val="20"/>
          <w:szCs w:val="20"/>
          <w:shd w:val="clear" w:color="auto" w:fill="FFFFFF"/>
        </w:rPr>
        <w:t xml:space="preserve"> </w:t>
      </w:r>
      <w:r>
        <w:rPr>
          <w:rFonts w:ascii="Arial" w:hAnsi="Arial" w:eastAsia="Helvetica" w:cs="Arial"/>
          <w:color w:val="1A1A1A"/>
          <w:sz w:val="20"/>
          <w:szCs w:val="20"/>
          <w:shd w:val="clear" w:color="auto" w:fill="FFFFFF"/>
        </w:rPr>
        <w:t>by</w:t>
      </w:r>
      <w:r>
        <w:rPr>
          <w:rFonts w:hint="eastAsia" w:ascii="Arial" w:hAnsi="Arial" w:cs="Arial"/>
          <w:color w:val="1A1A1A"/>
          <w:sz w:val="20"/>
          <w:szCs w:val="20"/>
          <w:shd w:val="clear" w:color="auto" w:fill="FFFFFF"/>
        </w:rPr>
        <w:t xml:space="preserve"> </w:t>
      </w:r>
      <w:r>
        <w:rPr>
          <w:rFonts w:ascii="Arial" w:hAnsi="Arial" w:eastAsia="Helvetica" w:cs="Arial"/>
          <w:color w:val="1A1A1A"/>
          <w:sz w:val="20"/>
          <w:szCs w:val="20"/>
          <w:shd w:val="clear" w:color="auto" w:fill="FFFFFF"/>
        </w:rPr>
        <w:t>unpaired Student </w:t>
      </w:r>
      <w:r>
        <w:rPr>
          <w:rStyle w:val="8"/>
          <w:rFonts w:ascii="Arial" w:hAnsi="Arial" w:eastAsia="Helvetica" w:cs="Arial"/>
          <w:iCs/>
          <w:color w:val="1A1A1A"/>
          <w:sz w:val="20"/>
          <w:szCs w:val="20"/>
          <w:shd w:val="clear" w:color="auto" w:fill="FFFFFF"/>
        </w:rPr>
        <w:t>t</w:t>
      </w:r>
      <w:r>
        <w:rPr>
          <w:rFonts w:ascii="Arial" w:hAnsi="Arial" w:eastAsia="Helvetica" w:cs="Arial"/>
          <w:color w:val="1A1A1A"/>
          <w:sz w:val="20"/>
          <w:szCs w:val="20"/>
          <w:shd w:val="clear" w:color="auto" w:fill="FFFFFF"/>
        </w:rPr>
        <w:t> test.</w:t>
      </w:r>
      <w:r>
        <w:rPr>
          <w:rFonts w:ascii="Arial" w:hAnsi="Arial" w:cs="Arial"/>
          <w:sz w:val="20"/>
          <w:szCs w:val="20"/>
        </w:rPr>
        <w:t xml:space="preserve"> Non-normally distributed variables (all measures) were analyzed using Mann-Whitney U tests.</w:t>
      </w:r>
      <w:r>
        <w:rPr>
          <w:rFonts w:ascii="Arial" w:hAnsi="Arial" w:eastAsia="Helvetica" w:cs="Arial"/>
          <w:color w:val="1A1A1A"/>
          <w:sz w:val="20"/>
          <w:szCs w:val="20"/>
          <w:shd w:val="clear" w:color="auto" w:fill="FFFFFF"/>
        </w:rPr>
        <w:t xml:space="preserve"> </w:t>
      </w:r>
      <w:r>
        <w:rPr>
          <w:rFonts w:hint="eastAsia" w:ascii="Arial" w:hAnsi="Arial" w:eastAsia="Helvetica" w:cs="Arial"/>
          <w:color w:val="1A1A1A"/>
          <w:sz w:val="20"/>
          <w:szCs w:val="20"/>
          <w:shd w:val="clear" w:color="auto" w:fill="FFFFFF"/>
        </w:rPr>
        <w:t xml:space="preserve"> Correlation analyses were performed using Spearman’s rank correlation method.</w:t>
      </w:r>
      <w:r>
        <w:rPr>
          <w:rFonts w:ascii="Arial" w:hAnsi="Arial" w:eastAsia="Helvetica" w:cs="Arial"/>
          <w:color w:val="1A1A1A"/>
          <w:sz w:val="20"/>
          <w:szCs w:val="20"/>
          <w:shd w:val="clear" w:color="auto" w:fill="FFFFFF"/>
        </w:rPr>
        <w:t>Significance was defined as follows: *</w:t>
      </w:r>
      <w:r>
        <w:rPr>
          <w:rStyle w:val="8"/>
          <w:rFonts w:ascii="Arial" w:hAnsi="Arial" w:eastAsia="Helvetica" w:cs="Arial"/>
          <w:iCs/>
          <w:color w:val="1A1A1A"/>
          <w:sz w:val="20"/>
          <w:szCs w:val="20"/>
          <w:shd w:val="clear" w:color="auto" w:fill="FFFFFF"/>
        </w:rPr>
        <w:t>p</w:t>
      </w:r>
      <w:r>
        <w:rPr>
          <w:rFonts w:ascii="Arial" w:hAnsi="Arial" w:eastAsia="Helvetica" w:cs="Arial"/>
          <w:color w:val="1A1A1A"/>
          <w:sz w:val="20"/>
          <w:szCs w:val="20"/>
          <w:shd w:val="clear" w:color="auto" w:fill="FFFFFF"/>
        </w:rPr>
        <w:t> &lt; 0.05, ** </w:t>
      </w:r>
      <w:r>
        <w:rPr>
          <w:rStyle w:val="8"/>
          <w:rFonts w:ascii="Arial" w:hAnsi="Arial" w:eastAsia="Helvetica" w:cs="Arial"/>
          <w:iCs/>
          <w:color w:val="1A1A1A"/>
          <w:sz w:val="20"/>
          <w:szCs w:val="20"/>
          <w:shd w:val="clear" w:color="auto" w:fill="FFFFFF"/>
        </w:rPr>
        <w:t>p</w:t>
      </w:r>
      <w:r>
        <w:rPr>
          <w:rFonts w:ascii="Arial" w:hAnsi="Arial" w:eastAsia="Helvetica" w:cs="Arial"/>
          <w:color w:val="1A1A1A"/>
          <w:sz w:val="20"/>
          <w:szCs w:val="20"/>
          <w:shd w:val="clear" w:color="auto" w:fill="FFFFFF"/>
        </w:rPr>
        <w:t> &lt; 0.01 and</w:t>
      </w:r>
      <w:r>
        <w:rPr>
          <w:rFonts w:hint="eastAsia" w:ascii="Arial" w:hAnsi="Arial" w:eastAsia="宋体" w:cs="Arial"/>
          <w:color w:val="1A1A1A"/>
          <w:sz w:val="20"/>
          <w:szCs w:val="20"/>
          <w:shd w:val="clear" w:color="auto" w:fill="FFFFFF"/>
          <w:lang w:val="en-US" w:eastAsia="zh-CN"/>
        </w:rPr>
        <w:t xml:space="preserve"> </w:t>
      </w:r>
      <w:r>
        <w:rPr>
          <w:rFonts w:ascii="Arial" w:hAnsi="Arial" w:eastAsia="Helvetica" w:cs="Arial"/>
          <w:color w:val="1A1A1A"/>
          <w:sz w:val="20"/>
          <w:szCs w:val="20"/>
          <w:shd w:val="clear" w:color="auto" w:fill="FFFFFF"/>
        </w:rPr>
        <w:t>***</w:t>
      </w:r>
      <w:r>
        <w:rPr>
          <w:rStyle w:val="8"/>
          <w:rFonts w:ascii="Arial" w:hAnsi="Arial" w:eastAsia="Helvetica" w:cs="Arial"/>
          <w:iCs/>
          <w:color w:val="1A1A1A"/>
          <w:sz w:val="20"/>
          <w:szCs w:val="20"/>
          <w:shd w:val="clear" w:color="auto" w:fill="FFFFFF"/>
        </w:rPr>
        <w:t>p</w:t>
      </w:r>
      <w:r>
        <w:rPr>
          <w:rFonts w:ascii="Arial" w:hAnsi="Arial" w:eastAsia="Helvetica" w:cs="Arial"/>
          <w:color w:val="1A1A1A"/>
          <w:sz w:val="20"/>
          <w:szCs w:val="20"/>
          <w:shd w:val="clear" w:color="auto" w:fill="FFFFFF"/>
        </w:rPr>
        <w:t xml:space="preserve"> &lt; 0.001. </w:t>
      </w:r>
      <w:r>
        <w:rPr>
          <w:rFonts w:hint="eastAsia" w:ascii="Arial" w:hAnsi="Arial" w:eastAsia="Helvetica" w:cs="Arial"/>
          <w:color w:val="1A1A1A"/>
          <w:sz w:val="20"/>
          <w:szCs w:val="20"/>
          <w:shd w:val="clear" w:color="auto" w:fill="FFFFFF"/>
        </w:rPr>
        <w:t>Data from normally distributed variables are presented as mean ± SEM; non-normally distributed data are presented as median (</w:t>
      </w:r>
      <w:r>
        <w:rPr>
          <w:rFonts w:hint="eastAsia" w:ascii="Arial" w:hAnsi="Arial" w:eastAsia="宋体" w:cs="Arial"/>
          <w:color w:val="1A1A1A"/>
          <w:sz w:val="20"/>
          <w:szCs w:val="20"/>
          <w:shd w:val="clear" w:color="auto" w:fill="FFFFFF"/>
          <w:lang w:val="en-US" w:eastAsia="zh-CN"/>
        </w:rPr>
        <w:t>Q1,Q3</w:t>
      </w:r>
      <w:r>
        <w:rPr>
          <w:rFonts w:hint="eastAsia" w:ascii="Arial" w:hAnsi="Arial" w:eastAsia="Helvetica" w:cs="Arial"/>
          <w:color w:val="1A1A1A"/>
          <w:sz w:val="20"/>
          <w:szCs w:val="20"/>
          <w:shd w:val="clear" w:color="auto" w:fill="FFFFFF"/>
        </w:rPr>
        <w:t>)</w:t>
      </w:r>
      <w:r>
        <w:rPr>
          <w:rFonts w:hint="eastAsia" w:ascii="Arial" w:hAnsi="Arial" w:eastAsia="宋体" w:cs="Arial"/>
          <w:color w:val="1A1A1A"/>
          <w:sz w:val="20"/>
          <w:szCs w:val="20"/>
          <w:shd w:val="clear" w:color="auto" w:fill="FFFFFF"/>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341AE0"/>
    <w:rsid w:val="01E92AC4"/>
    <w:rsid w:val="2BF63E4E"/>
    <w:rsid w:val="4770243A"/>
    <w:rsid w:val="52952D55"/>
    <w:rsid w:val="5C6A3F99"/>
    <w:rsid w:val="5F4A0903"/>
    <w:rsid w:val="6EF519DD"/>
    <w:rsid w:val="74341AE0"/>
    <w:rsid w:val="74E91C4E"/>
    <w:rsid w:val="7ADF3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6">
    <w:name w:val="Default Paragraph Font"/>
    <w:semiHidden/>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1352</Words>
  <Characters>9078</Characters>
  <Lines>0</Lines>
  <Paragraphs>0</Paragraphs>
  <TotalTime>3</TotalTime>
  <ScaleCrop>false</ScaleCrop>
  <LinksUpToDate>false</LinksUpToDate>
  <CharactersWithSpaces>10414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2025-10-31T11:26:00Z</dcterms:created>
  <dc:creator>canoe</dc:creator>
  <cp:lastModifiedBy>西柚味  咯</cp:lastModifiedBy>
  <dcterms:modified xsi:type="dcterms:W3CDTF">2026-01-04T03:14:25Z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773F79D4DDDF458EA2F2D7BE470CB68A_11</vt:lpwstr>
  </property>
  <property fmtid="{D5CDD505-2E9C-101B-9397-08002B2CF9AE}" pid="4" name="KSOTemplateDocerSaveRecord">
    <vt:lpwstr>eyJoZGlkIjoiYjBhYmI5OWIzM2I4Y2VjMTcwZjgxYTc4MzNjNzE3ZTIiLCJ1c2VySWQiOiI0MDk3NTMxMTYifQ==</vt:lpwstr>
  </property>
</Properties>
</file>