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6B5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kern w:val="44"/>
          <w:sz w:val="20"/>
          <w:szCs w:val="20"/>
          <w:highlight w:val="none"/>
          <w:lang w:val="en-US" w:eastAsia="zh-CN" w:bidi="ar"/>
        </w:rPr>
      </w:pPr>
      <w:r>
        <w:rPr>
          <w:rFonts w:hint="default" w:ascii="Times New Roman" w:hAnsi="Times New Roman" w:cs="Times New Roman"/>
          <w:b/>
          <w:bCs/>
          <w:kern w:val="44"/>
          <w:sz w:val="20"/>
          <w:szCs w:val="20"/>
          <w:highlight w:val="none"/>
          <w:lang w:bidi="ar"/>
        </w:rPr>
        <w:t xml:space="preserve">Supplementary </w:t>
      </w:r>
      <w:r>
        <w:rPr>
          <w:rFonts w:hint="default" w:ascii="Times New Roman" w:hAnsi="Times New Roman" w:cs="Times New Roman"/>
          <w:b/>
          <w:bCs/>
          <w:kern w:val="44"/>
          <w:sz w:val="20"/>
          <w:szCs w:val="20"/>
          <w:highlight w:val="none"/>
          <w:lang w:bidi="ar"/>
        </w:rPr>
        <w:fldChar w:fldCharType="begin"/>
      </w:r>
      <w:r>
        <w:rPr>
          <w:rFonts w:hint="default" w:ascii="Times New Roman" w:hAnsi="Times New Roman" w:cs="Times New Roman"/>
          <w:b/>
          <w:bCs/>
          <w:kern w:val="44"/>
          <w:sz w:val="20"/>
          <w:szCs w:val="20"/>
          <w:highlight w:val="none"/>
          <w:lang w:bidi="ar"/>
        </w:rPr>
        <w:instrText xml:space="preserve"> HYPERLINK "https://pmc.ncbi.nlm.nih.gov/articles/PMC10826138/" \l "appsec1" </w:instrText>
      </w:r>
      <w:r>
        <w:rPr>
          <w:rFonts w:hint="default" w:ascii="Times New Roman" w:hAnsi="Times New Roman" w:cs="Times New Roman"/>
          <w:b/>
          <w:bCs/>
          <w:kern w:val="44"/>
          <w:sz w:val="20"/>
          <w:szCs w:val="20"/>
          <w:highlight w:val="none"/>
          <w:lang w:bidi="ar"/>
        </w:rPr>
        <w:fldChar w:fldCharType="separate"/>
      </w:r>
      <w:r>
        <w:rPr>
          <w:rFonts w:hint="default" w:ascii="Times New Roman" w:hAnsi="Times New Roman" w:cs="Times New Roman"/>
          <w:b/>
          <w:bCs/>
          <w:kern w:val="44"/>
          <w:sz w:val="20"/>
          <w:szCs w:val="20"/>
          <w:highlight w:val="none"/>
          <w:lang w:bidi="ar"/>
        </w:rPr>
        <w:t xml:space="preserve">Table </w:t>
      </w:r>
      <w:r>
        <w:rPr>
          <w:rFonts w:hint="default" w:ascii="Times New Roman" w:hAnsi="Times New Roman" w:cs="Times New Roman"/>
          <w:b/>
          <w:bCs/>
          <w:kern w:val="44"/>
          <w:sz w:val="20"/>
          <w:szCs w:val="20"/>
          <w:highlight w:val="none"/>
          <w:lang w:bidi="ar"/>
        </w:rPr>
        <w:fldChar w:fldCharType="end"/>
      </w:r>
      <w:r>
        <w:rPr>
          <w:rFonts w:hint="eastAsia" w:ascii="Times New Roman" w:hAnsi="Times New Roman" w:cs="Times New Roman"/>
          <w:b/>
          <w:bCs/>
          <w:kern w:val="44"/>
          <w:sz w:val="20"/>
          <w:szCs w:val="20"/>
          <w:highlight w:val="none"/>
          <w:lang w:val="en-US" w:eastAsia="zh-CN" w:bidi="ar"/>
        </w:rPr>
        <w:t xml:space="preserve">1. </w:t>
      </w:r>
      <w:r>
        <w:rPr>
          <w:rFonts w:hint="default" w:ascii="Times New Roman" w:hAnsi="Times New Roman" w:cs="Times New Roman"/>
          <w:b w:val="0"/>
          <w:bCs w:val="0"/>
          <w:kern w:val="44"/>
          <w:sz w:val="20"/>
          <w:szCs w:val="20"/>
          <w:highlight w:val="none"/>
          <w:lang w:bidi="ar"/>
        </w:rPr>
        <w:t>Regression coefficients, standard errors, odds ratios, and 95% confidence intervals of the propensity score model for treatment assignment.</w:t>
      </w:r>
    </w:p>
    <w:p w14:paraId="4BC7E60A">
      <w:pPr>
        <w:rPr>
          <w:sz w:val="20"/>
          <w:szCs w:val="20"/>
        </w:rPr>
      </w:pPr>
    </w:p>
    <w:tbl>
      <w:tblPr>
        <w:tblStyle w:val="4"/>
        <w:tblW w:w="8209" w:type="dxa"/>
        <w:tblInd w:w="91"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11"/>
        <w:gridCol w:w="1470"/>
        <w:gridCol w:w="1147"/>
        <w:gridCol w:w="2063"/>
        <w:gridCol w:w="918"/>
      </w:tblGrid>
      <w:tr w14:paraId="1BBDB6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2611" w:type="dxa"/>
            <w:tcBorders>
              <w:bottom w:val="single" w:color="auto" w:sz="4" w:space="0"/>
            </w:tcBorders>
            <w:shd w:val="clear" w:color="auto" w:fill="auto"/>
            <w:noWrap/>
            <w:vAlign w:val="center"/>
          </w:tcPr>
          <w:p w14:paraId="2A96C98C">
            <w:pPr>
              <w:keepNext w:val="0"/>
              <w:keepLines w:val="0"/>
              <w:widowControl/>
              <w:suppressLineNumbers w:val="0"/>
              <w:jc w:val="left"/>
              <w:textAlignment w:val="center"/>
              <w:rPr>
                <w:rFonts w:hint="eastAsia" w:ascii="Times New Roman" w:hAnsi="Times New Roman" w:eastAsia="Segoe UI" w:cs="Times New Roman"/>
                <w:b/>
                <w:bCs/>
                <w:i w:val="0"/>
                <w:iCs w:val="0"/>
                <w:color w:val="000000"/>
                <w:kern w:val="0"/>
                <w:sz w:val="20"/>
                <w:szCs w:val="20"/>
                <w:highlight w:val="none"/>
                <w:u w:val="none"/>
                <w:lang w:val="en-US" w:eastAsia="zh-CN" w:bidi="ar"/>
              </w:rPr>
            </w:pPr>
            <w:r>
              <w:rPr>
                <w:rFonts w:hint="eastAsia" w:ascii="Times New Roman" w:hAnsi="Times New Roman" w:eastAsia="Segoe UI" w:cs="Times New Roman"/>
                <w:b/>
                <w:bCs/>
                <w:i w:val="0"/>
                <w:iCs w:val="0"/>
                <w:color w:val="000000"/>
                <w:kern w:val="0"/>
                <w:sz w:val="20"/>
                <w:szCs w:val="20"/>
                <w:highlight w:val="none"/>
                <w:u w:val="none"/>
                <w:lang w:val="en-US" w:eastAsia="zh-CN" w:bidi="ar"/>
              </w:rPr>
              <w:t>Variable</w:t>
            </w:r>
          </w:p>
        </w:tc>
        <w:tc>
          <w:tcPr>
            <w:tcW w:w="1470" w:type="dxa"/>
            <w:tcBorders>
              <w:bottom w:val="single" w:color="auto" w:sz="4" w:space="0"/>
            </w:tcBorders>
            <w:shd w:val="clear" w:color="auto" w:fill="auto"/>
            <w:noWrap/>
            <w:vAlign w:val="center"/>
          </w:tcPr>
          <w:p w14:paraId="1A6B7BAF">
            <w:pPr>
              <w:keepNext w:val="0"/>
              <w:keepLines w:val="0"/>
              <w:widowControl/>
              <w:suppressLineNumbers w:val="0"/>
              <w:jc w:val="left"/>
              <w:textAlignment w:val="center"/>
              <w:rPr>
                <w:rFonts w:hint="eastAsia" w:ascii="Times New Roman" w:hAnsi="Times New Roman" w:eastAsia="Segoe UI" w:cs="Times New Roman"/>
                <w:b/>
                <w:bCs/>
                <w:i w:val="0"/>
                <w:iCs w:val="0"/>
                <w:color w:val="000000"/>
                <w:kern w:val="0"/>
                <w:sz w:val="20"/>
                <w:szCs w:val="20"/>
                <w:highlight w:val="none"/>
                <w:u w:val="none"/>
                <w:lang w:val="en-US" w:eastAsia="zh-CN" w:bidi="ar"/>
              </w:rPr>
            </w:pPr>
            <w:r>
              <w:rPr>
                <w:rFonts w:hint="eastAsia" w:ascii="Times New Roman" w:hAnsi="Times New Roman" w:eastAsia="Segoe UI" w:cs="Times New Roman"/>
                <w:b/>
                <w:bCs/>
                <w:i w:val="0"/>
                <w:iCs w:val="0"/>
                <w:color w:val="000000"/>
                <w:kern w:val="0"/>
                <w:sz w:val="20"/>
                <w:szCs w:val="20"/>
                <w:highlight w:val="none"/>
                <w:u w:val="none"/>
                <w:lang w:val="en-US" w:eastAsia="zh-CN" w:bidi="ar"/>
              </w:rPr>
              <w:t>Estimate</w:t>
            </w:r>
          </w:p>
        </w:tc>
        <w:tc>
          <w:tcPr>
            <w:tcW w:w="1147" w:type="dxa"/>
            <w:tcBorders>
              <w:bottom w:val="single" w:color="auto" w:sz="4" w:space="0"/>
            </w:tcBorders>
            <w:shd w:val="clear" w:color="auto" w:fill="auto"/>
            <w:noWrap/>
            <w:vAlign w:val="center"/>
          </w:tcPr>
          <w:p w14:paraId="4E783FD6">
            <w:pPr>
              <w:keepNext w:val="0"/>
              <w:keepLines w:val="0"/>
              <w:widowControl/>
              <w:suppressLineNumbers w:val="0"/>
              <w:jc w:val="left"/>
              <w:textAlignment w:val="center"/>
              <w:rPr>
                <w:rFonts w:hint="eastAsia" w:ascii="Times New Roman" w:hAnsi="Times New Roman" w:eastAsia="Segoe UI" w:cs="Times New Roman"/>
                <w:b/>
                <w:bCs/>
                <w:i w:val="0"/>
                <w:iCs w:val="0"/>
                <w:color w:val="000000"/>
                <w:kern w:val="0"/>
                <w:sz w:val="20"/>
                <w:szCs w:val="20"/>
                <w:highlight w:val="none"/>
                <w:u w:val="none"/>
                <w:lang w:val="en-US" w:eastAsia="zh-CN" w:bidi="ar"/>
              </w:rPr>
            </w:pPr>
            <w:r>
              <w:rPr>
                <w:rFonts w:hint="eastAsia" w:ascii="Times New Roman" w:hAnsi="Times New Roman" w:eastAsia="Segoe UI" w:cs="Times New Roman"/>
                <w:b/>
                <w:bCs/>
                <w:i w:val="0"/>
                <w:iCs w:val="0"/>
                <w:color w:val="000000"/>
                <w:kern w:val="0"/>
                <w:sz w:val="20"/>
                <w:szCs w:val="20"/>
                <w:highlight w:val="none"/>
                <w:u w:val="none"/>
                <w:lang w:val="en-US" w:eastAsia="zh-CN" w:bidi="ar"/>
              </w:rPr>
              <w:t>Std. Error</w:t>
            </w:r>
          </w:p>
        </w:tc>
        <w:tc>
          <w:tcPr>
            <w:tcW w:w="2063" w:type="dxa"/>
            <w:tcBorders>
              <w:bottom w:val="single" w:color="auto" w:sz="4" w:space="0"/>
            </w:tcBorders>
            <w:shd w:val="clear" w:color="auto" w:fill="auto"/>
            <w:noWrap/>
            <w:vAlign w:val="center"/>
          </w:tcPr>
          <w:p w14:paraId="7A1D802E">
            <w:pPr>
              <w:keepNext w:val="0"/>
              <w:keepLines w:val="0"/>
              <w:widowControl/>
              <w:suppressLineNumbers w:val="0"/>
              <w:jc w:val="left"/>
              <w:textAlignment w:val="center"/>
              <w:rPr>
                <w:rFonts w:hint="default" w:ascii="Times New Roman" w:hAnsi="Times New Roman" w:eastAsia="Segoe UI" w:cs="Times New Roman"/>
                <w:b/>
                <w:bCs/>
                <w:i w:val="0"/>
                <w:iCs w:val="0"/>
                <w:color w:val="000000"/>
                <w:kern w:val="0"/>
                <w:sz w:val="20"/>
                <w:szCs w:val="20"/>
                <w:highlight w:val="none"/>
                <w:u w:val="none"/>
                <w:lang w:val="en-US" w:eastAsia="zh-CN" w:bidi="ar"/>
              </w:rPr>
            </w:pPr>
            <w:r>
              <w:rPr>
                <w:rFonts w:hint="eastAsia" w:ascii="Times New Roman" w:hAnsi="Times New Roman" w:eastAsia="Segoe UI" w:cs="Times New Roman"/>
                <w:b/>
                <w:bCs/>
                <w:i w:val="0"/>
                <w:iCs w:val="0"/>
                <w:color w:val="000000"/>
                <w:kern w:val="0"/>
                <w:sz w:val="20"/>
                <w:szCs w:val="20"/>
                <w:highlight w:val="none"/>
                <w:u w:val="none"/>
                <w:lang w:val="en-US" w:eastAsia="zh-CN" w:bidi="ar"/>
              </w:rPr>
              <w:t>OR (95% CI)</w:t>
            </w:r>
          </w:p>
        </w:tc>
        <w:tc>
          <w:tcPr>
            <w:tcW w:w="918" w:type="dxa"/>
            <w:tcBorders>
              <w:bottom w:val="single" w:color="auto" w:sz="4" w:space="0"/>
            </w:tcBorders>
            <w:shd w:val="clear" w:color="auto" w:fill="auto"/>
            <w:noWrap/>
            <w:vAlign w:val="center"/>
          </w:tcPr>
          <w:p w14:paraId="57735060">
            <w:pPr>
              <w:keepNext w:val="0"/>
              <w:keepLines w:val="0"/>
              <w:widowControl/>
              <w:suppressLineNumbers w:val="0"/>
              <w:jc w:val="right"/>
              <w:textAlignment w:val="center"/>
              <w:rPr>
                <w:rFonts w:hint="eastAsia" w:ascii="Times New Roman" w:hAnsi="Times New Roman" w:eastAsia="Segoe UI" w:cs="Times New Roman"/>
                <w:b/>
                <w:bCs/>
                <w:i w:val="0"/>
                <w:iCs w:val="0"/>
                <w:color w:val="000000"/>
                <w:kern w:val="0"/>
                <w:sz w:val="20"/>
                <w:szCs w:val="20"/>
                <w:highlight w:val="none"/>
                <w:u w:val="none"/>
                <w:lang w:val="en-US" w:eastAsia="zh-CN" w:bidi="ar"/>
              </w:rPr>
            </w:pPr>
            <w:r>
              <w:rPr>
                <w:rFonts w:hint="eastAsia" w:ascii="Times New Roman" w:hAnsi="Times New Roman" w:eastAsia="Segoe UI" w:cs="Times New Roman"/>
                <w:b/>
                <w:bCs/>
                <w:i w:val="0"/>
                <w:iCs w:val="0"/>
                <w:color w:val="000000"/>
                <w:kern w:val="0"/>
                <w:sz w:val="20"/>
                <w:szCs w:val="20"/>
                <w:highlight w:val="none"/>
                <w:u w:val="none"/>
                <w:lang w:val="en-US" w:eastAsia="zh-CN" w:bidi="ar"/>
              </w:rPr>
              <w:t>P value</w:t>
            </w:r>
          </w:p>
        </w:tc>
      </w:tr>
      <w:tr w14:paraId="566CB8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2611" w:type="dxa"/>
            <w:tcBorders>
              <w:top w:val="single" w:color="auto" w:sz="4" w:space="0"/>
              <w:tl2br w:val="nil"/>
              <w:tr2bl w:val="nil"/>
            </w:tcBorders>
            <w:shd w:val="clear" w:color="auto" w:fill="auto"/>
            <w:noWrap/>
            <w:vAlign w:val="center"/>
          </w:tcPr>
          <w:p w14:paraId="76264FEB">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eastAsia" w:ascii="Times New Roman" w:hAnsi="Times New Roman" w:eastAsia="Segoe UI" w:cs="Times New Roman"/>
                <w:i w:val="0"/>
                <w:iCs w:val="0"/>
                <w:color w:val="000000"/>
                <w:kern w:val="0"/>
                <w:sz w:val="20"/>
                <w:szCs w:val="20"/>
                <w:highlight w:val="none"/>
                <w:u w:val="none"/>
                <w:lang w:val="en-US" w:eastAsia="zh-CN" w:bidi="ar"/>
              </w:rPr>
              <w:t>Intercept</w:t>
            </w:r>
          </w:p>
        </w:tc>
        <w:tc>
          <w:tcPr>
            <w:tcW w:w="1470" w:type="dxa"/>
            <w:tcBorders>
              <w:top w:val="single" w:color="auto" w:sz="4" w:space="0"/>
              <w:tl2br w:val="nil"/>
              <w:tr2bl w:val="nil"/>
            </w:tcBorders>
            <w:shd w:val="clear" w:color="auto" w:fill="auto"/>
            <w:noWrap/>
            <w:vAlign w:val="center"/>
          </w:tcPr>
          <w:p w14:paraId="124A7279">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-3.44 </w:t>
            </w:r>
          </w:p>
        </w:tc>
        <w:tc>
          <w:tcPr>
            <w:tcW w:w="1147" w:type="dxa"/>
            <w:tcBorders>
              <w:top w:val="single" w:color="auto" w:sz="4" w:space="0"/>
              <w:tl2br w:val="nil"/>
              <w:tr2bl w:val="nil"/>
            </w:tcBorders>
            <w:shd w:val="clear" w:color="auto" w:fill="auto"/>
            <w:noWrap/>
            <w:vAlign w:val="center"/>
          </w:tcPr>
          <w:p w14:paraId="45EFA212">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0.92 </w:t>
            </w:r>
          </w:p>
        </w:tc>
        <w:tc>
          <w:tcPr>
            <w:tcW w:w="2063" w:type="dxa"/>
            <w:tcBorders>
              <w:top w:val="single" w:color="auto" w:sz="4" w:space="0"/>
              <w:tl2br w:val="nil"/>
              <w:tr2bl w:val="nil"/>
            </w:tcBorders>
            <w:shd w:val="clear" w:color="auto" w:fill="auto"/>
            <w:noWrap/>
            <w:vAlign w:val="center"/>
          </w:tcPr>
          <w:p w14:paraId="03D4C0D3">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0.03 (0.01–0.20)</w:t>
            </w:r>
          </w:p>
        </w:tc>
        <w:tc>
          <w:tcPr>
            <w:tcW w:w="918" w:type="dxa"/>
            <w:tcBorders>
              <w:top w:val="single" w:color="auto" w:sz="4" w:space="0"/>
              <w:tl2br w:val="nil"/>
              <w:tr2bl w:val="nil"/>
            </w:tcBorders>
            <w:shd w:val="clear" w:color="auto" w:fill="auto"/>
            <w:noWrap/>
            <w:vAlign w:val="center"/>
          </w:tcPr>
          <w:p w14:paraId="7615EEB7">
            <w:pPr>
              <w:keepNext w:val="0"/>
              <w:keepLines w:val="0"/>
              <w:widowControl/>
              <w:suppressLineNumbers w:val="0"/>
              <w:jc w:val="righ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&lt; 0.001</w:t>
            </w:r>
          </w:p>
        </w:tc>
      </w:tr>
      <w:tr w14:paraId="70E8C1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53ACD254">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Age </w:t>
            </w:r>
            <w:r>
              <w:rPr>
                <w:rFonts w:hint="eastAsia" w:ascii="Times New Roman" w:hAnsi="Times New Roman" w:eastAsia="Segoe UI" w:cs="Times New Roman"/>
                <w:i w:val="0"/>
                <w:iCs w:val="0"/>
                <w:color w:val="000000"/>
                <w:kern w:val="0"/>
                <w:sz w:val="20"/>
                <w:szCs w:val="20"/>
                <w:highlight w:val="none"/>
                <w:u w:val="none"/>
                <w:lang w:val="en-US" w:eastAsia="zh-CN" w:bidi="ar"/>
              </w:rPr>
              <w:t>group</w:t>
            </w:r>
          </w:p>
        </w:tc>
        <w:tc>
          <w:tcPr>
            <w:tcW w:w="1470" w:type="dxa"/>
            <w:tcBorders>
              <w:tl2br w:val="nil"/>
              <w:tr2bl w:val="nil"/>
            </w:tcBorders>
            <w:shd w:val="clear" w:color="auto" w:fill="auto"/>
            <w:noWrap/>
            <w:vAlign w:val="center"/>
          </w:tcPr>
          <w:p w14:paraId="51497793">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-0.21 </w:t>
            </w:r>
          </w:p>
        </w:tc>
        <w:tc>
          <w:tcPr>
            <w:tcW w:w="1147" w:type="dxa"/>
            <w:tcBorders>
              <w:tl2br w:val="nil"/>
              <w:tr2bl w:val="nil"/>
            </w:tcBorders>
            <w:shd w:val="clear" w:color="auto" w:fill="auto"/>
            <w:noWrap/>
            <w:vAlign w:val="center"/>
          </w:tcPr>
          <w:p w14:paraId="49BCD3B4">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0.44 </w:t>
            </w:r>
          </w:p>
        </w:tc>
        <w:tc>
          <w:tcPr>
            <w:tcW w:w="2063" w:type="dxa"/>
            <w:tcBorders>
              <w:tl2br w:val="nil"/>
              <w:tr2bl w:val="nil"/>
            </w:tcBorders>
            <w:shd w:val="clear" w:color="auto" w:fill="auto"/>
            <w:noWrap/>
            <w:vAlign w:val="center"/>
          </w:tcPr>
          <w:p w14:paraId="277EB1A5">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0.82 (0.35–1.93)</w:t>
            </w:r>
          </w:p>
        </w:tc>
        <w:tc>
          <w:tcPr>
            <w:tcW w:w="918" w:type="dxa"/>
            <w:tcBorders>
              <w:tl2br w:val="nil"/>
              <w:tr2bl w:val="nil"/>
            </w:tcBorders>
            <w:shd w:val="clear" w:color="auto" w:fill="auto"/>
            <w:noWrap/>
            <w:vAlign w:val="center"/>
          </w:tcPr>
          <w:p w14:paraId="353DA35A">
            <w:pPr>
              <w:keepNext w:val="0"/>
              <w:keepLines w:val="0"/>
              <w:widowControl/>
              <w:suppressLineNumbers w:val="0"/>
              <w:jc w:val="righ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0.640 </w:t>
            </w:r>
          </w:p>
        </w:tc>
      </w:tr>
      <w:tr w14:paraId="6C422C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47A39676">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Sex</w:t>
            </w:r>
          </w:p>
        </w:tc>
        <w:tc>
          <w:tcPr>
            <w:tcW w:w="1470" w:type="dxa"/>
            <w:tcBorders>
              <w:tl2br w:val="nil"/>
              <w:tr2bl w:val="nil"/>
            </w:tcBorders>
            <w:shd w:val="clear" w:color="auto" w:fill="auto"/>
            <w:noWrap/>
            <w:vAlign w:val="center"/>
          </w:tcPr>
          <w:p w14:paraId="13B1BB7A">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0.55 </w:t>
            </w:r>
          </w:p>
        </w:tc>
        <w:tc>
          <w:tcPr>
            <w:tcW w:w="1147" w:type="dxa"/>
            <w:tcBorders>
              <w:tl2br w:val="nil"/>
              <w:tr2bl w:val="nil"/>
            </w:tcBorders>
            <w:shd w:val="clear" w:color="auto" w:fill="auto"/>
            <w:noWrap/>
            <w:vAlign w:val="center"/>
          </w:tcPr>
          <w:p w14:paraId="461C55CC">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0.43 </w:t>
            </w:r>
          </w:p>
        </w:tc>
        <w:tc>
          <w:tcPr>
            <w:tcW w:w="2063" w:type="dxa"/>
            <w:tcBorders>
              <w:tl2br w:val="nil"/>
              <w:tr2bl w:val="nil"/>
            </w:tcBorders>
            <w:shd w:val="clear" w:color="auto" w:fill="auto"/>
            <w:noWrap/>
            <w:vAlign w:val="center"/>
          </w:tcPr>
          <w:p w14:paraId="7CC91706">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1.73 (0.74–4.03)</w:t>
            </w:r>
          </w:p>
        </w:tc>
        <w:tc>
          <w:tcPr>
            <w:tcW w:w="918" w:type="dxa"/>
            <w:tcBorders>
              <w:tl2br w:val="nil"/>
              <w:tr2bl w:val="nil"/>
            </w:tcBorders>
            <w:shd w:val="clear" w:color="auto" w:fill="auto"/>
            <w:noWrap/>
            <w:vAlign w:val="center"/>
          </w:tcPr>
          <w:p w14:paraId="49EE37FF">
            <w:pPr>
              <w:keepNext w:val="0"/>
              <w:keepLines w:val="0"/>
              <w:widowControl/>
              <w:suppressLineNumbers w:val="0"/>
              <w:jc w:val="righ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0.203 </w:t>
            </w:r>
          </w:p>
        </w:tc>
      </w:tr>
      <w:tr w14:paraId="3F408F8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6094895B">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eastAsia" w:ascii="Times New Roman" w:hAnsi="Times New Roman" w:eastAsia="Segoe UI" w:cs="Times New Roman"/>
                <w:i w:val="0"/>
                <w:iCs w:val="0"/>
                <w:color w:val="000000"/>
                <w:kern w:val="0"/>
                <w:sz w:val="20"/>
                <w:szCs w:val="20"/>
                <w:highlight w:val="none"/>
                <w:u w:val="none"/>
                <w:lang w:val="en-US" w:eastAsia="zh-CN" w:bidi="ar"/>
              </w:rPr>
              <w:t>ECOG PS</w:t>
            </w:r>
          </w:p>
        </w:tc>
        <w:tc>
          <w:tcPr>
            <w:tcW w:w="1470" w:type="dxa"/>
            <w:tcBorders>
              <w:tl2br w:val="nil"/>
              <w:tr2bl w:val="nil"/>
            </w:tcBorders>
            <w:shd w:val="clear" w:color="auto" w:fill="auto"/>
            <w:noWrap/>
            <w:vAlign w:val="center"/>
          </w:tcPr>
          <w:p w14:paraId="71D60632">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-0.33 </w:t>
            </w:r>
          </w:p>
        </w:tc>
        <w:tc>
          <w:tcPr>
            <w:tcW w:w="1147" w:type="dxa"/>
            <w:tcBorders>
              <w:tl2br w:val="nil"/>
              <w:tr2bl w:val="nil"/>
            </w:tcBorders>
            <w:shd w:val="clear" w:color="auto" w:fill="auto"/>
            <w:noWrap/>
            <w:vAlign w:val="center"/>
          </w:tcPr>
          <w:p w14:paraId="208AF6D8">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0.59 </w:t>
            </w:r>
          </w:p>
        </w:tc>
        <w:tc>
          <w:tcPr>
            <w:tcW w:w="2063" w:type="dxa"/>
            <w:tcBorders>
              <w:tl2br w:val="nil"/>
              <w:tr2bl w:val="nil"/>
            </w:tcBorders>
            <w:shd w:val="clear" w:color="auto" w:fill="auto"/>
            <w:noWrap/>
            <w:vAlign w:val="center"/>
          </w:tcPr>
          <w:p w14:paraId="458D7FE9">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0.72 (0.23–2.28)</w:t>
            </w:r>
          </w:p>
        </w:tc>
        <w:tc>
          <w:tcPr>
            <w:tcW w:w="918" w:type="dxa"/>
            <w:tcBorders>
              <w:tl2br w:val="nil"/>
              <w:tr2bl w:val="nil"/>
            </w:tcBorders>
            <w:shd w:val="clear" w:color="auto" w:fill="auto"/>
            <w:noWrap/>
            <w:vAlign w:val="center"/>
          </w:tcPr>
          <w:p w14:paraId="76061C44">
            <w:pPr>
              <w:keepNext w:val="0"/>
              <w:keepLines w:val="0"/>
              <w:widowControl/>
              <w:suppressLineNumbers w:val="0"/>
              <w:jc w:val="righ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0.579 </w:t>
            </w:r>
          </w:p>
        </w:tc>
      </w:tr>
      <w:tr w14:paraId="4F20A9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3184C5EA">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Stage at treatment</w:t>
            </w:r>
          </w:p>
        </w:tc>
        <w:tc>
          <w:tcPr>
            <w:tcW w:w="1470" w:type="dxa"/>
            <w:tcBorders>
              <w:tl2br w:val="nil"/>
              <w:tr2bl w:val="nil"/>
            </w:tcBorders>
            <w:shd w:val="clear" w:color="auto" w:fill="auto"/>
            <w:noWrap/>
            <w:vAlign w:val="center"/>
          </w:tcPr>
          <w:p w14:paraId="77432E78">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0.39 </w:t>
            </w:r>
          </w:p>
        </w:tc>
        <w:tc>
          <w:tcPr>
            <w:tcW w:w="1147" w:type="dxa"/>
            <w:tcBorders>
              <w:tl2br w:val="nil"/>
              <w:tr2bl w:val="nil"/>
            </w:tcBorders>
            <w:shd w:val="clear" w:color="auto" w:fill="auto"/>
            <w:noWrap/>
            <w:vAlign w:val="center"/>
          </w:tcPr>
          <w:p w14:paraId="3BA72077">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0.59 </w:t>
            </w:r>
          </w:p>
        </w:tc>
        <w:tc>
          <w:tcPr>
            <w:tcW w:w="2063" w:type="dxa"/>
            <w:tcBorders>
              <w:tl2br w:val="nil"/>
              <w:tr2bl w:val="nil"/>
            </w:tcBorders>
            <w:shd w:val="clear" w:color="auto" w:fill="auto"/>
            <w:noWrap/>
            <w:vAlign w:val="center"/>
          </w:tcPr>
          <w:p w14:paraId="183F9E81">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1.48 (0.47–4.68)</w:t>
            </w:r>
          </w:p>
        </w:tc>
        <w:tc>
          <w:tcPr>
            <w:tcW w:w="918" w:type="dxa"/>
            <w:tcBorders>
              <w:tl2br w:val="nil"/>
              <w:tr2bl w:val="nil"/>
            </w:tcBorders>
            <w:shd w:val="clear" w:color="auto" w:fill="auto"/>
            <w:noWrap/>
            <w:vAlign w:val="center"/>
          </w:tcPr>
          <w:p w14:paraId="54B1A6E8">
            <w:pPr>
              <w:keepNext w:val="0"/>
              <w:keepLines w:val="0"/>
              <w:widowControl/>
              <w:suppressLineNumbers w:val="0"/>
              <w:jc w:val="righ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0.502 </w:t>
            </w:r>
          </w:p>
        </w:tc>
      </w:tr>
      <w:tr w14:paraId="1EC937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34E9C922">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Primary</w:t>
            </w:r>
            <w:r>
              <w:rPr>
                <w:rFonts w:hint="eastAsia" w:ascii="Times New Roman" w:hAnsi="Times New Roman" w:eastAsia="Segoe UI" w:cs="Times New Roman"/>
                <w:i w:val="0"/>
                <w:iCs w:val="0"/>
                <w:color w:val="000000"/>
                <w:kern w:val="0"/>
                <w:sz w:val="20"/>
                <w:szCs w:val="20"/>
                <w:highlight w:val="none"/>
                <w:u w:val="none"/>
                <w:lang w:val="en-US" w:eastAsia="zh-CN" w:bidi="ar"/>
              </w:rPr>
              <w:t xml:space="preserve"> </w:t>
            </w:r>
            <w:r>
              <w:rPr>
                <w:rFonts w:hint="default" w:ascii="Times New Roman" w:hAnsi="Times New Roman" w:eastAsia="Segoe UI" w:cs="Times New Roman"/>
                <w:i w:val="0"/>
                <w:iCs w:val="0"/>
                <w:color w:val="000000"/>
                <w:kern w:val="0"/>
                <w:sz w:val="20"/>
                <w:szCs w:val="20"/>
                <w:highlight w:val="none"/>
                <w:u w:val="none"/>
                <w:lang w:val="en-US" w:eastAsia="zh-CN" w:bidi="ar"/>
              </w:rPr>
              <w:t>site</w:t>
            </w:r>
          </w:p>
        </w:tc>
        <w:tc>
          <w:tcPr>
            <w:tcW w:w="1470" w:type="dxa"/>
            <w:tcBorders>
              <w:tl2br w:val="nil"/>
              <w:tr2bl w:val="nil"/>
            </w:tcBorders>
            <w:shd w:val="clear" w:color="auto" w:fill="auto"/>
            <w:noWrap/>
            <w:vAlign w:val="center"/>
          </w:tcPr>
          <w:p w14:paraId="5241F2D7">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c>
          <w:tcPr>
            <w:tcW w:w="1147" w:type="dxa"/>
            <w:tcBorders>
              <w:tl2br w:val="nil"/>
              <w:tr2bl w:val="nil"/>
            </w:tcBorders>
            <w:shd w:val="clear" w:color="auto" w:fill="auto"/>
            <w:noWrap/>
            <w:vAlign w:val="center"/>
          </w:tcPr>
          <w:p w14:paraId="3F910174">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c>
          <w:tcPr>
            <w:tcW w:w="2063" w:type="dxa"/>
            <w:tcBorders>
              <w:tl2br w:val="nil"/>
              <w:tr2bl w:val="nil"/>
            </w:tcBorders>
            <w:shd w:val="clear" w:color="auto" w:fill="auto"/>
            <w:noWrap/>
            <w:vAlign w:val="center"/>
          </w:tcPr>
          <w:p w14:paraId="63E822EB">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c>
          <w:tcPr>
            <w:tcW w:w="918" w:type="dxa"/>
            <w:tcBorders>
              <w:tl2br w:val="nil"/>
              <w:tr2bl w:val="nil"/>
            </w:tcBorders>
            <w:shd w:val="clear" w:color="auto" w:fill="auto"/>
            <w:noWrap/>
            <w:vAlign w:val="center"/>
          </w:tcPr>
          <w:p w14:paraId="5B5051B5">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r>
      <w:tr w14:paraId="187E5B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2232890E">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Reference: 0=Cutaneous </w:t>
            </w:r>
          </w:p>
        </w:tc>
        <w:tc>
          <w:tcPr>
            <w:tcW w:w="1470" w:type="dxa"/>
            <w:tcBorders>
              <w:tl2br w:val="nil"/>
              <w:tr2bl w:val="nil"/>
            </w:tcBorders>
            <w:shd w:val="clear" w:color="auto" w:fill="auto"/>
            <w:noWrap/>
            <w:vAlign w:val="center"/>
          </w:tcPr>
          <w:p w14:paraId="4398BBDE">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c>
          <w:tcPr>
            <w:tcW w:w="1147" w:type="dxa"/>
            <w:tcBorders>
              <w:tl2br w:val="nil"/>
              <w:tr2bl w:val="nil"/>
            </w:tcBorders>
            <w:shd w:val="clear" w:color="auto" w:fill="auto"/>
            <w:noWrap/>
            <w:vAlign w:val="center"/>
          </w:tcPr>
          <w:p w14:paraId="5AF896CD">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c>
          <w:tcPr>
            <w:tcW w:w="2063" w:type="dxa"/>
            <w:tcBorders>
              <w:tl2br w:val="nil"/>
              <w:tr2bl w:val="nil"/>
            </w:tcBorders>
            <w:shd w:val="clear" w:color="auto" w:fill="auto"/>
            <w:noWrap/>
            <w:vAlign w:val="center"/>
          </w:tcPr>
          <w:p w14:paraId="53D926C4">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c>
          <w:tcPr>
            <w:tcW w:w="918" w:type="dxa"/>
            <w:tcBorders>
              <w:tl2br w:val="nil"/>
              <w:tr2bl w:val="nil"/>
            </w:tcBorders>
            <w:shd w:val="clear" w:color="auto" w:fill="auto"/>
            <w:noWrap/>
            <w:vAlign w:val="center"/>
          </w:tcPr>
          <w:p w14:paraId="3498E518">
            <w:pPr>
              <w:keepNext w:val="0"/>
              <w:keepLines w:val="0"/>
              <w:widowControl/>
              <w:suppressLineNumbers w:val="0"/>
              <w:jc w:val="righ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r>
      <w:tr w14:paraId="10C8E0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30833689">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1=Acral </w:t>
            </w:r>
          </w:p>
        </w:tc>
        <w:tc>
          <w:tcPr>
            <w:tcW w:w="1470" w:type="dxa"/>
            <w:tcBorders>
              <w:tl2br w:val="nil"/>
              <w:tr2bl w:val="nil"/>
            </w:tcBorders>
            <w:shd w:val="clear" w:color="auto" w:fill="auto"/>
            <w:noWrap/>
            <w:vAlign w:val="center"/>
          </w:tcPr>
          <w:p w14:paraId="12DD4E7B">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0.41 </w:t>
            </w:r>
          </w:p>
        </w:tc>
        <w:tc>
          <w:tcPr>
            <w:tcW w:w="1147" w:type="dxa"/>
            <w:tcBorders>
              <w:tl2br w:val="nil"/>
              <w:tr2bl w:val="nil"/>
            </w:tcBorders>
            <w:shd w:val="clear" w:color="auto" w:fill="auto"/>
            <w:noWrap/>
            <w:vAlign w:val="center"/>
          </w:tcPr>
          <w:p w14:paraId="4D065914">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0.71 </w:t>
            </w:r>
          </w:p>
        </w:tc>
        <w:tc>
          <w:tcPr>
            <w:tcW w:w="2063" w:type="dxa"/>
            <w:tcBorders>
              <w:tl2br w:val="nil"/>
              <w:tr2bl w:val="nil"/>
            </w:tcBorders>
            <w:shd w:val="clear" w:color="auto" w:fill="auto"/>
            <w:noWrap/>
            <w:vAlign w:val="center"/>
          </w:tcPr>
          <w:p w14:paraId="63D5C69D">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eastAsia" w:ascii="Times New Roman" w:hAnsi="Times New Roman" w:eastAsia="Segoe UI" w:cs="Times New Roman"/>
                <w:i w:val="0"/>
                <w:iCs w:val="0"/>
                <w:color w:val="000000"/>
                <w:kern w:val="0"/>
                <w:sz w:val="20"/>
                <w:szCs w:val="20"/>
                <w:highlight w:val="none"/>
                <w:u w:val="none"/>
                <w:lang w:val="en-US" w:eastAsia="zh-CN" w:bidi="ar"/>
              </w:rPr>
              <w:t>1</w:t>
            </w:r>
            <w:r>
              <w:rPr>
                <w:rFonts w:hint="default" w:ascii="Times New Roman" w:hAnsi="Times New Roman" w:eastAsia="Segoe UI" w:cs="Times New Roman"/>
                <w:i w:val="0"/>
                <w:iCs w:val="0"/>
                <w:color w:val="000000"/>
                <w:kern w:val="0"/>
                <w:sz w:val="20"/>
                <w:szCs w:val="20"/>
                <w:highlight w:val="none"/>
                <w:u w:val="none"/>
                <w:lang w:val="en-US" w:eastAsia="zh-CN" w:bidi="ar"/>
              </w:rPr>
              <w:t>.50 (</w:t>
            </w:r>
            <w:r>
              <w:rPr>
                <w:rFonts w:hint="eastAsia" w:ascii="Times New Roman" w:hAnsi="Times New Roman" w:eastAsia="Segoe UI" w:cs="Times New Roman"/>
                <w:i w:val="0"/>
                <w:iCs w:val="0"/>
                <w:color w:val="000000"/>
                <w:kern w:val="0"/>
                <w:sz w:val="20"/>
                <w:szCs w:val="20"/>
                <w:highlight w:val="none"/>
                <w:u w:val="none"/>
                <w:lang w:val="en-US" w:eastAsia="zh-CN" w:bidi="ar"/>
              </w:rPr>
              <w:t>0.37</w:t>
            </w:r>
            <w:r>
              <w:rPr>
                <w:rFonts w:hint="default" w:ascii="Times New Roman" w:hAnsi="Times New Roman" w:eastAsia="Segoe UI" w:cs="Times New Roman"/>
                <w:i w:val="0"/>
                <w:iCs w:val="0"/>
                <w:color w:val="000000"/>
                <w:kern w:val="0"/>
                <w:sz w:val="20"/>
                <w:szCs w:val="20"/>
                <w:highlight w:val="none"/>
                <w:u w:val="none"/>
                <w:lang w:val="en-US" w:eastAsia="zh-CN" w:bidi="ar"/>
              </w:rPr>
              <w:t>–</w:t>
            </w:r>
            <w:r>
              <w:rPr>
                <w:rFonts w:hint="eastAsia" w:ascii="Times New Roman" w:hAnsi="Times New Roman" w:eastAsia="Segoe UI" w:cs="Times New Roman"/>
                <w:i w:val="0"/>
                <w:iCs w:val="0"/>
                <w:color w:val="000000"/>
                <w:kern w:val="0"/>
                <w:sz w:val="20"/>
                <w:szCs w:val="20"/>
                <w:highlight w:val="none"/>
                <w:u w:val="none"/>
                <w:lang w:val="en-US" w:eastAsia="zh-CN" w:bidi="ar"/>
              </w:rPr>
              <w:t>6.02</w:t>
            </w:r>
            <w:r>
              <w:rPr>
                <w:rFonts w:hint="default" w:ascii="Times New Roman" w:hAnsi="Times New Roman" w:eastAsia="Segoe UI" w:cs="Times New Roman"/>
                <w:i w:val="0"/>
                <w:iCs w:val="0"/>
                <w:color w:val="000000"/>
                <w:kern w:val="0"/>
                <w:sz w:val="20"/>
                <w:szCs w:val="20"/>
                <w:highlight w:val="none"/>
                <w:u w:val="none"/>
                <w:lang w:val="en-US" w:eastAsia="zh-CN" w:bidi="ar"/>
              </w:rPr>
              <w:t>)</w:t>
            </w:r>
          </w:p>
        </w:tc>
        <w:tc>
          <w:tcPr>
            <w:tcW w:w="918" w:type="dxa"/>
            <w:tcBorders>
              <w:tl2br w:val="nil"/>
              <w:tr2bl w:val="nil"/>
            </w:tcBorders>
            <w:shd w:val="clear" w:color="auto" w:fill="auto"/>
            <w:noWrap/>
            <w:vAlign w:val="center"/>
          </w:tcPr>
          <w:p w14:paraId="0FC2FE79">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0.</w:t>
            </w:r>
            <w:r>
              <w:rPr>
                <w:rFonts w:hint="eastAsia" w:ascii="Times New Roman" w:hAnsi="Times New Roman" w:eastAsia="Segoe UI" w:cs="Times New Roman"/>
                <w:i w:val="0"/>
                <w:iCs w:val="0"/>
                <w:color w:val="000000"/>
                <w:kern w:val="0"/>
                <w:sz w:val="20"/>
                <w:szCs w:val="20"/>
                <w:highlight w:val="none"/>
                <w:u w:val="none"/>
                <w:lang w:val="en-US" w:eastAsia="zh-CN" w:bidi="ar"/>
              </w:rPr>
              <w:t>568</w:t>
            </w: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w:t>
            </w:r>
          </w:p>
        </w:tc>
      </w:tr>
      <w:tr w14:paraId="2360BE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62ED6128">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2=Mucosal </w:t>
            </w:r>
          </w:p>
        </w:tc>
        <w:tc>
          <w:tcPr>
            <w:tcW w:w="1470" w:type="dxa"/>
            <w:tcBorders>
              <w:tl2br w:val="nil"/>
              <w:tr2bl w:val="nil"/>
            </w:tcBorders>
            <w:shd w:val="clear" w:color="auto" w:fill="auto"/>
            <w:noWrap/>
            <w:vAlign w:val="center"/>
          </w:tcPr>
          <w:p w14:paraId="42825F43">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2.05 </w:t>
            </w:r>
          </w:p>
        </w:tc>
        <w:tc>
          <w:tcPr>
            <w:tcW w:w="1147" w:type="dxa"/>
            <w:tcBorders>
              <w:tl2br w:val="nil"/>
              <w:tr2bl w:val="nil"/>
            </w:tcBorders>
            <w:shd w:val="clear" w:color="auto" w:fill="auto"/>
            <w:noWrap/>
            <w:vAlign w:val="center"/>
          </w:tcPr>
          <w:p w14:paraId="71F2259F">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0.70 </w:t>
            </w:r>
          </w:p>
        </w:tc>
        <w:tc>
          <w:tcPr>
            <w:tcW w:w="2063" w:type="dxa"/>
            <w:tcBorders>
              <w:tl2br w:val="nil"/>
              <w:tr2bl w:val="nil"/>
            </w:tcBorders>
            <w:shd w:val="clear" w:color="auto" w:fill="auto"/>
            <w:noWrap/>
            <w:vAlign w:val="center"/>
          </w:tcPr>
          <w:p w14:paraId="177B66CB">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7.80 (</w:t>
            </w:r>
            <w:r>
              <w:rPr>
                <w:rFonts w:hint="eastAsia" w:ascii="Times New Roman" w:hAnsi="Times New Roman" w:eastAsia="Segoe UI" w:cs="Times New Roman"/>
                <w:i w:val="0"/>
                <w:iCs w:val="0"/>
                <w:color w:val="000000"/>
                <w:kern w:val="0"/>
                <w:sz w:val="20"/>
                <w:szCs w:val="20"/>
                <w:highlight w:val="none"/>
                <w:u w:val="none"/>
                <w:lang w:val="en-US" w:eastAsia="zh-CN" w:bidi="ar"/>
              </w:rPr>
              <w:t>1.97</w:t>
            </w:r>
            <w:r>
              <w:rPr>
                <w:rFonts w:hint="default" w:ascii="Times New Roman" w:hAnsi="Times New Roman" w:eastAsia="Segoe UI" w:cs="Times New Roman"/>
                <w:i w:val="0"/>
                <w:iCs w:val="0"/>
                <w:color w:val="000000"/>
                <w:kern w:val="0"/>
                <w:sz w:val="20"/>
                <w:szCs w:val="20"/>
                <w:highlight w:val="none"/>
                <w:u w:val="none"/>
                <w:lang w:val="en-US" w:eastAsia="zh-CN" w:bidi="ar"/>
              </w:rPr>
              <w:t>–</w:t>
            </w:r>
            <w:r>
              <w:rPr>
                <w:rFonts w:hint="eastAsia" w:ascii="Times New Roman" w:hAnsi="Times New Roman" w:eastAsia="Segoe UI" w:cs="Times New Roman"/>
                <w:i w:val="0"/>
                <w:iCs w:val="0"/>
                <w:color w:val="000000"/>
                <w:kern w:val="0"/>
                <w:sz w:val="20"/>
                <w:szCs w:val="20"/>
                <w:highlight w:val="none"/>
                <w:u w:val="none"/>
                <w:lang w:val="en-US" w:eastAsia="zh-CN" w:bidi="ar"/>
              </w:rPr>
              <w:t>30.90</w:t>
            </w:r>
            <w:r>
              <w:rPr>
                <w:rFonts w:hint="default" w:ascii="Times New Roman" w:hAnsi="Times New Roman" w:eastAsia="Segoe UI" w:cs="Times New Roman"/>
                <w:i w:val="0"/>
                <w:iCs w:val="0"/>
                <w:color w:val="000000"/>
                <w:kern w:val="0"/>
                <w:sz w:val="20"/>
                <w:szCs w:val="20"/>
                <w:highlight w:val="none"/>
                <w:u w:val="none"/>
                <w:lang w:val="en-US" w:eastAsia="zh-CN" w:bidi="ar"/>
              </w:rPr>
              <w:t>)</w:t>
            </w:r>
          </w:p>
        </w:tc>
        <w:tc>
          <w:tcPr>
            <w:tcW w:w="918" w:type="dxa"/>
            <w:tcBorders>
              <w:tl2br w:val="nil"/>
              <w:tr2bl w:val="nil"/>
            </w:tcBorders>
            <w:shd w:val="clear" w:color="auto" w:fill="auto"/>
            <w:noWrap/>
            <w:vAlign w:val="center"/>
          </w:tcPr>
          <w:p w14:paraId="6AC2A956">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0.00</w:t>
            </w:r>
            <w:r>
              <w:rPr>
                <w:rFonts w:hint="eastAsia" w:ascii="Times New Roman" w:hAnsi="Times New Roman" w:eastAsia="Segoe UI" w:cs="Times New Roman"/>
                <w:i w:val="0"/>
                <w:iCs w:val="0"/>
                <w:color w:val="000000"/>
                <w:kern w:val="0"/>
                <w:sz w:val="20"/>
                <w:szCs w:val="20"/>
                <w:highlight w:val="none"/>
                <w:u w:val="none"/>
                <w:lang w:val="en-US" w:eastAsia="zh-CN" w:bidi="ar"/>
              </w:rPr>
              <w:t>4</w:t>
            </w: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w:t>
            </w:r>
          </w:p>
        </w:tc>
      </w:tr>
      <w:tr w14:paraId="23731B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5D8DF765">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3=Unknown</w:t>
            </w:r>
          </w:p>
        </w:tc>
        <w:tc>
          <w:tcPr>
            <w:tcW w:w="1470" w:type="dxa"/>
            <w:tcBorders>
              <w:tl2br w:val="nil"/>
              <w:tr2bl w:val="nil"/>
            </w:tcBorders>
            <w:shd w:val="clear" w:color="auto" w:fill="auto"/>
            <w:noWrap/>
            <w:vAlign w:val="center"/>
          </w:tcPr>
          <w:p w14:paraId="2C8A2789">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2.83 </w:t>
            </w:r>
          </w:p>
        </w:tc>
        <w:tc>
          <w:tcPr>
            <w:tcW w:w="1147" w:type="dxa"/>
            <w:tcBorders>
              <w:tl2br w:val="nil"/>
              <w:tr2bl w:val="nil"/>
            </w:tcBorders>
            <w:shd w:val="clear" w:color="auto" w:fill="auto"/>
            <w:noWrap/>
            <w:vAlign w:val="center"/>
          </w:tcPr>
          <w:p w14:paraId="239A1D93">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1.62 </w:t>
            </w:r>
          </w:p>
        </w:tc>
        <w:tc>
          <w:tcPr>
            <w:tcW w:w="2063" w:type="dxa"/>
            <w:tcBorders>
              <w:tl2br w:val="nil"/>
              <w:tr2bl w:val="nil"/>
            </w:tcBorders>
            <w:shd w:val="clear" w:color="auto" w:fill="auto"/>
            <w:noWrap/>
            <w:vAlign w:val="center"/>
          </w:tcPr>
          <w:p w14:paraId="6005B7C2">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16.88 (0.71–401.06)</w:t>
            </w:r>
          </w:p>
        </w:tc>
        <w:tc>
          <w:tcPr>
            <w:tcW w:w="918" w:type="dxa"/>
            <w:tcBorders>
              <w:tl2br w:val="nil"/>
              <w:tr2bl w:val="nil"/>
            </w:tcBorders>
            <w:shd w:val="clear" w:color="auto" w:fill="auto"/>
            <w:noWrap/>
            <w:vAlign w:val="center"/>
          </w:tcPr>
          <w:p w14:paraId="0CCB55D4">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0.080 </w:t>
            </w:r>
          </w:p>
        </w:tc>
      </w:tr>
      <w:tr w14:paraId="4C1932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10754979">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eastAsia" w:ascii="Times New Roman" w:hAnsi="Times New Roman" w:eastAsia="Segoe UI" w:cs="Times New Roman"/>
                <w:i w:val="0"/>
                <w:iCs w:val="0"/>
                <w:color w:val="000000"/>
                <w:kern w:val="0"/>
                <w:sz w:val="20"/>
                <w:szCs w:val="20"/>
                <w:highlight w:val="none"/>
                <w:u w:val="none"/>
                <w:lang w:val="en-US" w:eastAsia="zh-CN" w:bidi="ar"/>
              </w:rPr>
              <w:t xml:space="preserve">LDH </w:t>
            </w:r>
            <w:r>
              <w:rPr>
                <w:rFonts w:hint="default" w:ascii="Times New Roman" w:hAnsi="Times New Roman" w:eastAsia="Segoe UI" w:cs="Times New Roman"/>
                <w:i w:val="0"/>
                <w:iCs w:val="0"/>
                <w:color w:val="000000"/>
                <w:kern w:val="0"/>
                <w:sz w:val="20"/>
                <w:szCs w:val="20"/>
                <w:highlight w:val="none"/>
                <w:u w:val="none"/>
                <w:lang w:val="en-US" w:eastAsia="zh-CN" w:bidi="ar"/>
              </w:rPr>
              <w:t>level</w:t>
            </w:r>
          </w:p>
        </w:tc>
        <w:tc>
          <w:tcPr>
            <w:tcW w:w="1470" w:type="dxa"/>
            <w:tcBorders>
              <w:tl2br w:val="nil"/>
              <w:tr2bl w:val="nil"/>
            </w:tcBorders>
            <w:shd w:val="clear" w:color="auto" w:fill="auto"/>
            <w:noWrap/>
            <w:vAlign w:val="center"/>
          </w:tcPr>
          <w:p w14:paraId="14A72CA6">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-0.05 </w:t>
            </w:r>
          </w:p>
        </w:tc>
        <w:tc>
          <w:tcPr>
            <w:tcW w:w="1147" w:type="dxa"/>
            <w:tcBorders>
              <w:tl2br w:val="nil"/>
              <w:tr2bl w:val="nil"/>
            </w:tcBorders>
            <w:shd w:val="clear" w:color="auto" w:fill="auto"/>
            <w:noWrap/>
            <w:vAlign w:val="center"/>
          </w:tcPr>
          <w:p w14:paraId="0DEB6DC4">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0.49 </w:t>
            </w:r>
          </w:p>
        </w:tc>
        <w:tc>
          <w:tcPr>
            <w:tcW w:w="2063" w:type="dxa"/>
            <w:tcBorders>
              <w:tl2br w:val="nil"/>
              <w:tr2bl w:val="nil"/>
            </w:tcBorders>
            <w:shd w:val="clear" w:color="auto" w:fill="auto"/>
            <w:noWrap/>
            <w:vAlign w:val="center"/>
          </w:tcPr>
          <w:p w14:paraId="5ADF7A51">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0.95 (0.37–2.46)</w:t>
            </w:r>
          </w:p>
        </w:tc>
        <w:tc>
          <w:tcPr>
            <w:tcW w:w="918" w:type="dxa"/>
            <w:tcBorders>
              <w:tl2br w:val="nil"/>
              <w:tr2bl w:val="nil"/>
            </w:tcBorders>
            <w:shd w:val="clear" w:color="auto" w:fill="auto"/>
            <w:noWrap/>
            <w:vAlign w:val="center"/>
          </w:tcPr>
          <w:p w14:paraId="3A58A5DF">
            <w:pPr>
              <w:keepNext w:val="0"/>
              <w:keepLines w:val="0"/>
              <w:widowControl/>
              <w:suppressLineNumbers w:val="0"/>
              <w:jc w:val="righ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0.913 </w:t>
            </w:r>
          </w:p>
        </w:tc>
      </w:tr>
      <w:tr w14:paraId="2E79C5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2611" w:type="dxa"/>
            <w:tcBorders>
              <w:tl2br w:val="nil"/>
              <w:tr2bl w:val="nil"/>
            </w:tcBorders>
            <w:shd w:val="clear" w:color="auto" w:fill="auto"/>
            <w:noWrap/>
            <w:vAlign w:val="center"/>
          </w:tcPr>
          <w:p w14:paraId="307AA3CA">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Gene</w:t>
            </w:r>
            <w:r>
              <w:rPr>
                <w:rFonts w:hint="eastAsia" w:ascii="Times New Roman" w:hAnsi="Times New Roman" w:eastAsia="Segoe UI" w:cs="Times New Roman"/>
                <w:i w:val="0"/>
                <w:iCs w:val="0"/>
                <w:color w:val="000000"/>
                <w:kern w:val="0"/>
                <w:sz w:val="20"/>
                <w:szCs w:val="20"/>
                <w:highlight w:val="none"/>
                <w:u w:val="none"/>
                <w:lang w:val="en-US" w:eastAsia="zh-CN" w:bidi="ar"/>
              </w:rPr>
              <w:t xml:space="preserve"> </w:t>
            </w:r>
            <w:r>
              <w:rPr>
                <w:rFonts w:hint="default" w:ascii="Times New Roman" w:hAnsi="Times New Roman" w:eastAsia="Segoe UI" w:cs="Times New Roman"/>
                <w:i w:val="0"/>
                <w:iCs w:val="0"/>
                <w:color w:val="000000"/>
                <w:kern w:val="0"/>
                <w:sz w:val="20"/>
                <w:szCs w:val="20"/>
                <w:highlight w:val="none"/>
                <w:u w:val="none"/>
                <w:lang w:val="en-US" w:eastAsia="zh-CN" w:bidi="ar"/>
              </w:rPr>
              <w:t>mutation</w:t>
            </w:r>
            <w:r>
              <w:rPr>
                <w:rFonts w:hint="eastAsia" w:ascii="Times New Roman" w:hAnsi="Times New Roman" w:eastAsia="Segoe UI" w:cs="Times New Roman"/>
                <w:i w:val="0"/>
                <w:iCs w:val="0"/>
                <w:color w:val="000000"/>
                <w:kern w:val="0"/>
                <w:sz w:val="20"/>
                <w:szCs w:val="20"/>
                <w:highlight w:val="none"/>
                <w:u w:val="none"/>
                <w:lang w:val="en-US" w:eastAsia="zh-CN" w:bidi="ar"/>
              </w:rPr>
              <w:t xml:space="preserve"> </w:t>
            </w:r>
            <w:r>
              <w:rPr>
                <w:rFonts w:hint="default" w:ascii="Times New Roman" w:hAnsi="Times New Roman" w:eastAsia="Segoe UI" w:cs="Times New Roman"/>
                <w:i w:val="0"/>
                <w:iCs w:val="0"/>
                <w:color w:val="000000"/>
                <w:kern w:val="0"/>
                <w:sz w:val="20"/>
                <w:szCs w:val="20"/>
                <w:highlight w:val="none"/>
                <w:u w:val="none"/>
                <w:lang w:val="en-US" w:eastAsia="zh-CN" w:bidi="ar"/>
              </w:rPr>
              <w:t>status</w:t>
            </w:r>
          </w:p>
        </w:tc>
        <w:tc>
          <w:tcPr>
            <w:tcW w:w="1470" w:type="dxa"/>
            <w:tcBorders>
              <w:tl2br w:val="nil"/>
              <w:tr2bl w:val="nil"/>
            </w:tcBorders>
            <w:shd w:val="clear" w:color="auto" w:fill="auto"/>
            <w:noWrap/>
            <w:vAlign w:val="center"/>
          </w:tcPr>
          <w:p w14:paraId="33064BA0">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c>
          <w:tcPr>
            <w:tcW w:w="1147" w:type="dxa"/>
            <w:tcBorders>
              <w:tl2br w:val="nil"/>
              <w:tr2bl w:val="nil"/>
            </w:tcBorders>
            <w:shd w:val="clear" w:color="auto" w:fill="auto"/>
            <w:noWrap/>
            <w:vAlign w:val="center"/>
          </w:tcPr>
          <w:p w14:paraId="76D8DB4E">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c>
          <w:tcPr>
            <w:tcW w:w="2063" w:type="dxa"/>
            <w:tcBorders>
              <w:tl2br w:val="nil"/>
              <w:tr2bl w:val="nil"/>
            </w:tcBorders>
            <w:shd w:val="clear" w:color="auto" w:fill="auto"/>
            <w:noWrap/>
            <w:vAlign w:val="center"/>
          </w:tcPr>
          <w:p w14:paraId="1276F1CF">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c>
          <w:tcPr>
            <w:tcW w:w="918" w:type="dxa"/>
            <w:tcBorders>
              <w:tl2br w:val="nil"/>
              <w:tr2bl w:val="nil"/>
            </w:tcBorders>
            <w:shd w:val="clear" w:color="auto" w:fill="auto"/>
            <w:noWrap/>
            <w:vAlign w:val="center"/>
          </w:tcPr>
          <w:p w14:paraId="653FBF13">
            <w:pPr>
              <w:keepNext w:val="0"/>
              <w:keepLines w:val="0"/>
              <w:widowControl/>
              <w:suppressLineNumbers w:val="0"/>
              <w:jc w:val="righ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r>
      <w:tr w14:paraId="2E890F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11" w:type="dxa"/>
            <w:tcBorders>
              <w:tl2br w:val="nil"/>
              <w:tr2bl w:val="nil"/>
            </w:tcBorders>
            <w:shd w:val="clear" w:color="auto" w:fill="auto"/>
            <w:noWrap/>
            <w:vAlign w:val="center"/>
          </w:tcPr>
          <w:p w14:paraId="290F9BDD">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Reference: 0=Wild-type </w:t>
            </w:r>
          </w:p>
        </w:tc>
        <w:tc>
          <w:tcPr>
            <w:tcW w:w="1470" w:type="dxa"/>
            <w:tcBorders>
              <w:tl2br w:val="nil"/>
              <w:tr2bl w:val="nil"/>
            </w:tcBorders>
            <w:shd w:val="clear" w:color="auto" w:fill="auto"/>
            <w:noWrap/>
            <w:vAlign w:val="center"/>
          </w:tcPr>
          <w:p w14:paraId="550BFB48">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c>
          <w:tcPr>
            <w:tcW w:w="1147" w:type="dxa"/>
            <w:tcBorders>
              <w:tl2br w:val="nil"/>
              <w:tr2bl w:val="nil"/>
            </w:tcBorders>
            <w:shd w:val="clear" w:color="auto" w:fill="auto"/>
            <w:noWrap/>
            <w:vAlign w:val="center"/>
          </w:tcPr>
          <w:p w14:paraId="7D6B620F">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c>
          <w:tcPr>
            <w:tcW w:w="2063" w:type="dxa"/>
            <w:tcBorders>
              <w:tl2br w:val="nil"/>
              <w:tr2bl w:val="nil"/>
            </w:tcBorders>
            <w:shd w:val="clear" w:color="auto" w:fill="auto"/>
            <w:noWrap/>
            <w:vAlign w:val="center"/>
          </w:tcPr>
          <w:p w14:paraId="1E18C59C">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c>
          <w:tcPr>
            <w:tcW w:w="918" w:type="dxa"/>
            <w:tcBorders>
              <w:tl2br w:val="nil"/>
              <w:tr2bl w:val="nil"/>
            </w:tcBorders>
            <w:shd w:val="clear" w:color="auto" w:fill="auto"/>
            <w:noWrap/>
            <w:vAlign w:val="center"/>
          </w:tcPr>
          <w:p w14:paraId="006B47AE">
            <w:pPr>
              <w:keepNext w:val="0"/>
              <w:keepLines w:val="0"/>
              <w:widowControl/>
              <w:suppressLineNumbers w:val="0"/>
              <w:jc w:val="righ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p>
        </w:tc>
      </w:tr>
      <w:tr w14:paraId="49068D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611" w:type="dxa"/>
            <w:tcBorders>
              <w:tl2br w:val="nil"/>
              <w:tr2bl w:val="nil"/>
            </w:tcBorders>
            <w:shd w:val="clear" w:color="auto" w:fill="auto"/>
            <w:noWrap/>
            <w:vAlign w:val="center"/>
          </w:tcPr>
          <w:p w14:paraId="1FE28201">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1=Mutated </w:t>
            </w:r>
          </w:p>
        </w:tc>
        <w:tc>
          <w:tcPr>
            <w:tcW w:w="1470" w:type="dxa"/>
            <w:tcBorders>
              <w:tl2br w:val="nil"/>
              <w:tr2bl w:val="nil"/>
            </w:tcBorders>
            <w:shd w:val="clear" w:color="auto" w:fill="auto"/>
            <w:noWrap/>
            <w:vAlign w:val="center"/>
          </w:tcPr>
          <w:p w14:paraId="0561E803">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-0.51 </w:t>
            </w:r>
          </w:p>
        </w:tc>
        <w:tc>
          <w:tcPr>
            <w:tcW w:w="1147" w:type="dxa"/>
            <w:tcBorders>
              <w:tl2br w:val="nil"/>
              <w:tr2bl w:val="nil"/>
            </w:tcBorders>
            <w:shd w:val="clear" w:color="auto" w:fill="auto"/>
            <w:noWrap/>
            <w:vAlign w:val="center"/>
          </w:tcPr>
          <w:p w14:paraId="6A32B4DC">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0.45 </w:t>
            </w:r>
          </w:p>
        </w:tc>
        <w:tc>
          <w:tcPr>
            <w:tcW w:w="2063" w:type="dxa"/>
            <w:tcBorders>
              <w:tl2br w:val="nil"/>
              <w:tr2bl w:val="nil"/>
            </w:tcBorders>
            <w:shd w:val="clear" w:color="auto" w:fill="auto"/>
            <w:noWrap/>
            <w:vAlign w:val="center"/>
          </w:tcPr>
          <w:p w14:paraId="703259BD">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0.60 (0.25–1.46)</w:t>
            </w:r>
          </w:p>
        </w:tc>
        <w:tc>
          <w:tcPr>
            <w:tcW w:w="918" w:type="dxa"/>
            <w:tcBorders>
              <w:tl2br w:val="nil"/>
              <w:tr2bl w:val="nil"/>
            </w:tcBorders>
            <w:shd w:val="clear" w:color="auto" w:fill="auto"/>
            <w:noWrap/>
            <w:vAlign w:val="center"/>
          </w:tcPr>
          <w:p w14:paraId="6FCAF041">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0.260 </w:t>
            </w:r>
          </w:p>
        </w:tc>
      </w:tr>
      <w:tr w14:paraId="29555B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11" w:type="dxa"/>
            <w:tcBorders>
              <w:tl2br w:val="nil"/>
              <w:tr2bl w:val="nil"/>
            </w:tcBorders>
            <w:shd w:val="clear" w:color="auto" w:fill="auto"/>
            <w:noWrap/>
            <w:vAlign w:val="center"/>
          </w:tcPr>
          <w:p w14:paraId="7C8C13E1">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2=Unknown </w:t>
            </w:r>
          </w:p>
        </w:tc>
        <w:tc>
          <w:tcPr>
            <w:tcW w:w="1470" w:type="dxa"/>
            <w:tcBorders>
              <w:tl2br w:val="nil"/>
              <w:tr2bl w:val="nil"/>
            </w:tcBorders>
            <w:shd w:val="clear" w:color="auto" w:fill="auto"/>
            <w:noWrap/>
            <w:vAlign w:val="center"/>
          </w:tcPr>
          <w:p w14:paraId="6E118DEA">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1.04 </w:t>
            </w:r>
          </w:p>
        </w:tc>
        <w:tc>
          <w:tcPr>
            <w:tcW w:w="1147" w:type="dxa"/>
            <w:tcBorders>
              <w:tl2br w:val="nil"/>
              <w:tr2bl w:val="nil"/>
            </w:tcBorders>
            <w:shd w:val="clear" w:color="auto" w:fill="auto"/>
            <w:noWrap/>
            <w:vAlign w:val="center"/>
          </w:tcPr>
          <w:p w14:paraId="74AC47E1">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0.83 </w:t>
            </w:r>
          </w:p>
        </w:tc>
        <w:tc>
          <w:tcPr>
            <w:tcW w:w="2063" w:type="dxa"/>
            <w:tcBorders>
              <w:tl2br w:val="nil"/>
              <w:tr2bl w:val="nil"/>
            </w:tcBorders>
            <w:shd w:val="clear" w:color="auto" w:fill="auto"/>
            <w:noWrap/>
            <w:vAlign w:val="center"/>
          </w:tcPr>
          <w:p w14:paraId="449B9200">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2.82 (0.55–14.42)</w:t>
            </w:r>
          </w:p>
        </w:tc>
        <w:tc>
          <w:tcPr>
            <w:tcW w:w="918" w:type="dxa"/>
            <w:tcBorders>
              <w:tl2br w:val="nil"/>
              <w:tr2bl w:val="nil"/>
            </w:tcBorders>
            <w:shd w:val="clear" w:color="auto" w:fill="auto"/>
            <w:noWrap/>
            <w:vAlign w:val="center"/>
          </w:tcPr>
          <w:p w14:paraId="4A5F6B03">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0.213 </w:t>
            </w:r>
          </w:p>
        </w:tc>
      </w:tr>
      <w:tr w14:paraId="6E58F3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11" w:type="dxa"/>
            <w:tcBorders>
              <w:tl2br w:val="nil"/>
              <w:tr2bl w:val="nil"/>
            </w:tcBorders>
            <w:shd w:val="clear" w:color="auto" w:fill="auto"/>
            <w:noWrap/>
            <w:vAlign w:val="center"/>
          </w:tcPr>
          <w:p w14:paraId="70038FCD">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eastAsia" w:ascii="Times New Roman" w:hAnsi="Times New Roman" w:eastAsia="Segoe UI" w:cs="Times New Roman"/>
                <w:i w:val="0"/>
                <w:iCs w:val="0"/>
                <w:color w:val="000000"/>
                <w:kern w:val="0"/>
                <w:sz w:val="20"/>
                <w:szCs w:val="20"/>
                <w:highlight w:val="none"/>
                <w:u w:val="none"/>
                <w:lang w:val="en-US" w:eastAsia="zh-CN" w:bidi="ar"/>
              </w:rPr>
              <w:t xml:space="preserve">PD-L1 </w:t>
            </w:r>
            <w:r>
              <w:rPr>
                <w:rFonts w:hint="default" w:ascii="Times New Roman" w:hAnsi="Times New Roman" w:eastAsia="Segoe UI" w:cs="Times New Roman"/>
                <w:i w:val="0"/>
                <w:iCs w:val="0"/>
                <w:color w:val="000000"/>
                <w:kern w:val="0"/>
                <w:sz w:val="20"/>
                <w:szCs w:val="20"/>
                <w:highlight w:val="none"/>
                <w:u w:val="none"/>
                <w:lang w:val="en-US" w:eastAsia="zh-CN" w:bidi="ar"/>
              </w:rPr>
              <w:t>expression</w:t>
            </w:r>
          </w:p>
        </w:tc>
        <w:tc>
          <w:tcPr>
            <w:tcW w:w="1470" w:type="dxa"/>
            <w:tcBorders>
              <w:tl2br w:val="nil"/>
              <w:tr2bl w:val="nil"/>
            </w:tcBorders>
            <w:shd w:val="clear" w:color="auto" w:fill="auto"/>
            <w:noWrap/>
            <w:vAlign w:val="center"/>
          </w:tcPr>
          <w:p w14:paraId="1CCC92F9">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c>
          <w:tcPr>
            <w:tcW w:w="1147" w:type="dxa"/>
            <w:tcBorders>
              <w:tl2br w:val="nil"/>
              <w:tr2bl w:val="nil"/>
            </w:tcBorders>
            <w:shd w:val="clear" w:color="auto" w:fill="auto"/>
            <w:noWrap/>
            <w:vAlign w:val="center"/>
          </w:tcPr>
          <w:p w14:paraId="5D076303">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c>
          <w:tcPr>
            <w:tcW w:w="2063" w:type="dxa"/>
            <w:tcBorders>
              <w:tl2br w:val="nil"/>
              <w:tr2bl w:val="nil"/>
            </w:tcBorders>
            <w:shd w:val="clear" w:color="auto" w:fill="auto"/>
            <w:noWrap/>
            <w:vAlign w:val="center"/>
          </w:tcPr>
          <w:p w14:paraId="74B6B3BC">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c>
          <w:tcPr>
            <w:tcW w:w="918" w:type="dxa"/>
            <w:tcBorders>
              <w:tl2br w:val="nil"/>
              <w:tr2bl w:val="nil"/>
            </w:tcBorders>
            <w:shd w:val="clear" w:color="auto" w:fill="auto"/>
            <w:noWrap/>
            <w:vAlign w:val="center"/>
          </w:tcPr>
          <w:p w14:paraId="1CFBBD8B">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r>
      <w:tr w14:paraId="215E76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11" w:type="dxa"/>
            <w:tcBorders>
              <w:tl2br w:val="nil"/>
              <w:tr2bl w:val="nil"/>
            </w:tcBorders>
            <w:shd w:val="clear" w:color="auto" w:fill="auto"/>
            <w:noWrap/>
            <w:vAlign w:val="center"/>
          </w:tcPr>
          <w:p w14:paraId="081824D5">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Reference: 0=&lt;1%</w:t>
            </w:r>
          </w:p>
        </w:tc>
        <w:tc>
          <w:tcPr>
            <w:tcW w:w="1470" w:type="dxa"/>
            <w:tcBorders>
              <w:tl2br w:val="nil"/>
              <w:tr2bl w:val="nil"/>
            </w:tcBorders>
            <w:shd w:val="clear" w:color="auto" w:fill="auto"/>
            <w:noWrap/>
            <w:vAlign w:val="center"/>
          </w:tcPr>
          <w:p w14:paraId="3CAA3919">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c>
          <w:tcPr>
            <w:tcW w:w="1147" w:type="dxa"/>
            <w:tcBorders>
              <w:tl2br w:val="nil"/>
              <w:tr2bl w:val="nil"/>
            </w:tcBorders>
            <w:shd w:val="clear" w:color="auto" w:fill="auto"/>
            <w:noWrap/>
            <w:vAlign w:val="center"/>
          </w:tcPr>
          <w:p w14:paraId="66EA3B13">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c>
          <w:tcPr>
            <w:tcW w:w="2063" w:type="dxa"/>
            <w:tcBorders>
              <w:tl2br w:val="nil"/>
              <w:tr2bl w:val="nil"/>
            </w:tcBorders>
            <w:shd w:val="clear" w:color="auto" w:fill="auto"/>
            <w:noWrap/>
            <w:vAlign w:val="center"/>
          </w:tcPr>
          <w:p w14:paraId="5A362252">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c>
          <w:tcPr>
            <w:tcW w:w="918" w:type="dxa"/>
            <w:tcBorders>
              <w:tl2br w:val="nil"/>
              <w:tr2bl w:val="nil"/>
            </w:tcBorders>
            <w:shd w:val="clear" w:color="auto" w:fill="auto"/>
            <w:noWrap/>
            <w:vAlign w:val="center"/>
          </w:tcPr>
          <w:p w14:paraId="5C99442C">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p>
        </w:tc>
      </w:tr>
      <w:tr w14:paraId="11D39B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611" w:type="dxa"/>
            <w:tcBorders>
              <w:tl2br w:val="nil"/>
              <w:tr2bl w:val="nil"/>
            </w:tcBorders>
            <w:shd w:val="clear" w:color="auto" w:fill="auto"/>
            <w:noWrap/>
            <w:vAlign w:val="center"/>
          </w:tcPr>
          <w:p w14:paraId="34253200">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1=≥1%</w:t>
            </w:r>
          </w:p>
        </w:tc>
        <w:tc>
          <w:tcPr>
            <w:tcW w:w="1470" w:type="dxa"/>
            <w:tcBorders>
              <w:tl2br w:val="nil"/>
              <w:tr2bl w:val="nil"/>
            </w:tcBorders>
            <w:shd w:val="clear" w:color="auto" w:fill="auto"/>
            <w:noWrap/>
            <w:vAlign w:val="center"/>
          </w:tcPr>
          <w:p w14:paraId="53AC0AB0">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0.56 </w:t>
            </w:r>
          </w:p>
        </w:tc>
        <w:tc>
          <w:tcPr>
            <w:tcW w:w="1147" w:type="dxa"/>
            <w:tcBorders>
              <w:tl2br w:val="nil"/>
              <w:tr2bl w:val="nil"/>
            </w:tcBorders>
            <w:shd w:val="clear" w:color="auto" w:fill="auto"/>
            <w:noWrap/>
            <w:vAlign w:val="center"/>
          </w:tcPr>
          <w:p w14:paraId="0907A5B5">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0.52 </w:t>
            </w:r>
          </w:p>
        </w:tc>
        <w:tc>
          <w:tcPr>
            <w:tcW w:w="2063" w:type="dxa"/>
            <w:tcBorders>
              <w:tl2br w:val="nil"/>
              <w:tr2bl w:val="nil"/>
            </w:tcBorders>
            <w:shd w:val="clear" w:color="auto" w:fill="auto"/>
            <w:noWrap/>
            <w:vAlign w:val="center"/>
          </w:tcPr>
          <w:p w14:paraId="2BFF5A03">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1.75 (0.63–4.85)</w:t>
            </w:r>
          </w:p>
        </w:tc>
        <w:tc>
          <w:tcPr>
            <w:tcW w:w="918" w:type="dxa"/>
            <w:tcBorders>
              <w:tl2br w:val="nil"/>
              <w:tr2bl w:val="nil"/>
            </w:tcBorders>
            <w:shd w:val="clear" w:color="auto" w:fill="auto"/>
            <w:noWrap/>
            <w:vAlign w:val="center"/>
          </w:tcPr>
          <w:p w14:paraId="52A41CFD">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0.279 </w:t>
            </w:r>
          </w:p>
        </w:tc>
      </w:tr>
      <w:tr w14:paraId="27FE8C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611" w:type="dxa"/>
            <w:tcBorders>
              <w:tl2br w:val="nil"/>
              <w:tr2bl w:val="nil"/>
            </w:tcBorders>
            <w:shd w:val="clear" w:color="auto" w:fill="auto"/>
            <w:noWrap/>
            <w:vAlign w:val="center"/>
          </w:tcPr>
          <w:p w14:paraId="74116D18">
            <w:pPr>
              <w:keepNext w:val="0"/>
              <w:keepLines w:val="0"/>
              <w:widowControl/>
              <w:suppressLineNumbers w:val="0"/>
              <w:jc w:val="left"/>
              <w:textAlignment w:val="center"/>
              <w:rPr>
                <w:rFonts w:hint="eastAsia"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  2=Unknown</w:t>
            </w:r>
          </w:p>
        </w:tc>
        <w:tc>
          <w:tcPr>
            <w:tcW w:w="1470" w:type="dxa"/>
            <w:tcBorders>
              <w:tl2br w:val="nil"/>
              <w:tr2bl w:val="nil"/>
            </w:tcBorders>
            <w:shd w:val="clear" w:color="auto" w:fill="auto"/>
            <w:noWrap/>
            <w:vAlign w:val="center"/>
          </w:tcPr>
          <w:p w14:paraId="4D8749A4">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0.73 </w:t>
            </w:r>
          </w:p>
        </w:tc>
        <w:tc>
          <w:tcPr>
            <w:tcW w:w="1147" w:type="dxa"/>
            <w:tcBorders>
              <w:tl2br w:val="nil"/>
              <w:tr2bl w:val="nil"/>
            </w:tcBorders>
            <w:shd w:val="clear" w:color="auto" w:fill="auto"/>
            <w:noWrap/>
            <w:vAlign w:val="center"/>
          </w:tcPr>
          <w:p w14:paraId="0E2EF74E">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0.56 </w:t>
            </w:r>
          </w:p>
        </w:tc>
        <w:tc>
          <w:tcPr>
            <w:tcW w:w="2063" w:type="dxa"/>
            <w:tcBorders>
              <w:tl2br w:val="nil"/>
              <w:tr2bl w:val="nil"/>
            </w:tcBorders>
            <w:shd w:val="clear" w:color="auto" w:fill="auto"/>
            <w:noWrap/>
            <w:vAlign w:val="center"/>
          </w:tcPr>
          <w:p w14:paraId="3D3A0D73">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2.07 (0.69–6.22)</w:t>
            </w:r>
          </w:p>
        </w:tc>
        <w:tc>
          <w:tcPr>
            <w:tcW w:w="918" w:type="dxa"/>
            <w:tcBorders>
              <w:tl2br w:val="nil"/>
              <w:tr2bl w:val="nil"/>
            </w:tcBorders>
            <w:shd w:val="clear" w:color="auto" w:fill="auto"/>
            <w:noWrap/>
            <w:vAlign w:val="center"/>
          </w:tcPr>
          <w:p w14:paraId="6AC99178">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highlight w:val="none"/>
                <w:u w:val="none"/>
                <w:lang w:val="en-US" w:eastAsia="zh-CN" w:bidi="ar"/>
              </w:rPr>
            </w:pPr>
            <w:r>
              <w:rPr>
                <w:rFonts w:hint="default" w:ascii="Times New Roman" w:hAnsi="Times New Roman" w:eastAsia="Segoe UI" w:cs="Times New Roman"/>
                <w:i w:val="0"/>
                <w:iCs w:val="0"/>
                <w:color w:val="000000"/>
                <w:kern w:val="0"/>
                <w:sz w:val="20"/>
                <w:szCs w:val="20"/>
                <w:highlight w:val="none"/>
                <w:u w:val="none"/>
                <w:lang w:val="en-US" w:eastAsia="zh-CN" w:bidi="ar"/>
              </w:rPr>
              <w:t xml:space="preserve">0.196 </w:t>
            </w:r>
          </w:p>
        </w:tc>
      </w:tr>
    </w:tbl>
    <w:p w14:paraId="7D716E64">
      <w:pPr>
        <w:rPr>
          <w:sz w:val="20"/>
          <w:szCs w:val="20"/>
        </w:rPr>
      </w:pPr>
    </w:p>
    <w:p w14:paraId="39F4799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default" w:ascii="Times New Roman" w:hAnsi="Times New Roman" w:cs="Times New Roman"/>
          <w:kern w:val="44"/>
          <w:sz w:val="20"/>
          <w:szCs w:val="20"/>
          <w:lang w:bidi="ar"/>
        </w:rPr>
        <w:t>Note: Multi-categorical variables were treated as factors, with the first category serving as the reference group, as indicated.</w:t>
      </w:r>
    </w:p>
    <w:p w14:paraId="55C9FD90">
      <w:pPr>
        <w:keepNext w:val="0"/>
        <w:keepLines w:val="0"/>
        <w:pageBreakBefore w:val="0"/>
        <w:widowControl w:val="0"/>
        <w:kinsoku/>
        <w:wordWrap/>
        <w:overflowPunct/>
        <w:topLinePunct w:val="0"/>
        <w:autoSpaceDE/>
        <w:autoSpaceDN/>
        <w:bidi w:val="0"/>
        <w:adjustRightInd/>
        <w:snapToGrid/>
        <w:spacing w:line="360" w:lineRule="auto"/>
        <w:textAlignment w:val="auto"/>
        <w:rPr>
          <w:sz w:val="20"/>
          <w:szCs w:val="20"/>
        </w:rPr>
      </w:pPr>
      <w:r>
        <w:rPr>
          <w:rFonts w:hint="default" w:ascii="Times New Roman" w:hAnsi="Times New Roman" w:cs="Times New Roman"/>
          <w:kern w:val="44"/>
          <w:sz w:val="20"/>
          <w:szCs w:val="20"/>
          <w:lang w:bidi="ar"/>
        </w:rPr>
        <w:t xml:space="preserve">Abbreviations: LDH, lactate dehydrogenase; ECOG, Eastern Cooperative Oncology Group; PS, performance status; </w:t>
      </w:r>
      <w:r>
        <w:rPr>
          <w:rFonts w:hint="eastAsia" w:ascii="Times New Roman" w:hAnsi="Times New Roman" w:cs="Times New Roman"/>
          <w:kern w:val="44"/>
          <w:sz w:val="20"/>
          <w:szCs w:val="20"/>
          <w:lang w:val="en-US" w:eastAsia="zh-CN" w:bidi="ar"/>
        </w:rPr>
        <w:t>O</w:t>
      </w:r>
      <w:r>
        <w:rPr>
          <w:rFonts w:hint="default" w:ascii="Times New Roman" w:hAnsi="Times New Roman" w:cs="Times New Roman"/>
          <w:kern w:val="44"/>
          <w:sz w:val="20"/>
          <w:szCs w:val="20"/>
          <w:lang w:bidi="ar"/>
        </w:rPr>
        <w:t xml:space="preserve">R, </w:t>
      </w:r>
      <w:r>
        <w:rPr>
          <w:rFonts w:hint="default" w:ascii="Times New Roman" w:hAnsi="Times New Roman" w:cs="Times New Roman"/>
          <w:b w:val="0"/>
          <w:bCs w:val="0"/>
          <w:kern w:val="44"/>
          <w:sz w:val="20"/>
          <w:szCs w:val="20"/>
          <w:highlight w:val="none"/>
          <w:lang w:bidi="ar"/>
        </w:rPr>
        <w:t>odds</w:t>
      </w:r>
      <w:r>
        <w:rPr>
          <w:rFonts w:hint="default" w:ascii="Times New Roman" w:hAnsi="Times New Roman" w:cs="Times New Roman"/>
          <w:b w:val="0"/>
          <w:bCs w:val="0"/>
          <w:kern w:val="44"/>
          <w:sz w:val="20"/>
          <w:szCs w:val="20"/>
          <w:lang w:bidi="ar"/>
        </w:rPr>
        <w:t xml:space="preserve"> r</w:t>
      </w:r>
      <w:r>
        <w:rPr>
          <w:rFonts w:hint="default" w:ascii="Times New Roman" w:hAnsi="Times New Roman" w:cs="Times New Roman"/>
          <w:kern w:val="44"/>
          <w:sz w:val="20"/>
          <w:szCs w:val="20"/>
          <w:lang w:bidi="ar"/>
        </w:rPr>
        <w:t>atio; CI, confidence interval.</w:t>
      </w:r>
      <w:r>
        <w:rPr>
          <w:sz w:val="20"/>
          <w:szCs w:val="20"/>
        </w:rPr>
        <w:br w:type="page"/>
      </w:r>
    </w:p>
    <w:p w14:paraId="38BEC2F6">
      <w:pPr>
        <w:widowControl/>
        <w:spacing w:line="360" w:lineRule="auto"/>
        <w:jc w:val="left"/>
        <w:rPr>
          <w:rFonts w:hint="eastAsia" w:ascii="Times New Roman" w:hAnsi="Times New Roman" w:cs="Times New Roman" w:eastAsiaTheme="minorEastAsia"/>
          <w:color w:val="000000"/>
          <w:sz w:val="20"/>
          <w:szCs w:val="20"/>
          <w:lang w:val="en-US" w:eastAsia="zh-CN"/>
        </w:rPr>
      </w:pPr>
      <w:r>
        <w:rPr>
          <w:rFonts w:hint="default" w:ascii="Times New Roman" w:hAnsi="Times New Roman" w:cs="Times New Roman"/>
          <w:b/>
          <w:bCs/>
          <w:kern w:val="44"/>
          <w:sz w:val="20"/>
          <w:szCs w:val="20"/>
          <w:lang w:bidi="ar"/>
        </w:rPr>
        <w:t xml:space="preserve">Supplementary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"https://pmc.ncbi.nlm.nih.gov/articles/PMC10826138/" \l "appsec1" </w:instrText>
      </w:r>
      <w:r>
        <w:rPr>
          <w:rFonts w:hint="default" w:ascii="Times New Roman" w:hAnsi="Times New Roman" w:cs="Times New Roman"/>
          <w:sz w:val="20"/>
          <w:szCs w:val="20"/>
        </w:rPr>
        <w:fldChar w:fldCharType="separate"/>
      </w:r>
      <w:r>
        <w:rPr>
          <w:rFonts w:hint="default" w:ascii="Times New Roman" w:hAnsi="Times New Roman" w:cs="Times New Roman"/>
          <w:b/>
          <w:bCs/>
          <w:kern w:val="44"/>
          <w:sz w:val="20"/>
          <w:szCs w:val="20"/>
          <w:lang w:bidi="ar"/>
        </w:rPr>
        <w:t xml:space="preserve">Table </w:t>
      </w:r>
      <w:r>
        <w:rPr>
          <w:rFonts w:hint="default" w:ascii="Times New Roman" w:hAnsi="Times New Roman" w:cs="Times New Roman"/>
          <w:b/>
          <w:bCs/>
          <w:kern w:val="44"/>
          <w:sz w:val="20"/>
          <w:szCs w:val="20"/>
          <w:lang w:bidi="ar"/>
        </w:rPr>
        <w:fldChar w:fldCharType="end"/>
      </w:r>
      <w:r>
        <w:rPr>
          <w:rFonts w:hint="eastAsia" w:ascii="Times New Roman" w:hAnsi="Times New Roman" w:eastAsia="宋体" w:cs="Times New Roman"/>
          <w:b/>
          <w:bCs/>
          <w:color w:val="000000"/>
          <w:sz w:val="20"/>
          <w:szCs w:val="20"/>
          <w:lang w:val="en-US" w:eastAsia="zh-CN"/>
        </w:rPr>
        <w:t>2</w:t>
      </w:r>
      <w:r>
        <w:rPr>
          <w:rFonts w:hint="default" w:ascii="Times New Roman" w:hAnsi="Times New Roman" w:eastAsia="宋体" w:cs="Times New Roman"/>
          <w:b/>
          <w:bCs/>
          <w:color w:val="000000"/>
          <w:sz w:val="20"/>
          <w:szCs w:val="20"/>
        </w:rPr>
        <w:t xml:space="preserve">. </w:t>
      </w:r>
      <w:r>
        <w:rPr>
          <w:rFonts w:hint="default" w:ascii="Times New Roman" w:hAnsi="Times New Roman" w:cs="Times New Roman"/>
          <w:kern w:val="44"/>
          <w:sz w:val="20"/>
          <w:szCs w:val="20"/>
          <w:lang w:bidi="ar"/>
        </w:rPr>
        <w:t>Metastatic Site Distribution at Baseline</w:t>
      </w:r>
      <w:r>
        <w:rPr>
          <w:rFonts w:hint="eastAsia" w:ascii="Times New Roman" w:hAnsi="Times New Roman" w:cs="Times New Roman"/>
          <w:kern w:val="44"/>
          <w:sz w:val="20"/>
          <w:szCs w:val="20"/>
          <w:lang w:val="en-US" w:eastAsia="zh-CN" w:bidi="ar"/>
        </w:rPr>
        <w:t>.</w:t>
      </w:r>
    </w:p>
    <w:p w14:paraId="67C121A3">
      <w:pPr>
        <w:rPr>
          <w:sz w:val="20"/>
          <w:szCs w:val="20"/>
        </w:rPr>
      </w:pPr>
    </w:p>
    <w:tbl>
      <w:tblPr>
        <w:tblStyle w:val="4"/>
        <w:tblpPr w:leftFromText="180" w:rightFromText="180" w:vertAnchor="text" w:horzAnchor="page" w:tblpX="1895" w:tblpY="94"/>
        <w:tblOverlap w:val="never"/>
        <w:tblW w:w="4896" w:type="pct"/>
        <w:tblInd w:w="0" w:type="dxa"/>
        <w:tblLayout w:type="fixed"/>
        <w:tblCellMar>
          <w:top w:w="15" w:type="dxa"/>
          <w:left w:w="15" w:type="dxa"/>
          <w:bottom w:w="15" w:type="dxa"/>
          <w:right w:w="15" w:type="dxa"/>
        </w:tblCellMar>
      </w:tblPr>
      <w:tblGrid>
        <w:gridCol w:w="2534"/>
        <w:gridCol w:w="1957"/>
        <w:gridCol w:w="2948"/>
        <w:gridCol w:w="813"/>
      </w:tblGrid>
      <w:tr w14:paraId="44A30E18">
        <w:tblPrEx>
          <w:tblCellMar>
            <w:top w:w="15" w:type="dxa"/>
            <w:left w:w="15" w:type="dxa"/>
            <w:bottom w:w="15" w:type="dxa"/>
            <w:right w:w="15" w:type="dxa"/>
          </w:tblCellMar>
        </w:tblPrEx>
        <w:trPr>
          <w:trHeight w:val="834" w:hRule="atLeast"/>
        </w:trPr>
        <w:tc>
          <w:tcPr>
            <w:tcW w:w="1535" w:type="pct"/>
            <w:tcBorders>
              <w:top w:val="single" w:color="auto" w:sz="4" w:space="0"/>
              <w:left w:val="nil"/>
              <w:bottom w:val="single" w:color="auto" w:sz="4" w:space="0"/>
              <w:right w:val="nil"/>
            </w:tcBorders>
            <w:tcMar>
              <w:top w:w="60" w:type="dxa"/>
              <w:left w:w="60" w:type="dxa"/>
              <w:bottom w:w="60" w:type="dxa"/>
              <w:right w:w="60" w:type="dxa"/>
            </w:tcMar>
            <w:vAlign w:val="center"/>
          </w:tcPr>
          <w:p w14:paraId="094A1B7B">
            <w:pPr>
              <w:jc w:val="left"/>
              <w:rPr>
                <w:rFonts w:hint="default" w:ascii="Times New Roman" w:hAnsi="Times New Roman" w:cs="Times New Roman"/>
                <w:b/>
                <w:bCs/>
                <w:sz w:val="20"/>
                <w:szCs w:val="20"/>
              </w:rPr>
            </w:pPr>
          </w:p>
        </w:tc>
        <w:tc>
          <w:tcPr>
            <w:tcW w:w="1185" w:type="pct"/>
            <w:tcBorders>
              <w:top w:val="single" w:color="auto" w:sz="4" w:space="0"/>
              <w:left w:val="nil"/>
              <w:bottom w:val="single" w:color="auto" w:sz="4" w:space="0"/>
              <w:right w:val="nil"/>
            </w:tcBorders>
            <w:tcMar>
              <w:top w:w="60" w:type="dxa"/>
              <w:left w:w="60" w:type="dxa"/>
              <w:bottom w:w="60" w:type="dxa"/>
              <w:right w:w="60" w:type="dxa"/>
            </w:tcMar>
            <w:vAlign w:val="center"/>
          </w:tcPr>
          <w:p w14:paraId="7B0CF56D">
            <w:pPr>
              <w:widowControl/>
              <w:spacing w:line="200" w:lineRule="atLeast"/>
              <w:jc w:val="left"/>
              <w:rPr>
                <w:rFonts w:hint="default" w:ascii="Times New Roman" w:hAnsi="Times New Roman" w:eastAsia="宋体" w:cs="Times New Roman"/>
                <w:b/>
                <w:bCs/>
                <w:kern w:val="0"/>
                <w:sz w:val="20"/>
                <w:szCs w:val="20"/>
                <w:lang w:bidi="ar"/>
              </w:rPr>
            </w:pPr>
            <w:r>
              <w:rPr>
                <w:rFonts w:hint="default" w:ascii="Times New Roman" w:hAnsi="Times New Roman" w:eastAsia="宋体" w:cs="Times New Roman"/>
                <w:b/>
                <w:bCs/>
                <w:kern w:val="0"/>
                <w:sz w:val="20"/>
                <w:szCs w:val="20"/>
                <w:lang w:bidi="ar"/>
              </w:rPr>
              <w:t>anti</w:t>
            </w:r>
            <w:r>
              <w:rPr>
                <w:rFonts w:hint="eastAsia" w:ascii="Times New Roman" w:hAnsi="Times New Roman" w:eastAsia="宋体" w:cs="Times New Roman"/>
                <w:b/>
                <w:bCs/>
                <w:kern w:val="0"/>
                <w:sz w:val="20"/>
                <w:szCs w:val="20"/>
                <w:lang w:val="en-US" w:eastAsia="zh-CN" w:bidi="ar"/>
              </w:rPr>
              <w:t>-</w:t>
            </w:r>
            <w:r>
              <w:rPr>
                <w:rFonts w:hint="default" w:ascii="Times New Roman" w:hAnsi="Times New Roman" w:eastAsia="宋体" w:cs="Times New Roman"/>
                <w:b/>
                <w:bCs/>
                <w:kern w:val="0"/>
                <w:sz w:val="20"/>
                <w:szCs w:val="20"/>
                <w:lang w:bidi="ar"/>
              </w:rPr>
              <w:t>PD</w:t>
            </w:r>
            <w:r>
              <w:rPr>
                <w:rFonts w:hint="eastAsia" w:ascii="Times New Roman" w:hAnsi="Times New Roman" w:eastAsia="宋体" w:cs="Times New Roman"/>
                <w:b/>
                <w:bCs/>
                <w:kern w:val="0"/>
                <w:sz w:val="20"/>
                <w:szCs w:val="20"/>
                <w:lang w:val="en-US" w:eastAsia="zh-CN" w:bidi="ar"/>
              </w:rPr>
              <w:t>-</w:t>
            </w:r>
            <w:r>
              <w:rPr>
                <w:rFonts w:hint="default" w:ascii="Times New Roman" w:hAnsi="Times New Roman" w:eastAsia="宋体" w:cs="Times New Roman"/>
                <w:b/>
                <w:bCs/>
                <w:kern w:val="0"/>
                <w:sz w:val="20"/>
                <w:szCs w:val="20"/>
                <w:lang w:bidi="ar"/>
              </w:rPr>
              <w:t>1 + IFN</w:t>
            </w:r>
            <w:r>
              <w:rPr>
                <w:rFonts w:hint="eastAsia" w:ascii="Times New Roman" w:hAnsi="Times New Roman" w:eastAsia="宋体" w:cs="Times New Roman"/>
                <w:b/>
                <w:bCs/>
                <w:kern w:val="0"/>
                <w:sz w:val="20"/>
                <w:szCs w:val="20"/>
                <w:lang w:val="en-US" w:eastAsia="zh-CN" w:bidi="ar"/>
              </w:rPr>
              <w:t>-</w:t>
            </w:r>
            <w:r>
              <w:rPr>
                <w:rFonts w:hint="default" w:ascii="Times New Roman" w:hAnsi="Times New Roman" w:eastAsia="宋体" w:cs="Times New Roman"/>
                <w:b/>
                <w:bCs/>
                <w:kern w:val="0"/>
                <w:sz w:val="20"/>
                <w:szCs w:val="20"/>
                <w:lang w:bidi="ar"/>
              </w:rPr>
              <w:t>α1b</w:t>
            </w:r>
          </w:p>
          <w:p w14:paraId="3B305C32">
            <w:pPr>
              <w:widowControl/>
              <w:spacing w:line="200" w:lineRule="atLeast"/>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bidi="ar"/>
              </w:rPr>
              <w:t>(n = 179)</w:t>
            </w:r>
          </w:p>
        </w:tc>
        <w:tc>
          <w:tcPr>
            <w:tcW w:w="1786" w:type="pct"/>
            <w:tcBorders>
              <w:top w:val="single" w:color="auto" w:sz="4" w:space="0"/>
              <w:left w:val="nil"/>
              <w:bottom w:val="single" w:color="auto" w:sz="4" w:space="0"/>
              <w:right w:val="nil"/>
            </w:tcBorders>
            <w:tcMar>
              <w:top w:w="60" w:type="dxa"/>
              <w:left w:w="60" w:type="dxa"/>
              <w:bottom w:w="60" w:type="dxa"/>
              <w:right w:w="60" w:type="dxa"/>
            </w:tcMar>
            <w:vAlign w:val="center"/>
          </w:tcPr>
          <w:p w14:paraId="494DBEE8">
            <w:pPr>
              <w:widowControl/>
              <w:spacing w:line="200" w:lineRule="atLeast"/>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bidi="ar"/>
              </w:rPr>
              <w:t>anti</w:t>
            </w:r>
            <w:r>
              <w:rPr>
                <w:rFonts w:hint="eastAsia" w:ascii="Times New Roman" w:hAnsi="Times New Roman" w:eastAsia="宋体" w:cs="Times New Roman"/>
                <w:b/>
                <w:bCs/>
                <w:kern w:val="0"/>
                <w:sz w:val="20"/>
                <w:szCs w:val="20"/>
                <w:lang w:val="en-US" w:eastAsia="zh-CN" w:bidi="ar"/>
              </w:rPr>
              <w:t>-</w:t>
            </w:r>
            <w:r>
              <w:rPr>
                <w:rFonts w:hint="default" w:ascii="Times New Roman" w:hAnsi="Times New Roman" w:eastAsia="宋体" w:cs="Times New Roman"/>
                <w:b/>
                <w:bCs/>
                <w:kern w:val="0"/>
                <w:sz w:val="20"/>
                <w:szCs w:val="20"/>
                <w:lang w:bidi="ar"/>
              </w:rPr>
              <w:t>PD</w:t>
            </w:r>
            <w:r>
              <w:rPr>
                <w:rFonts w:hint="eastAsia" w:ascii="Times New Roman" w:hAnsi="Times New Roman" w:eastAsia="宋体" w:cs="Times New Roman"/>
                <w:b/>
                <w:bCs/>
                <w:kern w:val="0"/>
                <w:sz w:val="20"/>
                <w:szCs w:val="20"/>
                <w:lang w:val="en-US" w:eastAsia="zh-CN" w:bidi="ar"/>
              </w:rPr>
              <w:t>-</w:t>
            </w:r>
            <w:r>
              <w:rPr>
                <w:rFonts w:hint="default" w:ascii="Times New Roman" w:hAnsi="Times New Roman" w:eastAsia="宋体" w:cs="Times New Roman"/>
                <w:b/>
                <w:bCs/>
                <w:kern w:val="0"/>
                <w:sz w:val="20"/>
                <w:szCs w:val="20"/>
                <w:lang w:bidi="ar"/>
              </w:rPr>
              <w:t>1 + IFN</w:t>
            </w:r>
            <w:r>
              <w:rPr>
                <w:rFonts w:hint="eastAsia" w:ascii="Times New Roman" w:hAnsi="Times New Roman" w:eastAsia="宋体" w:cs="Times New Roman"/>
                <w:b/>
                <w:bCs/>
                <w:kern w:val="0"/>
                <w:sz w:val="20"/>
                <w:szCs w:val="20"/>
                <w:lang w:eastAsia="zh-CN" w:bidi="ar"/>
              </w:rPr>
              <w:t>-</w:t>
            </w:r>
            <w:r>
              <w:rPr>
                <w:rFonts w:hint="default" w:ascii="Times New Roman" w:hAnsi="Times New Roman" w:eastAsia="宋体" w:cs="Times New Roman"/>
                <w:b/>
                <w:bCs/>
                <w:kern w:val="0"/>
                <w:sz w:val="20"/>
                <w:szCs w:val="20"/>
                <w:lang w:bidi="ar"/>
              </w:rPr>
              <w:t>α1b + anlotinib (n = 32)</w:t>
            </w:r>
          </w:p>
        </w:tc>
        <w:tc>
          <w:tcPr>
            <w:tcW w:w="492" w:type="pct"/>
            <w:tcBorders>
              <w:top w:val="single" w:color="auto" w:sz="4" w:space="0"/>
              <w:left w:val="nil"/>
              <w:bottom w:val="single" w:color="auto" w:sz="4" w:space="0"/>
              <w:right w:val="nil"/>
            </w:tcBorders>
            <w:tcMar>
              <w:top w:w="60" w:type="dxa"/>
              <w:left w:w="60" w:type="dxa"/>
              <w:bottom w:w="60" w:type="dxa"/>
              <w:right w:w="60" w:type="dxa"/>
            </w:tcMar>
            <w:vAlign w:val="center"/>
          </w:tcPr>
          <w:p w14:paraId="46A1B4D4">
            <w:pPr>
              <w:widowControl/>
              <w:spacing w:line="200" w:lineRule="atLeast"/>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bidi="ar"/>
              </w:rPr>
              <w:t>P value</w:t>
            </w:r>
          </w:p>
        </w:tc>
      </w:tr>
      <w:tr w14:paraId="1623A1B8">
        <w:tblPrEx>
          <w:tblCellMar>
            <w:top w:w="15" w:type="dxa"/>
            <w:left w:w="15" w:type="dxa"/>
            <w:bottom w:w="15" w:type="dxa"/>
            <w:right w:w="15" w:type="dxa"/>
          </w:tblCellMar>
        </w:tblPrEx>
        <w:tc>
          <w:tcPr>
            <w:tcW w:w="1535" w:type="pct"/>
            <w:tcBorders>
              <w:top w:val="single" w:color="auto" w:sz="4" w:space="0"/>
              <w:left w:val="nil"/>
              <w:bottom w:val="nil"/>
              <w:right w:val="nil"/>
            </w:tcBorders>
            <w:tcMar>
              <w:top w:w="60" w:type="dxa"/>
              <w:left w:w="60" w:type="dxa"/>
              <w:bottom w:w="60" w:type="dxa"/>
              <w:right w:w="60" w:type="dxa"/>
            </w:tcMar>
            <w:vAlign w:val="center"/>
          </w:tcPr>
          <w:p w14:paraId="3E6089D5">
            <w:pPr>
              <w:widowControl/>
              <w:jc w:val="left"/>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Regional lymph nodes, n (%)</w:t>
            </w:r>
          </w:p>
        </w:tc>
        <w:tc>
          <w:tcPr>
            <w:tcW w:w="1185" w:type="pct"/>
            <w:tcBorders>
              <w:top w:val="single" w:color="auto" w:sz="4" w:space="0"/>
              <w:left w:val="nil"/>
              <w:bottom w:val="nil"/>
              <w:right w:val="nil"/>
            </w:tcBorders>
            <w:tcMar>
              <w:top w:w="60" w:type="dxa"/>
              <w:left w:w="60" w:type="dxa"/>
              <w:bottom w:w="60" w:type="dxa"/>
              <w:right w:w="60" w:type="dxa"/>
            </w:tcMar>
            <w:vAlign w:val="center"/>
          </w:tcPr>
          <w:p w14:paraId="1894856D">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47 (26.3%)</w:t>
            </w:r>
          </w:p>
        </w:tc>
        <w:tc>
          <w:tcPr>
            <w:tcW w:w="1786" w:type="pct"/>
            <w:tcBorders>
              <w:top w:val="single" w:color="auto" w:sz="4" w:space="0"/>
              <w:left w:val="nil"/>
              <w:bottom w:val="nil"/>
              <w:right w:val="nil"/>
            </w:tcBorders>
            <w:tcMar>
              <w:top w:w="60" w:type="dxa"/>
              <w:left w:w="60" w:type="dxa"/>
              <w:bottom w:w="60" w:type="dxa"/>
              <w:right w:w="60" w:type="dxa"/>
            </w:tcMar>
            <w:vAlign w:val="center"/>
          </w:tcPr>
          <w:p w14:paraId="14CF604C">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5 (15.6%)</w:t>
            </w:r>
          </w:p>
        </w:tc>
        <w:tc>
          <w:tcPr>
            <w:tcW w:w="492" w:type="pct"/>
            <w:tcBorders>
              <w:top w:val="single" w:color="auto" w:sz="4" w:space="0"/>
              <w:left w:val="nil"/>
              <w:bottom w:val="nil"/>
              <w:right w:val="nil"/>
            </w:tcBorders>
            <w:tcMar>
              <w:top w:w="60" w:type="dxa"/>
              <w:left w:w="60" w:type="dxa"/>
              <w:bottom w:w="60" w:type="dxa"/>
              <w:right w:w="60" w:type="dxa"/>
            </w:tcMar>
            <w:vAlign w:val="center"/>
          </w:tcPr>
          <w:p w14:paraId="72ADF1D6">
            <w:pPr>
              <w:widowControl/>
              <w:jc w:val="righ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0.267</w:t>
            </w:r>
          </w:p>
        </w:tc>
      </w:tr>
      <w:tr w14:paraId="52E05283">
        <w:tblPrEx>
          <w:tblCellMar>
            <w:top w:w="15" w:type="dxa"/>
            <w:left w:w="15" w:type="dxa"/>
            <w:bottom w:w="15" w:type="dxa"/>
            <w:right w:w="15" w:type="dxa"/>
          </w:tblCellMar>
        </w:tblPrEx>
        <w:tc>
          <w:tcPr>
            <w:tcW w:w="1535" w:type="pct"/>
            <w:tcBorders>
              <w:top w:val="nil"/>
              <w:left w:val="nil"/>
              <w:bottom w:val="nil"/>
              <w:right w:val="nil"/>
            </w:tcBorders>
            <w:tcMar>
              <w:top w:w="60" w:type="dxa"/>
              <w:left w:w="60" w:type="dxa"/>
              <w:bottom w:w="60" w:type="dxa"/>
              <w:right w:w="60" w:type="dxa"/>
            </w:tcMar>
            <w:vAlign w:val="center"/>
          </w:tcPr>
          <w:p w14:paraId="6FFFD6CC">
            <w:pPr>
              <w:widowControl/>
              <w:jc w:val="left"/>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Distant lymph nodes, n (%)</w:t>
            </w:r>
          </w:p>
        </w:tc>
        <w:tc>
          <w:tcPr>
            <w:tcW w:w="1185" w:type="pct"/>
            <w:tcBorders>
              <w:top w:val="nil"/>
              <w:left w:val="nil"/>
              <w:bottom w:val="nil"/>
              <w:right w:val="nil"/>
            </w:tcBorders>
            <w:tcMar>
              <w:top w:w="60" w:type="dxa"/>
              <w:left w:w="60" w:type="dxa"/>
              <w:bottom w:w="60" w:type="dxa"/>
              <w:right w:w="60" w:type="dxa"/>
            </w:tcMar>
            <w:vAlign w:val="center"/>
          </w:tcPr>
          <w:p w14:paraId="44E050D6">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56 (31.3%)</w:t>
            </w:r>
          </w:p>
        </w:tc>
        <w:tc>
          <w:tcPr>
            <w:tcW w:w="1786" w:type="pct"/>
            <w:tcBorders>
              <w:top w:val="nil"/>
              <w:left w:val="nil"/>
              <w:bottom w:val="nil"/>
              <w:right w:val="nil"/>
            </w:tcBorders>
            <w:tcMar>
              <w:top w:w="60" w:type="dxa"/>
              <w:left w:w="60" w:type="dxa"/>
              <w:bottom w:w="60" w:type="dxa"/>
              <w:right w:w="60" w:type="dxa"/>
            </w:tcMar>
            <w:vAlign w:val="center"/>
          </w:tcPr>
          <w:p w14:paraId="6C89FDFA">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12 (37.5%)</w:t>
            </w:r>
          </w:p>
        </w:tc>
        <w:tc>
          <w:tcPr>
            <w:tcW w:w="492" w:type="pct"/>
            <w:tcBorders>
              <w:top w:val="nil"/>
              <w:left w:val="nil"/>
              <w:bottom w:val="nil"/>
              <w:right w:val="nil"/>
            </w:tcBorders>
            <w:tcMar>
              <w:top w:w="60" w:type="dxa"/>
              <w:left w:w="60" w:type="dxa"/>
              <w:bottom w:w="60" w:type="dxa"/>
              <w:right w:w="60" w:type="dxa"/>
            </w:tcMar>
            <w:vAlign w:val="center"/>
          </w:tcPr>
          <w:p w14:paraId="04E150AB">
            <w:pPr>
              <w:widowControl/>
              <w:jc w:val="righ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0.540</w:t>
            </w:r>
          </w:p>
        </w:tc>
      </w:tr>
      <w:tr w14:paraId="73996746">
        <w:tblPrEx>
          <w:tblCellMar>
            <w:top w:w="15" w:type="dxa"/>
            <w:left w:w="15" w:type="dxa"/>
            <w:bottom w:w="15" w:type="dxa"/>
            <w:right w:w="15" w:type="dxa"/>
          </w:tblCellMar>
        </w:tblPrEx>
        <w:tc>
          <w:tcPr>
            <w:tcW w:w="1535" w:type="pct"/>
            <w:tcBorders>
              <w:top w:val="nil"/>
              <w:left w:val="nil"/>
              <w:bottom w:val="nil"/>
              <w:right w:val="nil"/>
            </w:tcBorders>
            <w:tcMar>
              <w:top w:w="60" w:type="dxa"/>
              <w:left w:w="60" w:type="dxa"/>
              <w:bottom w:w="60" w:type="dxa"/>
              <w:right w:w="60" w:type="dxa"/>
            </w:tcMar>
            <w:vAlign w:val="center"/>
          </w:tcPr>
          <w:p w14:paraId="02CA53BF">
            <w:pPr>
              <w:widowControl/>
              <w:jc w:val="left"/>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Lung, n (%)</w:t>
            </w:r>
          </w:p>
        </w:tc>
        <w:tc>
          <w:tcPr>
            <w:tcW w:w="1185" w:type="pct"/>
            <w:tcBorders>
              <w:top w:val="nil"/>
              <w:left w:val="nil"/>
              <w:bottom w:val="nil"/>
              <w:right w:val="nil"/>
            </w:tcBorders>
            <w:tcMar>
              <w:top w:w="60" w:type="dxa"/>
              <w:left w:w="60" w:type="dxa"/>
              <w:bottom w:w="60" w:type="dxa"/>
              <w:right w:w="60" w:type="dxa"/>
            </w:tcMar>
            <w:vAlign w:val="center"/>
          </w:tcPr>
          <w:p w14:paraId="26FB65EF">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37 (20.7%)</w:t>
            </w:r>
          </w:p>
        </w:tc>
        <w:tc>
          <w:tcPr>
            <w:tcW w:w="1786" w:type="pct"/>
            <w:tcBorders>
              <w:top w:val="nil"/>
              <w:left w:val="nil"/>
              <w:bottom w:val="nil"/>
              <w:right w:val="nil"/>
            </w:tcBorders>
            <w:tcMar>
              <w:top w:w="60" w:type="dxa"/>
              <w:left w:w="60" w:type="dxa"/>
              <w:bottom w:w="60" w:type="dxa"/>
              <w:right w:w="60" w:type="dxa"/>
            </w:tcMar>
            <w:vAlign w:val="center"/>
          </w:tcPr>
          <w:p w14:paraId="1582475D">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6 (18.8%)</w:t>
            </w:r>
          </w:p>
        </w:tc>
        <w:tc>
          <w:tcPr>
            <w:tcW w:w="492" w:type="pct"/>
            <w:tcBorders>
              <w:top w:val="nil"/>
              <w:left w:val="nil"/>
              <w:bottom w:val="nil"/>
              <w:right w:val="nil"/>
            </w:tcBorders>
            <w:tcMar>
              <w:top w:w="60" w:type="dxa"/>
              <w:left w:w="60" w:type="dxa"/>
              <w:bottom w:w="60" w:type="dxa"/>
              <w:right w:w="60" w:type="dxa"/>
            </w:tcMar>
            <w:vAlign w:val="center"/>
          </w:tcPr>
          <w:p w14:paraId="41F8747B">
            <w:pPr>
              <w:widowControl/>
              <w:jc w:val="righ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1.000</w:t>
            </w:r>
          </w:p>
        </w:tc>
      </w:tr>
      <w:tr w14:paraId="0B35899D">
        <w:tblPrEx>
          <w:tblCellMar>
            <w:top w:w="15" w:type="dxa"/>
            <w:left w:w="15" w:type="dxa"/>
            <w:bottom w:w="15" w:type="dxa"/>
            <w:right w:w="15" w:type="dxa"/>
          </w:tblCellMar>
        </w:tblPrEx>
        <w:tc>
          <w:tcPr>
            <w:tcW w:w="1535" w:type="pct"/>
            <w:tcBorders>
              <w:top w:val="nil"/>
              <w:left w:val="nil"/>
              <w:bottom w:val="nil"/>
              <w:right w:val="nil"/>
            </w:tcBorders>
            <w:tcMar>
              <w:top w:w="60" w:type="dxa"/>
              <w:left w:w="60" w:type="dxa"/>
              <w:bottom w:w="60" w:type="dxa"/>
              <w:right w:w="60" w:type="dxa"/>
            </w:tcMar>
            <w:vAlign w:val="center"/>
          </w:tcPr>
          <w:p w14:paraId="5F1BEB67">
            <w:pPr>
              <w:widowControl/>
              <w:jc w:val="left"/>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Liver, n (%)</w:t>
            </w:r>
          </w:p>
        </w:tc>
        <w:tc>
          <w:tcPr>
            <w:tcW w:w="1185" w:type="pct"/>
            <w:tcBorders>
              <w:top w:val="nil"/>
              <w:left w:val="nil"/>
              <w:bottom w:val="nil"/>
              <w:right w:val="nil"/>
            </w:tcBorders>
            <w:tcMar>
              <w:top w:w="60" w:type="dxa"/>
              <w:left w:w="60" w:type="dxa"/>
              <w:bottom w:w="60" w:type="dxa"/>
              <w:right w:w="60" w:type="dxa"/>
            </w:tcMar>
            <w:vAlign w:val="center"/>
          </w:tcPr>
          <w:p w14:paraId="4D22BBBD">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5 (2.8%)</w:t>
            </w:r>
          </w:p>
        </w:tc>
        <w:tc>
          <w:tcPr>
            <w:tcW w:w="1786" w:type="pct"/>
            <w:tcBorders>
              <w:top w:val="nil"/>
              <w:left w:val="nil"/>
              <w:bottom w:val="nil"/>
              <w:right w:val="nil"/>
            </w:tcBorders>
            <w:tcMar>
              <w:top w:w="60" w:type="dxa"/>
              <w:left w:w="60" w:type="dxa"/>
              <w:bottom w:w="60" w:type="dxa"/>
              <w:right w:w="60" w:type="dxa"/>
            </w:tcMar>
            <w:vAlign w:val="center"/>
          </w:tcPr>
          <w:p w14:paraId="48891C06">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0 (0.0%)</w:t>
            </w:r>
          </w:p>
        </w:tc>
        <w:tc>
          <w:tcPr>
            <w:tcW w:w="492" w:type="pct"/>
            <w:tcBorders>
              <w:top w:val="nil"/>
              <w:left w:val="nil"/>
              <w:bottom w:val="nil"/>
              <w:right w:val="nil"/>
            </w:tcBorders>
            <w:tcMar>
              <w:top w:w="60" w:type="dxa"/>
              <w:left w:w="60" w:type="dxa"/>
              <w:bottom w:w="60" w:type="dxa"/>
              <w:right w:w="60" w:type="dxa"/>
            </w:tcMar>
            <w:vAlign w:val="center"/>
          </w:tcPr>
          <w:p w14:paraId="4F04EE44">
            <w:pPr>
              <w:widowControl/>
              <w:jc w:val="righ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1.000</w:t>
            </w:r>
          </w:p>
        </w:tc>
      </w:tr>
      <w:tr w14:paraId="6A19A95E">
        <w:tblPrEx>
          <w:tblCellMar>
            <w:top w:w="15" w:type="dxa"/>
            <w:left w:w="15" w:type="dxa"/>
            <w:bottom w:w="15" w:type="dxa"/>
            <w:right w:w="15" w:type="dxa"/>
          </w:tblCellMar>
        </w:tblPrEx>
        <w:tc>
          <w:tcPr>
            <w:tcW w:w="1535" w:type="pct"/>
            <w:tcBorders>
              <w:top w:val="nil"/>
              <w:left w:val="nil"/>
              <w:bottom w:val="nil"/>
              <w:right w:val="nil"/>
            </w:tcBorders>
            <w:tcMar>
              <w:top w:w="60" w:type="dxa"/>
              <w:left w:w="60" w:type="dxa"/>
              <w:bottom w:w="60" w:type="dxa"/>
              <w:right w:w="60" w:type="dxa"/>
            </w:tcMar>
            <w:vAlign w:val="center"/>
          </w:tcPr>
          <w:p w14:paraId="1FECF686">
            <w:pPr>
              <w:widowControl/>
              <w:jc w:val="left"/>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Brain, n (%)</w:t>
            </w:r>
          </w:p>
        </w:tc>
        <w:tc>
          <w:tcPr>
            <w:tcW w:w="1185" w:type="pct"/>
            <w:tcBorders>
              <w:top w:val="nil"/>
              <w:left w:val="nil"/>
              <w:bottom w:val="nil"/>
              <w:right w:val="nil"/>
            </w:tcBorders>
            <w:tcMar>
              <w:top w:w="60" w:type="dxa"/>
              <w:left w:w="60" w:type="dxa"/>
              <w:bottom w:w="60" w:type="dxa"/>
              <w:right w:w="60" w:type="dxa"/>
            </w:tcMar>
            <w:vAlign w:val="center"/>
          </w:tcPr>
          <w:p w14:paraId="60BA25C7">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1 (0.6%)</w:t>
            </w:r>
          </w:p>
        </w:tc>
        <w:tc>
          <w:tcPr>
            <w:tcW w:w="1786" w:type="pct"/>
            <w:tcBorders>
              <w:top w:val="nil"/>
              <w:left w:val="nil"/>
              <w:bottom w:val="nil"/>
              <w:right w:val="nil"/>
            </w:tcBorders>
            <w:tcMar>
              <w:top w:w="60" w:type="dxa"/>
              <w:left w:w="60" w:type="dxa"/>
              <w:bottom w:w="60" w:type="dxa"/>
              <w:right w:w="60" w:type="dxa"/>
            </w:tcMar>
            <w:vAlign w:val="center"/>
          </w:tcPr>
          <w:p w14:paraId="60483ED9">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1 (3.1%)</w:t>
            </w:r>
          </w:p>
        </w:tc>
        <w:tc>
          <w:tcPr>
            <w:tcW w:w="492" w:type="pct"/>
            <w:tcBorders>
              <w:top w:val="nil"/>
              <w:left w:val="nil"/>
              <w:bottom w:val="nil"/>
              <w:right w:val="nil"/>
            </w:tcBorders>
            <w:tcMar>
              <w:top w:w="60" w:type="dxa"/>
              <w:left w:w="60" w:type="dxa"/>
              <w:bottom w:w="60" w:type="dxa"/>
              <w:right w:w="60" w:type="dxa"/>
            </w:tcMar>
            <w:vAlign w:val="center"/>
          </w:tcPr>
          <w:p w14:paraId="4E9FF8D4">
            <w:pPr>
              <w:widowControl/>
              <w:jc w:val="righ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0.281</w:t>
            </w:r>
          </w:p>
        </w:tc>
      </w:tr>
      <w:tr w14:paraId="63AC707B">
        <w:tblPrEx>
          <w:tblCellMar>
            <w:top w:w="15" w:type="dxa"/>
            <w:left w:w="15" w:type="dxa"/>
            <w:bottom w:w="15" w:type="dxa"/>
            <w:right w:w="15" w:type="dxa"/>
          </w:tblCellMar>
        </w:tblPrEx>
        <w:tc>
          <w:tcPr>
            <w:tcW w:w="1535" w:type="pct"/>
            <w:tcBorders>
              <w:top w:val="nil"/>
              <w:left w:val="nil"/>
              <w:bottom w:val="nil"/>
              <w:right w:val="nil"/>
            </w:tcBorders>
            <w:tcMar>
              <w:top w:w="60" w:type="dxa"/>
              <w:left w:w="60" w:type="dxa"/>
              <w:bottom w:w="60" w:type="dxa"/>
              <w:right w:w="60" w:type="dxa"/>
            </w:tcMar>
            <w:vAlign w:val="center"/>
          </w:tcPr>
          <w:p w14:paraId="75835882">
            <w:pPr>
              <w:widowControl/>
              <w:jc w:val="left"/>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Bone, n (%)</w:t>
            </w:r>
          </w:p>
        </w:tc>
        <w:tc>
          <w:tcPr>
            <w:tcW w:w="1185" w:type="pct"/>
            <w:tcBorders>
              <w:top w:val="nil"/>
              <w:left w:val="nil"/>
              <w:bottom w:val="nil"/>
              <w:right w:val="nil"/>
            </w:tcBorders>
            <w:tcMar>
              <w:top w:w="60" w:type="dxa"/>
              <w:left w:w="60" w:type="dxa"/>
              <w:bottom w:w="60" w:type="dxa"/>
              <w:right w:w="60" w:type="dxa"/>
            </w:tcMar>
            <w:vAlign w:val="center"/>
          </w:tcPr>
          <w:p w14:paraId="4AE75981">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4 (2.2%)</w:t>
            </w:r>
          </w:p>
        </w:tc>
        <w:tc>
          <w:tcPr>
            <w:tcW w:w="1786" w:type="pct"/>
            <w:tcBorders>
              <w:top w:val="nil"/>
              <w:left w:val="nil"/>
              <w:bottom w:val="nil"/>
              <w:right w:val="nil"/>
            </w:tcBorders>
            <w:tcMar>
              <w:top w:w="60" w:type="dxa"/>
              <w:left w:w="60" w:type="dxa"/>
              <w:bottom w:w="60" w:type="dxa"/>
              <w:right w:w="60" w:type="dxa"/>
            </w:tcMar>
            <w:vAlign w:val="center"/>
          </w:tcPr>
          <w:p w14:paraId="28618175">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1 (3.1%)</w:t>
            </w:r>
          </w:p>
        </w:tc>
        <w:tc>
          <w:tcPr>
            <w:tcW w:w="492" w:type="pct"/>
            <w:tcBorders>
              <w:top w:val="nil"/>
              <w:left w:val="nil"/>
              <w:bottom w:val="nil"/>
              <w:right w:val="nil"/>
            </w:tcBorders>
            <w:tcMar>
              <w:top w:w="60" w:type="dxa"/>
              <w:left w:w="60" w:type="dxa"/>
              <w:bottom w:w="60" w:type="dxa"/>
              <w:right w:w="60" w:type="dxa"/>
            </w:tcMar>
            <w:vAlign w:val="center"/>
          </w:tcPr>
          <w:p w14:paraId="3FB025F1">
            <w:pPr>
              <w:widowControl/>
              <w:jc w:val="righ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0.564</w:t>
            </w:r>
          </w:p>
        </w:tc>
      </w:tr>
      <w:tr w14:paraId="23BE437B">
        <w:tblPrEx>
          <w:tblCellMar>
            <w:top w:w="15" w:type="dxa"/>
            <w:left w:w="15" w:type="dxa"/>
            <w:bottom w:w="15" w:type="dxa"/>
            <w:right w:w="15" w:type="dxa"/>
          </w:tblCellMar>
        </w:tblPrEx>
        <w:tc>
          <w:tcPr>
            <w:tcW w:w="1535" w:type="pct"/>
            <w:tcBorders>
              <w:top w:val="nil"/>
              <w:left w:val="nil"/>
              <w:bottom w:val="nil"/>
              <w:right w:val="nil"/>
            </w:tcBorders>
            <w:tcMar>
              <w:top w:w="60" w:type="dxa"/>
              <w:left w:w="60" w:type="dxa"/>
              <w:bottom w:w="60" w:type="dxa"/>
              <w:right w:w="60" w:type="dxa"/>
            </w:tcMar>
            <w:vAlign w:val="center"/>
          </w:tcPr>
          <w:p w14:paraId="69640808">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Other sites, n (%)</w:t>
            </w:r>
          </w:p>
        </w:tc>
        <w:tc>
          <w:tcPr>
            <w:tcW w:w="1185" w:type="pct"/>
            <w:tcBorders>
              <w:top w:val="nil"/>
              <w:left w:val="nil"/>
              <w:bottom w:val="nil"/>
              <w:right w:val="nil"/>
            </w:tcBorders>
            <w:tcMar>
              <w:top w:w="60" w:type="dxa"/>
              <w:left w:w="60" w:type="dxa"/>
              <w:bottom w:w="60" w:type="dxa"/>
              <w:right w:w="60" w:type="dxa"/>
            </w:tcMar>
            <w:vAlign w:val="center"/>
          </w:tcPr>
          <w:p w14:paraId="3D950395">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22 (12.3%)</w:t>
            </w:r>
          </w:p>
        </w:tc>
        <w:tc>
          <w:tcPr>
            <w:tcW w:w="1786" w:type="pct"/>
            <w:tcBorders>
              <w:top w:val="nil"/>
              <w:left w:val="nil"/>
              <w:bottom w:val="nil"/>
              <w:right w:val="nil"/>
            </w:tcBorders>
            <w:tcMar>
              <w:top w:w="60" w:type="dxa"/>
              <w:left w:w="60" w:type="dxa"/>
              <w:bottom w:w="60" w:type="dxa"/>
              <w:right w:w="60" w:type="dxa"/>
            </w:tcMar>
            <w:vAlign w:val="center"/>
          </w:tcPr>
          <w:p w14:paraId="18B73B74">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5 (15.6%)</w:t>
            </w:r>
          </w:p>
        </w:tc>
        <w:tc>
          <w:tcPr>
            <w:tcW w:w="492" w:type="pct"/>
            <w:tcBorders>
              <w:top w:val="nil"/>
              <w:left w:val="nil"/>
              <w:bottom w:val="nil"/>
              <w:right w:val="nil"/>
            </w:tcBorders>
            <w:tcMar>
              <w:top w:w="60" w:type="dxa"/>
              <w:left w:w="60" w:type="dxa"/>
              <w:bottom w:w="60" w:type="dxa"/>
              <w:right w:w="60" w:type="dxa"/>
            </w:tcMar>
            <w:vAlign w:val="center"/>
          </w:tcPr>
          <w:p w14:paraId="4870A031">
            <w:pPr>
              <w:widowControl/>
              <w:jc w:val="righ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0.572</w:t>
            </w:r>
          </w:p>
        </w:tc>
      </w:tr>
      <w:tr w14:paraId="667A9483">
        <w:tblPrEx>
          <w:tblCellMar>
            <w:top w:w="15" w:type="dxa"/>
            <w:left w:w="15" w:type="dxa"/>
            <w:bottom w:w="15" w:type="dxa"/>
            <w:right w:w="15" w:type="dxa"/>
          </w:tblCellMar>
        </w:tblPrEx>
        <w:tc>
          <w:tcPr>
            <w:tcW w:w="1535" w:type="pct"/>
            <w:tcBorders>
              <w:top w:val="nil"/>
              <w:left w:val="nil"/>
              <w:bottom w:val="single" w:color="auto" w:sz="4" w:space="0"/>
              <w:right w:val="nil"/>
            </w:tcBorders>
            <w:tcMar>
              <w:top w:w="60" w:type="dxa"/>
              <w:left w:w="60" w:type="dxa"/>
              <w:bottom w:w="60" w:type="dxa"/>
              <w:right w:w="60" w:type="dxa"/>
            </w:tcMar>
            <w:vAlign w:val="center"/>
          </w:tcPr>
          <w:p w14:paraId="552F8AB1">
            <w:pPr>
              <w:widowControl/>
              <w:jc w:val="left"/>
              <w:textAlignment w:val="cente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Multiple sites, n (%)</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 xml:space="preserve"> </w:t>
            </w:r>
            <w:r>
              <w:rPr>
                <w:rFonts w:hint="default" w:ascii="Times New Roman" w:hAnsi="Times New Roman" w:eastAsia="宋体" w:cs="Times New Roman"/>
                <w:color w:val="000000" w:themeColor="text1"/>
                <w:kern w:val="0"/>
                <w:sz w:val="20"/>
                <w:szCs w:val="20"/>
                <w:vertAlign w:val="superscript"/>
                <w:lang w:val="en-US" w:eastAsia="zh-CN" w:bidi="ar"/>
                <w14:textFill>
                  <w14:solidFill>
                    <w14:schemeClr w14:val="tx1"/>
                  </w14:solidFill>
                </w14:textFill>
              </w:rPr>
              <w:t>a</w:t>
            </w:r>
          </w:p>
        </w:tc>
        <w:tc>
          <w:tcPr>
            <w:tcW w:w="1185" w:type="pct"/>
            <w:tcBorders>
              <w:top w:val="nil"/>
              <w:left w:val="nil"/>
              <w:bottom w:val="single" w:color="auto" w:sz="4" w:space="0"/>
              <w:right w:val="nil"/>
            </w:tcBorders>
            <w:tcMar>
              <w:top w:w="60" w:type="dxa"/>
              <w:left w:w="60" w:type="dxa"/>
              <w:bottom w:w="60" w:type="dxa"/>
              <w:right w:w="60" w:type="dxa"/>
            </w:tcMar>
            <w:vAlign w:val="center"/>
          </w:tcPr>
          <w:p w14:paraId="1BE88D4F">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7 (3.9%)</w:t>
            </w:r>
          </w:p>
        </w:tc>
        <w:tc>
          <w:tcPr>
            <w:tcW w:w="1786" w:type="pct"/>
            <w:tcBorders>
              <w:top w:val="nil"/>
              <w:left w:val="nil"/>
              <w:bottom w:val="single" w:color="auto" w:sz="4" w:space="0"/>
              <w:right w:val="nil"/>
            </w:tcBorders>
            <w:tcMar>
              <w:top w:w="60" w:type="dxa"/>
              <w:left w:w="60" w:type="dxa"/>
              <w:bottom w:w="60" w:type="dxa"/>
              <w:right w:w="60" w:type="dxa"/>
            </w:tcMar>
            <w:vAlign w:val="center"/>
          </w:tcPr>
          <w:p w14:paraId="4381BD7B">
            <w:pPr>
              <w:widowControl/>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2 (6.3%)</w:t>
            </w:r>
          </w:p>
        </w:tc>
        <w:tc>
          <w:tcPr>
            <w:tcW w:w="492" w:type="pct"/>
            <w:tcBorders>
              <w:top w:val="nil"/>
              <w:left w:val="nil"/>
              <w:bottom w:val="single" w:color="auto" w:sz="4" w:space="0"/>
              <w:right w:val="nil"/>
            </w:tcBorders>
            <w:tcMar>
              <w:top w:w="60" w:type="dxa"/>
              <w:left w:w="60" w:type="dxa"/>
              <w:bottom w:w="60" w:type="dxa"/>
              <w:right w:w="60" w:type="dxa"/>
            </w:tcMar>
            <w:vAlign w:val="center"/>
          </w:tcPr>
          <w:p w14:paraId="634EF0D9">
            <w:pPr>
              <w:widowControl/>
              <w:jc w:val="righ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Segoe UI" w:cs="Times New Roman"/>
                <w:color w:val="000000" w:themeColor="text1"/>
                <w:kern w:val="0"/>
                <w:sz w:val="20"/>
                <w:szCs w:val="20"/>
                <w:lang w:bidi="ar"/>
                <w14:textFill>
                  <w14:solidFill>
                    <w14:schemeClr w14:val="tx1"/>
                  </w14:solidFill>
                </w14:textFill>
              </w:rPr>
              <w:t>0.629</w:t>
            </w:r>
          </w:p>
        </w:tc>
      </w:tr>
    </w:tbl>
    <w:p w14:paraId="5BEFFA3E">
      <w:pPr>
        <w:rPr>
          <w:sz w:val="20"/>
          <w:szCs w:val="20"/>
        </w:rPr>
      </w:pPr>
    </w:p>
    <w:p w14:paraId="1206CB31">
      <w:pPr>
        <w:rPr>
          <w:rFonts w:hint="default" w:ascii="Times New Roman" w:hAnsi="Times New Roman" w:cs="Times New Roman"/>
          <w:sz w:val="20"/>
          <w:szCs w:val="20"/>
        </w:rPr>
      </w:pPr>
      <w:r>
        <w:rPr>
          <w:rFonts w:hint="default" w:ascii="Times New Roman" w:hAnsi="Times New Roman" w:cs="Times New Roman"/>
          <w:b w:val="0"/>
          <w:bCs w:val="0"/>
          <w:kern w:val="44"/>
          <w:sz w:val="20"/>
          <w:szCs w:val="20"/>
          <w:vertAlign w:val="superscript"/>
          <w:lang w:val="en-US" w:eastAsia="zh-CN" w:bidi="ar"/>
        </w:rPr>
        <w:t xml:space="preserve">a </w:t>
      </w:r>
      <w:r>
        <w:rPr>
          <w:rFonts w:hint="default" w:ascii="Times New Roman" w:hAnsi="Times New Roman" w:cs="Times New Roman"/>
          <w:sz w:val="20"/>
          <w:szCs w:val="20"/>
        </w:rPr>
        <w:t>Patients with metastases involving more than one anatomical site were classified as having multiple</w:t>
      </w:r>
      <w:r>
        <w:rPr>
          <w:rFonts w:hint="eastAsia" w:ascii="Times New Roman" w:hAnsi="Times New Roman" w:cs="Times New Roman"/>
          <w:sz w:val="20"/>
          <w:szCs w:val="20"/>
          <w:lang w:eastAsia="zh-CN"/>
        </w:rPr>
        <w:t>-</w:t>
      </w:r>
      <w:r>
        <w:rPr>
          <w:rFonts w:hint="default" w:ascii="Times New Roman" w:hAnsi="Times New Roman" w:cs="Times New Roman"/>
          <w:sz w:val="20"/>
          <w:szCs w:val="20"/>
        </w:rPr>
        <w:t>site metastases.</w:t>
      </w:r>
      <w:r>
        <w:rPr>
          <w:rFonts w:hint="default" w:ascii="Times New Roman" w:hAnsi="Times New Roman" w:cs="Times New Roman"/>
          <w:sz w:val="20"/>
          <w:szCs w:val="20"/>
        </w:rPr>
        <w:br w:type="page"/>
      </w:r>
    </w:p>
    <w:p w14:paraId="67FE1BD7">
      <w:pPr>
        <w:widowControl/>
        <w:jc w:val="left"/>
        <w:textAlignment w:val="center"/>
        <w:rPr>
          <w:rFonts w:hint="default" w:ascii="Times New Roman" w:hAnsi="Times New Roman" w:eastAsia="Segoe UI" w:cs="Times New Roman"/>
          <w:color w:val="000000"/>
          <w:kern w:val="0"/>
          <w:sz w:val="20"/>
          <w:szCs w:val="20"/>
          <w:u w:val="none"/>
          <w:lang w:bidi="ar"/>
        </w:rPr>
      </w:pPr>
      <w:r>
        <w:rPr>
          <w:rFonts w:hint="default" w:ascii="Times New Roman" w:hAnsi="Times New Roman" w:eastAsia="Segoe UI" w:cs="Times New Roman"/>
          <w:b/>
          <w:bCs/>
          <w:color w:val="000000"/>
          <w:kern w:val="0"/>
          <w:sz w:val="20"/>
          <w:szCs w:val="20"/>
          <w:u w:val="none"/>
          <w:lang w:bidi="ar"/>
        </w:rPr>
        <w:t xml:space="preserve">Supplementary </w:t>
      </w:r>
      <w:r>
        <w:rPr>
          <w:rFonts w:hint="default" w:ascii="Times New Roman" w:hAnsi="Times New Roman" w:eastAsia="Segoe UI" w:cs="Times New Roman"/>
          <w:b/>
          <w:bCs/>
          <w:color w:val="000000"/>
          <w:kern w:val="0"/>
          <w:sz w:val="20"/>
          <w:szCs w:val="20"/>
          <w:u w:val="none"/>
          <w:lang w:bidi="ar"/>
        </w:rPr>
        <w:fldChar w:fldCharType="begin"/>
      </w:r>
      <w:r>
        <w:rPr>
          <w:rFonts w:hint="default" w:ascii="Times New Roman" w:hAnsi="Times New Roman" w:eastAsia="Segoe UI" w:cs="Times New Roman"/>
          <w:b/>
          <w:bCs/>
          <w:color w:val="000000"/>
          <w:kern w:val="0"/>
          <w:sz w:val="20"/>
          <w:szCs w:val="20"/>
          <w:u w:val="none"/>
          <w:lang w:bidi="ar"/>
        </w:rPr>
        <w:instrText xml:space="preserve"> HYPERLINK "https://pmc.ncbi.nlm.nih.gov/articles/PMC10826138/" \l "appsec1" </w:instrText>
      </w:r>
      <w:r>
        <w:rPr>
          <w:rFonts w:hint="default" w:ascii="Times New Roman" w:hAnsi="Times New Roman" w:eastAsia="Segoe UI" w:cs="Times New Roman"/>
          <w:b/>
          <w:bCs/>
          <w:color w:val="000000"/>
          <w:kern w:val="0"/>
          <w:sz w:val="20"/>
          <w:szCs w:val="20"/>
          <w:u w:val="none"/>
          <w:lang w:bidi="ar"/>
        </w:rPr>
        <w:fldChar w:fldCharType="separate"/>
      </w:r>
      <w:r>
        <w:rPr>
          <w:rFonts w:hint="default" w:ascii="Times New Roman" w:hAnsi="Times New Roman" w:eastAsia="Segoe UI" w:cs="Times New Roman"/>
          <w:b/>
          <w:bCs/>
          <w:color w:val="000000"/>
          <w:kern w:val="0"/>
          <w:sz w:val="20"/>
          <w:szCs w:val="20"/>
          <w:u w:val="none"/>
          <w:lang w:bidi="ar"/>
        </w:rPr>
        <w:t xml:space="preserve">Table </w:t>
      </w:r>
      <w:r>
        <w:rPr>
          <w:rFonts w:hint="default" w:ascii="Times New Roman" w:hAnsi="Times New Roman" w:eastAsia="Segoe UI" w:cs="Times New Roman"/>
          <w:b/>
          <w:bCs/>
          <w:color w:val="000000"/>
          <w:kern w:val="0"/>
          <w:sz w:val="20"/>
          <w:szCs w:val="20"/>
          <w:u w:val="none"/>
          <w:lang w:bidi="ar"/>
        </w:rPr>
        <w:fldChar w:fldCharType="end"/>
      </w:r>
      <w:r>
        <w:rPr>
          <w:rFonts w:hint="default" w:ascii="Times New Roman" w:hAnsi="Times New Roman" w:eastAsia="Segoe UI" w:cs="Times New Roman"/>
          <w:b/>
          <w:bCs/>
          <w:color w:val="000000"/>
          <w:kern w:val="0"/>
          <w:sz w:val="20"/>
          <w:szCs w:val="20"/>
          <w:u w:val="none"/>
          <w:lang w:val="en-US" w:eastAsia="zh-CN" w:bidi="ar"/>
        </w:rPr>
        <w:t>3</w:t>
      </w:r>
      <w:r>
        <w:rPr>
          <w:rFonts w:hint="default" w:ascii="Times New Roman" w:hAnsi="Times New Roman" w:eastAsia="Segoe UI" w:cs="Times New Roman"/>
          <w:b/>
          <w:bCs/>
          <w:color w:val="000000"/>
          <w:kern w:val="0"/>
          <w:sz w:val="20"/>
          <w:szCs w:val="20"/>
          <w:u w:val="none"/>
          <w:lang w:bidi="ar"/>
        </w:rPr>
        <w:t>.</w:t>
      </w:r>
      <w:r>
        <w:rPr>
          <w:rFonts w:hint="default" w:ascii="Times New Roman" w:hAnsi="Times New Roman" w:eastAsia="Segoe UI" w:cs="Times New Roman"/>
          <w:b w:val="0"/>
          <w:bCs w:val="0"/>
          <w:color w:val="000000"/>
          <w:kern w:val="0"/>
          <w:sz w:val="20"/>
          <w:szCs w:val="20"/>
          <w:u w:val="none"/>
          <w:lang w:bidi="ar"/>
        </w:rPr>
        <w:t xml:space="preserve"> </w:t>
      </w:r>
      <w:r>
        <w:rPr>
          <w:rFonts w:hint="default" w:ascii="Times New Roman" w:hAnsi="Times New Roman" w:eastAsia="Segoe UI" w:cs="Times New Roman"/>
          <w:color w:val="000000"/>
          <w:kern w:val="0"/>
          <w:sz w:val="20"/>
          <w:szCs w:val="20"/>
          <w:u w:val="none"/>
          <w:lang w:bidi="ar"/>
        </w:rPr>
        <w:t>Sensitivity analyses for OS and PFS comparing triplet therapy versus doublet therapy</w:t>
      </w:r>
      <w:r>
        <w:rPr>
          <w:rFonts w:hint="eastAsia" w:ascii="Times New Roman" w:hAnsi="Times New Roman" w:eastAsia="宋体" w:cs="Times New Roman"/>
          <w:color w:val="000000"/>
          <w:kern w:val="0"/>
          <w:sz w:val="20"/>
          <w:szCs w:val="20"/>
          <w:u w:val="none"/>
          <w:lang w:val="en-US" w:eastAsia="zh-CN" w:bidi="ar"/>
        </w:rPr>
        <w:t>.</w:t>
      </w:r>
    </w:p>
    <w:tbl>
      <w:tblPr>
        <w:tblStyle w:val="4"/>
        <w:tblpPr w:leftFromText="180" w:rightFromText="180" w:vertAnchor="page" w:horzAnchor="page" w:tblpX="1966" w:tblpY="2150"/>
        <w:tblOverlap w:val="never"/>
        <w:tblW w:w="830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53"/>
        <w:gridCol w:w="1150"/>
        <w:gridCol w:w="2487"/>
        <w:gridCol w:w="1110"/>
      </w:tblGrid>
      <w:tr w14:paraId="102435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PrEx>
        <w:trPr>
          <w:trHeight w:val="378" w:hRule="atLeast"/>
        </w:trPr>
        <w:tc>
          <w:tcPr>
            <w:tcW w:w="3553" w:type="dxa"/>
            <w:tcBorders>
              <w:bottom w:val="single" w:color="auto" w:sz="4" w:space="0"/>
            </w:tcBorders>
            <w:shd w:val="clear" w:color="auto" w:fill="auto"/>
            <w:vAlign w:val="center"/>
          </w:tcPr>
          <w:p w14:paraId="748B32F0">
            <w:pPr>
              <w:keepNext w:val="0"/>
              <w:keepLines w:val="0"/>
              <w:widowControl/>
              <w:suppressLineNumbers w:val="0"/>
              <w:jc w:val="left"/>
              <w:textAlignment w:val="center"/>
              <w:rPr>
                <w:rFonts w:hint="default" w:ascii="Times New Roman" w:hAnsi="Times New Roman" w:eastAsia="Segoe UI" w:cs="Times New Roman"/>
                <w:b/>
                <w:bCs/>
                <w:i w:val="0"/>
                <w:iCs w:val="0"/>
                <w:color w:val="000000"/>
                <w:sz w:val="20"/>
                <w:szCs w:val="20"/>
                <w:u w:val="none"/>
              </w:rPr>
            </w:pPr>
            <w:r>
              <w:rPr>
                <w:rFonts w:hint="default" w:ascii="Times New Roman" w:hAnsi="Times New Roman" w:eastAsia="Segoe UI" w:cs="Times New Roman"/>
                <w:b/>
                <w:bCs/>
                <w:i w:val="0"/>
                <w:iCs w:val="0"/>
                <w:color w:val="000000"/>
                <w:kern w:val="0"/>
                <w:sz w:val="20"/>
                <w:szCs w:val="20"/>
                <w:u w:val="none"/>
                <w:lang w:val="en-US" w:eastAsia="zh-CN" w:bidi="ar"/>
              </w:rPr>
              <w:t>Analysis type</w:t>
            </w:r>
          </w:p>
        </w:tc>
        <w:tc>
          <w:tcPr>
            <w:tcW w:w="1150" w:type="dxa"/>
            <w:tcBorders>
              <w:bottom w:val="single" w:color="auto" w:sz="4" w:space="0"/>
            </w:tcBorders>
            <w:shd w:val="clear" w:color="auto" w:fill="auto"/>
            <w:vAlign w:val="center"/>
          </w:tcPr>
          <w:p w14:paraId="42A7F9D3">
            <w:pPr>
              <w:keepNext w:val="0"/>
              <w:keepLines w:val="0"/>
              <w:widowControl/>
              <w:suppressLineNumbers w:val="0"/>
              <w:jc w:val="left"/>
              <w:textAlignment w:val="center"/>
              <w:rPr>
                <w:rFonts w:hint="default" w:ascii="Times New Roman" w:hAnsi="Times New Roman" w:eastAsia="Segoe UI" w:cs="Times New Roman"/>
                <w:b/>
                <w:bCs/>
                <w:i w:val="0"/>
                <w:iCs w:val="0"/>
                <w:color w:val="000000"/>
                <w:sz w:val="20"/>
                <w:szCs w:val="20"/>
                <w:u w:val="none"/>
              </w:rPr>
            </w:pPr>
            <w:r>
              <w:rPr>
                <w:rFonts w:hint="default" w:ascii="Times New Roman" w:hAnsi="Times New Roman" w:eastAsia="Segoe UI" w:cs="Times New Roman"/>
                <w:b/>
                <w:bCs/>
                <w:i w:val="0"/>
                <w:iCs w:val="0"/>
                <w:color w:val="000000"/>
                <w:kern w:val="0"/>
                <w:sz w:val="20"/>
                <w:szCs w:val="20"/>
                <w:u w:val="none"/>
                <w:lang w:val="en-US" w:eastAsia="zh-CN" w:bidi="ar"/>
              </w:rPr>
              <w:t>Endpoint</w:t>
            </w:r>
          </w:p>
        </w:tc>
        <w:tc>
          <w:tcPr>
            <w:tcW w:w="2487" w:type="dxa"/>
            <w:tcBorders>
              <w:bottom w:val="single" w:color="auto" w:sz="4" w:space="0"/>
            </w:tcBorders>
            <w:shd w:val="clear" w:color="auto" w:fill="auto"/>
            <w:vAlign w:val="center"/>
          </w:tcPr>
          <w:p w14:paraId="72AEB3B9">
            <w:pPr>
              <w:keepNext w:val="0"/>
              <w:keepLines w:val="0"/>
              <w:widowControl/>
              <w:suppressLineNumbers w:val="0"/>
              <w:jc w:val="left"/>
              <w:textAlignment w:val="center"/>
              <w:rPr>
                <w:rFonts w:hint="default" w:ascii="Times New Roman" w:hAnsi="Times New Roman" w:eastAsia="Segoe UI" w:cs="Times New Roman"/>
                <w:b/>
                <w:bCs/>
                <w:i w:val="0"/>
                <w:iCs w:val="0"/>
                <w:color w:val="000000"/>
                <w:sz w:val="20"/>
                <w:szCs w:val="20"/>
                <w:u w:val="none"/>
              </w:rPr>
            </w:pPr>
            <w:r>
              <w:rPr>
                <w:rFonts w:hint="default" w:ascii="Times New Roman" w:hAnsi="Times New Roman" w:eastAsia="Segoe UI" w:cs="Times New Roman"/>
                <w:b/>
                <w:bCs/>
                <w:i w:val="0"/>
                <w:iCs w:val="0"/>
                <w:color w:val="000000"/>
                <w:kern w:val="0"/>
                <w:sz w:val="20"/>
                <w:szCs w:val="20"/>
                <w:u w:val="none"/>
                <w:lang w:val="en-US" w:eastAsia="zh-CN" w:bidi="ar"/>
              </w:rPr>
              <w:t>HR (95% CI)</w:t>
            </w:r>
          </w:p>
        </w:tc>
        <w:tc>
          <w:tcPr>
            <w:tcW w:w="1110" w:type="dxa"/>
            <w:tcBorders>
              <w:bottom w:val="single" w:color="auto" w:sz="4" w:space="0"/>
            </w:tcBorders>
            <w:shd w:val="clear" w:color="auto" w:fill="auto"/>
            <w:vAlign w:val="center"/>
          </w:tcPr>
          <w:p w14:paraId="0FFACB41">
            <w:pPr>
              <w:keepNext w:val="0"/>
              <w:keepLines w:val="0"/>
              <w:widowControl/>
              <w:suppressLineNumbers w:val="0"/>
              <w:jc w:val="right"/>
              <w:textAlignment w:val="center"/>
              <w:rPr>
                <w:rFonts w:hint="default" w:ascii="Times New Roman" w:hAnsi="Times New Roman" w:eastAsia="Segoe UI" w:cs="Times New Roman"/>
                <w:b/>
                <w:bCs/>
                <w:i w:val="0"/>
                <w:iCs w:val="0"/>
                <w:color w:val="000000"/>
                <w:sz w:val="20"/>
                <w:szCs w:val="20"/>
                <w:u w:val="none"/>
              </w:rPr>
            </w:pPr>
            <w:r>
              <w:rPr>
                <w:rFonts w:hint="default" w:ascii="Times New Roman" w:hAnsi="Times New Roman" w:eastAsia="Segoe UI" w:cs="Times New Roman"/>
                <w:b/>
                <w:bCs/>
                <w:i w:val="0"/>
                <w:iCs w:val="0"/>
                <w:color w:val="000000"/>
                <w:kern w:val="0"/>
                <w:sz w:val="20"/>
                <w:szCs w:val="20"/>
                <w:u w:val="none"/>
                <w:lang w:val="en-US" w:eastAsia="zh-CN" w:bidi="ar"/>
              </w:rPr>
              <w:t>P value</w:t>
            </w:r>
          </w:p>
        </w:tc>
      </w:tr>
      <w:tr w14:paraId="78B6D0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restart"/>
            <w:tcBorders>
              <w:top w:val="single" w:color="auto" w:sz="4" w:space="0"/>
              <w:tl2br w:val="nil"/>
              <w:tr2bl w:val="nil"/>
            </w:tcBorders>
            <w:shd w:val="clear" w:color="auto" w:fill="auto"/>
            <w:vAlign w:val="center"/>
          </w:tcPr>
          <w:p w14:paraId="3C94C638">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 xml:space="preserve">Primary analysis </w:t>
            </w:r>
          </w:p>
        </w:tc>
        <w:tc>
          <w:tcPr>
            <w:tcW w:w="1150" w:type="dxa"/>
            <w:tcBorders>
              <w:top w:val="single" w:color="auto" w:sz="4" w:space="0"/>
              <w:tl2br w:val="nil"/>
              <w:tr2bl w:val="nil"/>
            </w:tcBorders>
            <w:shd w:val="clear" w:color="auto" w:fill="auto"/>
            <w:vAlign w:val="center"/>
          </w:tcPr>
          <w:p w14:paraId="7D4AC532">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OS</w:t>
            </w:r>
          </w:p>
        </w:tc>
        <w:tc>
          <w:tcPr>
            <w:tcW w:w="2487" w:type="dxa"/>
            <w:tcBorders>
              <w:top w:val="single" w:color="auto" w:sz="4" w:space="0"/>
              <w:tl2br w:val="nil"/>
              <w:tr2bl w:val="nil"/>
            </w:tcBorders>
            <w:shd w:val="clear" w:color="auto" w:fill="auto"/>
            <w:vAlign w:val="center"/>
          </w:tcPr>
          <w:p w14:paraId="54604DA6">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0.42 (0.24</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0.72)</w:t>
            </w:r>
          </w:p>
        </w:tc>
        <w:tc>
          <w:tcPr>
            <w:tcW w:w="1110" w:type="dxa"/>
            <w:tcBorders>
              <w:top w:val="single" w:color="auto" w:sz="4" w:space="0"/>
              <w:tl2br w:val="nil"/>
              <w:tr2bl w:val="nil"/>
            </w:tcBorders>
            <w:shd w:val="clear" w:color="auto" w:fill="auto"/>
            <w:vAlign w:val="center"/>
          </w:tcPr>
          <w:p w14:paraId="36CD2CC2">
            <w:pPr>
              <w:keepNext w:val="0"/>
              <w:keepLines w:val="0"/>
              <w:widowControl/>
              <w:suppressLineNumbers w:val="0"/>
              <w:jc w:val="righ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0.002</w:t>
            </w:r>
          </w:p>
        </w:tc>
      </w:tr>
      <w:tr w14:paraId="086AB7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exact"/>
        </w:trPr>
        <w:tc>
          <w:tcPr>
            <w:tcW w:w="3553" w:type="dxa"/>
            <w:vMerge w:val="continue"/>
            <w:tcBorders>
              <w:tl2br w:val="nil"/>
              <w:tr2bl w:val="nil"/>
            </w:tcBorders>
            <w:shd w:val="clear" w:color="auto" w:fill="auto"/>
            <w:vAlign w:val="center"/>
          </w:tcPr>
          <w:p w14:paraId="65617367">
            <w:pPr>
              <w:rPr>
                <w:rFonts w:hint="default" w:ascii="Times New Roman" w:hAnsi="Times New Roman" w:eastAsia="Segoe UI" w:cs="Times New Roman"/>
                <w:i w:val="0"/>
                <w:iCs w:val="0"/>
                <w:color w:val="000000"/>
                <w:sz w:val="20"/>
                <w:szCs w:val="20"/>
                <w:u w:val="none"/>
              </w:rPr>
            </w:pPr>
          </w:p>
        </w:tc>
        <w:tc>
          <w:tcPr>
            <w:tcW w:w="1150" w:type="dxa"/>
            <w:tcBorders>
              <w:tl2br w:val="nil"/>
              <w:tr2bl w:val="nil"/>
            </w:tcBorders>
            <w:shd w:val="clear" w:color="auto" w:fill="auto"/>
            <w:vAlign w:val="center"/>
          </w:tcPr>
          <w:p w14:paraId="424D2B3D">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PFS</w:t>
            </w:r>
          </w:p>
        </w:tc>
        <w:tc>
          <w:tcPr>
            <w:tcW w:w="2487" w:type="dxa"/>
            <w:tcBorders>
              <w:tl2br w:val="nil"/>
              <w:tr2bl w:val="nil"/>
            </w:tcBorders>
            <w:shd w:val="clear" w:color="auto" w:fill="auto"/>
            <w:vAlign w:val="center"/>
          </w:tcPr>
          <w:p w14:paraId="1C38E797">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0.52 (0.34</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0.80)</w:t>
            </w:r>
          </w:p>
        </w:tc>
        <w:tc>
          <w:tcPr>
            <w:tcW w:w="1110" w:type="dxa"/>
            <w:tcBorders>
              <w:tl2br w:val="nil"/>
              <w:tr2bl w:val="nil"/>
            </w:tcBorders>
            <w:shd w:val="clear" w:color="auto" w:fill="auto"/>
            <w:vAlign w:val="center"/>
          </w:tcPr>
          <w:p w14:paraId="11C2C65D">
            <w:pPr>
              <w:keepNext w:val="0"/>
              <w:keepLines w:val="0"/>
              <w:widowControl/>
              <w:suppressLineNumbers w:val="0"/>
              <w:jc w:val="righ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0.003</w:t>
            </w:r>
          </w:p>
        </w:tc>
      </w:tr>
      <w:tr w14:paraId="6434C1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restart"/>
            <w:tcBorders>
              <w:tl2br w:val="nil"/>
              <w:tr2bl w:val="nil"/>
            </w:tcBorders>
            <w:shd w:val="clear" w:color="auto" w:fill="auto"/>
            <w:vAlign w:val="center"/>
          </w:tcPr>
          <w:p w14:paraId="59E8E92D">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Sensitivity analysis 1</w:t>
            </w:r>
          </w:p>
          <w:p w14:paraId="19E7D016">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(MI)</w:t>
            </w:r>
          </w:p>
        </w:tc>
        <w:tc>
          <w:tcPr>
            <w:tcW w:w="1150" w:type="dxa"/>
            <w:tcBorders>
              <w:tl2br w:val="nil"/>
              <w:tr2bl w:val="nil"/>
            </w:tcBorders>
            <w:shd w:val="clear" w:color="auto" w:fill="auto"/>
            <w:vAlign w:val="center"/>
          </w:tcPr>
          <w:p w14:paraId="6D1AC0E1">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OS</w:t>
            </w:r>
          </w:p>
        </w:tc>
        <w:tc>
          <w:tcPr>
            <w:tcW w:w="2487" w:type="dxa"/>
            <w:tcBorders>
              <w:tl2br w:val="nil"/>
              <w:tr2bl w:val="nil"/>
            </w:tcBorders>
            <w:shd w:val="clear" w:color="auto" w:fill="auto"/>
            <w:vAlign w:val="center"/>
          </w:tcPr>
          <w:p w14:paraId="351151CE">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0.46 (0.26</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0.79)</w:t>
            </w:r>
          </w:p>
        </w:tc>
        <w:tc>
          <w:tcPr>
            <w:tcW w:w="1110" w:type="dxa"/>
            <w:tcBorders>
              <w:tl2br w:val="nil"/>
              <w:tr2bl w:val="nil"/>
            </w:tcBorders>
            <w:shd w:val="clear" w:color="auto" w:fill="auto"/>
            <w:vAlign w:val="center"/>
          </w:tcPr>
          <w:p w14:paraId="5747A112">
            <w:pPr>
              <w:keepNext w:val="0"/>
              <w:keepLines w:val="0"/>
              <w:widowControl/>
              <w:suppressLineNumbers w:val="0"/>
              <w:jc w:val="righ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0.005</w:t>
            </w:r>
          </w:p>
        </w:tc>
      </w:tr>
      <w:tr w14:paraId="15E6A3C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continue"/>
            <w:tcBorders>
              <w:tl2br w:val="nil"/>
              <w:tr2bl w:val="nil"/>
            </w:tcBorders>
            <w:shd w:val="clear" w:color="auto" w:fill="auto"/>
            <w:vAlign w:val="center"/>
          </w:tcPr>
          <w:p w14:paraId="23640069">
            <w:pPr>
              <w:rPr>
                <w:rFonts w:hint="default" w:ascii="Times New Roman" w:hAnsi="Times New Roman" w:eastAsia="Segoe UI" w:cs="Times New Roman"/>
                <w:i w:val="0"/>
                <w:iCs w:val="0"/>
                <w:color w:val="000000"/>
                <w:sz w:val="20"/>
                <w:szCs w:val="20"/>
                <w:u w:val="none"/>
              </w:rPr>
            </w:pPr>
          </w:p>
        </w:tc>
        <w:tc>
          <w:tcPr>
            <w:tcW w:w="1150" w:type="dxa"/>
            <w:tcBorders>
              <w:tl2br w:val="nil"/>
              <w:tr2bl w:val="nil"/>
            </w:tcBorders>
            <w:shd w:val="clear" w:color="auto" w:fill="auto"/>
            <w:vAlign w:val="center"/>
          </w:tcPr>
          <w:p w14:paraId="693E18B5">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PFS</w:t>
            </w:r>
          </w:p>
        </w:tc>
        <w:tc>
          <w:tcPr>
            <w:tcW w:w="2487" w:type="dxa"/>
            <w:tcBorders>
              <w:tl2br w:val="nil"/>
              <w:tr2bl w:val="nil"/>
            </w:tcBorders>
            <w:shd w:val="clear" w:color="auto" w:fill="auto"/>
            <w:vAlign w:val="center"/>
          </w:tcPr>
          <w:p w14:paraId="68D2D00A">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0.53 (0.34</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0.81)</w:t>
            </w:r>
          </w:p>
        </w:tc>
        <w:tc>
          <w:tcPr>
            <w:tcW w:w="1110" w:type="dxa"/>
            <w:tcBorders>
              <w:tl2br w:val="nil"/>
              <w:tr2bl w:val="nil"/>
            </w:tcBorders>
            <w:shd w:val="clear" w:color="auto" w:fill="auto"/>
            <w:vAlign w:val="center"/>
          </w:tcPr>
          <w:p w14:paraId="74395F71">
            <w:pPr>
              <w:keepNext w:val="0"/>
              <w:keepLines w:val="0"/>
              <w:widowControl/>
              <w:suppressLineNumbers w:val="0"/>
              <w:jc w:val="righ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0.004</w:t>
            </w:r>
          </w:p>
        </w:tc>
      </w:tr>
      <w:tr w14:paraId="253327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restart"/>
            <w:tcBorders>
              <w:tl2br w:val="nil"/>
              <w:tr2bl w:val="nil"/>
            </w:tcBorders>
            <w:shd w:val="clear" w:color="auto" w:fill="auto"/>
            <w:vAlign w:val="center"/>
          </w:tcPr>
          <w:p w14:paraId="35C1ED6E">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Sensitivity analysis 2</w:t>
            </w:r>
          </w:p>
          <w:p w14:paraId="7EAE341F">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 xml:space="preserve"> (IPTW)</w:t>
            </w:r>
          </w:p>
        </w:tc>
        <w:tc>
          <w:tcPr>
            <w:tcW w:w="1150" w:type="dxa"/>
            <w:tcBorders>
              <w:tl2br w:val="nil"/>
              <w:tr2bl w:val="nil"/>
            </w:tcBorders>
            <w:shd w:val="clear" w:color="auto" w:fill="auto"/>
            <w:vAlign w:val="center"/>
          </w:tcPr>
          <w:p w14:paraId="4A9A6BFB">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OS</w:t>
            </w:r>
          </w:p>
        </w:tc>
        <w:tc>
          <w:tcPr>
            <w:tcW w:w="2487" w:type="dxa"/>
            <w:tcBorders>
              <w:tl2br w:val="nil"/>
              <w:tr2bl w:val="nil"/>
            </w:tcBorders>
            <w:shd w:val="clear" w:color="auto" w:fill="auto"/>
            <w:vAlign w:val="center"/>
          </w:tcPr>
          <w:p w14:paraId="413464FE">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0.48 (0.37</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0.63)</w:t>
            </w:r>
          </w:p>
        </w:tc>
        <w:tc>
          <w:tcPr>
            <w:tcW w:w="1110" w:type="dxa"/>
            <w:tcBorders>
              <w:tl2br w:val="nil"/>
              <w:tr2bl w:val="nil"/>
            </w:tcBorders>
            <w:shd w:val="clear" w:color="auto" w:fill="auto"/>
            <w:vAlign w:val="center"/>
          </w:tcPr>
          <w:p w14:paraId="035CB45C">
            <w:pPr>
              <w:keepNext w:val="0"/>
              <w:keepLines w:val="0"/>
              <w:widowControl/>
              <w:suppressLineNumbers w:val="0"/>
              <w:jc w:val="righ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&lt;</w:t>
            </w:r>
            <w:r>
              <w:rPr>
                <w:rFonts w:hint="eastAsia" w:ascii="Times New Roman" w:hAnsi="Times New Roman" w:eastAsia="Segoe UI" w:cs="Times New Roman"/>
                <w:i w:val="0"/>
                <w:iCs w:val="0"/>
                <w:color w:val="000000"/>
                <w:kern w:val="0"/>
                <w:sz w:val="20"/>
                <w:szCs w:val="20"/>
                <w:u w:val="none"/>
                <w:lang w:val="en-US" w:eastAsia="zh-CN" w:bidi="ar"/>
              </w:rPr>
              <w:t xml:space="preserve"> </w:t>
            </w:r>
            <w:r>
              <w:rPr>
                <w:rFonts w:hint="default" w:ascii="Times New Roman" w:hAnsi="Times New Roman" w:eastAsia="Segoe UI" w:cs="Times New Roman"/>
                <w:i w:val="0"/>
                <w:iCs w:val="0"/>
                <w:color w:val="000000"/>
                <w:kern w:val="0"/>
                <w:sz w:val="20"/>
                <w:szCs w:val="20"/>
                <w:u w:val="none"/>
                <w:lang w:val="en-US" w:eastAsia="zh-CN" w:bidi="ar"/>
              </w:rPr>
              <w:t>0.001</w:t>
            </w:r>
          </w:p>
        </w:tc>
      </w:tr>
      <w:tr w14:paraId="017A36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exact"/>
        </w:trPr>
        <w:tc>
          <w:tcPr>
            <w:tcW w:w="3553" w:type="dxa"/>
            <w:vMerge w:val="continue"/>
            <w:tcBorders>
              <w:tl2br w:val="nil"/>
              <w:tr2bl w:val="nil"/>
            </w:tcBorders>
            <w:shd w:val="clear" w:color="auto" w:fill="auto"/>
            <w:vAlign w:val="center"/>
          </w:tcPr>
          <w:p w14:paraId="0943E7E2">
            <w:pPr>
              <w:rPr>
                <w:rFonts w:hint="default" w:ascii="Times New Roman" w:hAnsi="Times New Roman" w:eastAsia="Segoe UI" w:cs="Times New Roman"/>
                <w:i w:val="0"/>
                <w:iCs w:val="0"/>
                <w:color w:val="000000"/>
                <w:sz w:val="20"/>
                <w:szCs w:val="20"/>
                <w:u w:val="none"/>
              </w:rPr>
            </w:pPr>
          </w:p>
        </w:tc>
        <w:tc>
          <w:tcPr>
            <w:tcW w:w="1150" w:type="dxa"/>
            <w:tcBorders>
              <w:tl2br w:val="nil"/>
              <w:tr2bl w:val="nil"/>
            </w:tcBorders>
            <w:shd w:val="clear" w:color="auto" w:fill="auto"/>
            <w:vAlign w:val="center"/>
          </w:tcPr>
          <w:p w14:paraId="1D110090">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PFS</w:t>
            </w:r>
          </w:p>
        </w:tc>
        <w:tc>
          <w:tcPr>
            <w:tcW w:w="2487" w:type="dxa"/>
            <w:tcBorders>
              <w:tl2br w:val="nil"/>
              <w:tr2bl w:val="nil"/>
            </w:tcBorders>
            <w:shd w:val="clear" w:color="auto" w:fill="auto"/>
            <w:vAlign w:val="center"/>
          </w:tcPr>
          <w:p w14:paraId="11CC2925">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0.48 (0.38</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0.60)</w:t>
            </w:r>
          </w:p>
        </w:tc>
        <w:tc>
          <w:tcPr>
            <w:tcW w:w="1110" w:type="dxa"/>
            <w:tcBorders>
              <w:tl2br w:val="nil"/>
              <w:tr2bl w:val="nil"/>
            </w:tcBorders>
            <w:shd w:val="clear" w:color="auto" w:fill="auto"/>
            <w:vAlign w:val="center"/>
          </w:tcPr>
          <w:p w14:paraId="2F61BD3D">
            <w:pPr>
              <w:keepNext w:val="0"/>
              <w:keepLines w:val="0"/>
              <w:widowControl/>
              <w:suppressLineNumbers w:val="0"/>
              <w:jc w:val="righ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&lt;</w:t>
            </w:r>
            <w:r>
              <w:rPr>
                <w:rFonts w:hint="eastAsia" w:ascii="Times New Roman" w:hAnsi="Times New Roman" w:eastAsia="Segoe UI" w:cs="Times New Roman"/>
                <w:i w:val="0"/>
                <w:iCs w:val="0"/>
                <w:color w:val="000000"/>
                <w:kern w:val="0"/>
                <w:sz w:val="20"/>
                <w:szCs w:val="20"/>
                <w:u w:val="none"/>
                <w:lang w:val="en-US" w:eastAsia="zh-CN" w:bidi="ar"/>
              </w:rPr>
              <w:t xml:space="preserve"> </w:t>
            </w:r>
            <w:r>
              <w:rPr>
                <w:rFonts w:hint="default" w:ascii="Times New Roman" w:hAnsi="Times New Roman" w:eastAsia="Segoe UI" w:cs="Times New Roman"/>
                <w:i w:val="0"/>
                <w:iCs w:val="0"/>
                <w:color w:val="000000"/>
                <w:kern w:val="0"/>
                <w:sz w:val="20"/>
                <w:szCs w:val="20"/>
                <w:u w:val="none"/>
                <w:lang w:val="en-US" w:eastAsia="zh-CN" w:bidi="ar"/>
              </w:rPr>
              <w:t>0.001</w:t>
            </w:r>
          </w:p>
        </w:tc>
      </w:tr>
      <w:tr w14:paraId="71E322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restart"/>
            <w:tcBorders>
              <w:tl2br w:val="nil"/>
              <w:tr2bl w:val="nil"/>
            </w:tcBorders>
            <w:shd w:val="clear" w:color="auto" w:fill="auto"/>
            <w:vAlign w:val="center"/>
          </w:tcPr>
          <w:p w14:paraId="4B78B6EE">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 xml:space="preserve">Sensitivity analysis 3 </w:t>
            </w:r>
          </w:p>
          <w:p w14:paraId="1093B80C">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(6</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month landmark)</w:t>
            </w:r>
          </w:p>
        </w:tc>
        <w:tc>
          <w:tcPr>
            <w:tcW w:w="1150" w:type="dxa"/>
            <w:tcBorders>
              <w:tl2br w:val="nil"/>
              <w:tr2bl w:val="nil"/>
            </w:tcBorders>
            <w:shd w:val="clear" w:color="auto" w:fill="auto"/>
            <w:vAlign w:val="center"/>
          </w:tcPr>
          <w:p w14:paraId="0951BFF9">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OS</w:t>
            </w:r>
          </w:p>
        </w:tc>
        <w:tc>
          <w:tcPr>
            <w:tcW w:w="2487" w:type="dxa"/>
            <w:tcBorders>
              <w:tl2br w:val="nil"/>
              <w:tr2bl w:val="nil"/>
            </w:tcBorders>
            <w:shd w:val="clear" w:color="auto" w:fill="auto"/>
            <w:vAlign w:val="center"/>
          </w:tcPr>
          <w:p w14:paraId="6C239EAC">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0.46 (0.26</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0.84)</w:t>
            </w:r>
          </w:p>
        </w:tc>
        <w:tc>
          <w:tcPr>
            <w:tcW w:w="1110" w:type="dxa"/>
            <w:tcBorders>
              <w:tl2br w:val="nil"/>
              <w:tr2bl w:val="nil"/>
            </w:tcBorders>
            <w:shd w:val="clear" w:color="auto" w:fill="auto"/>
            <w:vAlign w:val="center"/>
          </w:tcPr>
          <w:p w14:paraId="6481345E">
            <w:pPr>
              <w:keepNext w:val="0"/>
              <w:keepLines w:val="0"/>
              <w:widowControl/>
              <w:suppressLineNumbers w:val="0"/>
              <w:jc w:val="righ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0.012</w:t>
            </w:r>
          </w:p>
        </w:tc>
      </w:tr>
      <w:tr w14:paraId="184733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exact"/>
        </w:trPr>
        <w:tc>
          <w:tcPr>
            <w:tcW w:w="3553" w:type="dxa"/>
            <w:vMerge w:val="continue"/>
            <w:tcBorders>
              <w:tl2br w:val="nil"/>
              <w:tr2bl w:val="nil"/>
            </w:tcBorders>
            <w:shd w:val="clear" w:color="auto" w:fill="auto"/>
            <w:vAlign w:val="center"/>
          </w:tcPr>
          <w:p w14:paraId="458AC2C8">
            <w:pPr>
              <w:rPr>
                <w:rFonts w:hint="default" w:ascii="Times New Roman" w:hAnsi="Times New Roman" w:eastAsia="Segoe UI" w:cs="Times New Roman"/>
                <w:i w:val="0"/>
                <w:iCs w:val="0"/>
                <w:color w:val="000000"/>
                <w:sz w:val="20"/>
                <w:szCs w:val="20"/>
                <w:u w:val="none"/>
              </w:rPr>
            </w:pPr>
          </w:p>
        </w:tc>
        <w:tc>
          <w:tcPr>
            <w:tcW w:w="1150" w:type="dxa"/>
            <w:tcBorders>
              <w:tl2br w:val="nil"/>
              <w:tr2bl w:val="nil"/>
            </w:tcBorders>
            <w:shd w:val="clear" w:color="auto" w:fill="auto"/>
            <w:vAlign w:val="center"/>
          </w:tcPr>
          <w:p w14:paraId="42B2718B">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PFS</w:t>
            </w:r>
          </w:p>
        </w:tc>
        <w:tc>
          <w:tcPr>
            <w:tcW w:w="2487" w:type="dxa"/>
            <w:tcBorders>
              <w:tl2br w:val="nil"/>
              <w:tr2bl w:val="nil"/>
            </w:tcBorders>
            <w:shd w:val="clear" w:color="auto" w:fill="auto"/>
            <w:vAlign w:val="center"/>
          </w:tcPr>
          <w:p w14:paraId="262CD79E">
            <w:pPr>
              <w:keepNext w:val="0"/>
              <w:keepLines w:val="0"/>
              <w:widowControl/>
              <w:suppressLineNumbers w:val="0"/>
              <w:jc w:val="lef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0.48 (0.25</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0.94)</w:t>
            </w:r>
          </w:p>
        </w:tc>
        <w:tc>
          <w:tcPr>
            <w:tcW w:w="1110" w:type="dxa"/>
            <w:tcBorders>
              <w:tl2br w:val="nil"/>
              <w:tr2bl w:val="nil"/>
            </w:tcBorders>
            <w:shd w:val="clear" w:color="auto" w:fill="auto"/>
            <w:vAlign w:val="center"/>
          </w:tcPr>
          <w:p w14:paraId="6F0311B6">
            <w:pPr>
              <w:keepNext w:val="0"/>
              <w:keepLines w:val="0"/>
              <w:widowControl/>
              <w:suppressLineNumbers w:val="0"/>
              <w:jc w:val="right"/>
              <w:textAlignment w:val="center"/>
              <w:rPr>
                <w:rFonts w:hint="default" w:ascii="Times New Roman" w:hAnsi="Times New Roman" w:eastAsia="Segoe UI" w:cs="Times New Roman"/>
                <w:i w:val="0"/>
                <w:iCs w:val="0"/>
                <w:color w:val="000000"/>
                <w:sz w:val="20"/>
                <w:szCs w:val="20"/>
                <w:u w:val="none"/>
              </w:rPr>
            </w:pPr>
            <w:r>
              <w:rPr>
                <w:rFonts w:hint="default" w:ascii="Times New Roman" w:hAnsi="Times New Roman" w:eastAsia="Segoe UI" w:cs="Times New Roman"/>
                <w:i w:val="0"/>
                <w:iCs w:val="0"/>
                <w:color w:val="000000"/>
                <w:kern w:val="0"/>
                <w:sz w:val="20"/>
                <w:szCs w:val="20"/>
                <w:u w:val="none"/>
                <w:lang w:val="en-US" w:eastAsia="zh-CN" w:bidi="ar"/>
              </w:rPr>
              <w:t>0.033</w:t>
            </w:r>
          </w:p>
        </w:tc>
      </w:tr>
      <w:tr w14:paraId="7E9DB1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restart"/>
            <w:tcBorders>
              <w:tl2br w:val="nil"/>
              <w:tr2bl w:val="nil"/>
            </w:tcBorders>
            <w:shd w:val="clear" w:color="auto" w:fill="auto"/>
            <w:vAlign w:val="center"/>
          </w:tcPr>
          <w:p w14:paraId="19689BA0">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Sensitivity analysis 4</w:t>
            </w:r>
          </w:p>
          <w:p w14:paraId="15C385AC">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bidi="ar"/>
              </w:rPr>
            </w:pPr>
            <w:r>
              <w:rPr>
                <w:rFonts w:hint="default" w:ascii="Times New Roman" w:hAnsi="Times New Roman" w:eastAsia="Segoe UI" w:cs="Times New Roman"/>
                <w:i w:val="0"/>
                <w:iCs w:val="0"/>
                <w:color w:val="000000"/>
                <w:kern w:val="0"/>
                <w:sz w:val="20"/>
                <w:szCs w:val="20"/>
                <w:u w:val="none"/>
                <w:lang w:val="en-US" w:eastAsia="zh-CN" w:bidi="ar"/>
              </w:rPr>
              <w:t>(Re</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inclusion of 7 LTFU patients with censoring)</w:t>
            </w:r>
          </w:p>
        </w:tc>
        <w:tc>
          <w:tcPr>
            <w:tcW w:w="1150" w:type="dxa"/>
            <w:tcBorders>
              <w:tl2br w:val="nil"/>
              <w:tr2bl w:val="nil"/>
            </w:tcBorders>
            <w:shd w:val="clear" w:color="auto" w:fill="auto"/>
            <w:vAlign w:val="center"/>
          </w:tcPr>
          <w:p w14:paraId="76967A8F">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OS</w:t>
            </w:r>
          </w:p>
        </w:tc>
        <w:tc>
          <w:tcPr>
            <w:tcW w:w="2487" w:type="dxa"/>
            <w:tcBorders>
              <w:tl2br w:val="nil"/>
              <w:tr2bl w:val="nil"/>
            </w:tcBorders>
            <w:shd w:val="clear" w:color="auto" w:fill="auto"/>
            <w:vAlign w:val="center"/>
          </w:tcPr>
          <w:p w14:paraId="567EBC1B">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0.44 (0.26</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0.75)</w:t>
            </w:r>
          </w:p>
        </w:tc>
        <w:tc>
          <w:tcPr>
            <w:tcW w:w="1110" w:type="dxa"/>
            <w:tcBorders>
              <w:tl2br w:val="nil"/>
              <w:tr2bl w:val="nil"/>
            </w:tcBorders>
            <w:shd w:val="clear" w:color="auto" w:fill="auto"/>
            <w:vAlign w:val="center"/>
          </w:tcPr>
          <w:p w14:paraId="02AC92DC">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0.003</w:t>
            </w:r>
          </w:p>
        </w:tc>
      </w:tr>
      <w:tr w14:paraId="6107EB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continue"/>
            <w:tcBorders>
              <w:tl2br w:val="nil"/>
              <w:tr2bl w:val="nil"/>
            </w:tcBorders>
            <w:shd w:val="clear" w:color="auto" w:fill="auto"/>
            <w:vAlign w:val="center"/>
          </w:tcPr>
          <w:p w14:paraId="595CF057">
            <w:pPr>
              <w:textAlignment w:val="center"/>
              <w:rPr>
                <w:rFonts w:hint="default" w:ascii="Times New Roman" w:hAnsi="Times New Roman" w:eastAsia="Segoe UI" w:cs="Times New Roman"/>
                <w:i w:val="0"/>
                <w:iCs w:val="0"/>
                <w:color w:val="000000"/>
                <w:kern w:val="0"/>
                <w:sz w:val="20"/>
                <w:szCs w:val="20"/>
                <w:u w:val="none"/>
                <w:lang w:bidi="ar"/>
              </w:rPr>
            </w:pPr>
          </w:p>
        </w:tc>
        <w:tc>
          <w:tcPr>
            <w:tcW w:w="1150" w:type="dxa"/>
            <w:tcBorders>
              <w:tl2br w:val="nil"/>
              <w:tr2bl w:val="nil"/>
            </w:tcBorders>
            <w:shd w:val="clear" w:color="auto" w:fill="auto"/>
            <w:vAlign w:val="center"/>
          </w:tcPr>
          <w:p w14:paraId="0B6AAD35">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PFS</w:t>
            </w:r>
          </w:p>
        </w:tc>
        <w:tc>
          <w:tcPr>
            <w:tcW w:w="2487" w:type="dxa"/>
            <w:tcBorders>
              <w:tl2br w:val="nil"/>
              <w:tr2bl w:val="nil"/>
            </w:tcBorders>
            <w:shd w:val="clear" w:color="auto" w:fill="auto"/>
            <w:vAlign w:val="center"/>
          </w:tcPr>
          <w:p w14:paraId="5EB23C15">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0.57 (0.37</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0.87)</w:t>
            </w:r>
          </w:p>
        </w:tc>
        <w:tc>
          <w:tcPr>
            <w:tcW w:w="1110" w:type="dxa"/>
            <w:tcBorders>
              <w:tl2br w:val="nil"/>
              <w:tr2bl w:val="nil"/>
            </w:tcBorders>
            <w:shd w:val="clear" w:color="auto" w:fill="auto"/>
            <w:vAlign w:val="center"/>
          </w:tcPr>
          <w:p w14:paraId="40080A20">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0.008</w:t>
            </w:r>
          </w:p>
        </w:tc>
      </w:tr>
      <w:tr w14:paraId="6FE959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restart"/>
            <w:tcBorders>
              <w:tl2br w:val="nil"/>
              <w:tr2bl w:val="nil"/>
            </w:tcBorders>
            <w:shd w:val="clear" w:color="auto" w:fill="auto"/>
            <w:vAlign w:val="center"/>
          </w:tcPr>
          <w:p w14:paraId="0C68D59E">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Sensitivity analysis 5</w:t>
            </w:r>
          </w:p>
          <w:p w14:paraId="1D396979">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bidi="ar"/>
              </w:rPr>
            </w:pPr>
            <w:r>
              <w:rPr>
                <w:rFonts w:hint="default" w:ascii="Times New Roman" w:hAnsi="Times New Roman" w:eastAsia="Segoe UI" w:cs="Times New Roman"/>
                <w:i w:val="0"/>
                <w:iCs w:val="0"/>
                <w:color w:val="000000"/>
                <w:kern w:val="0"/>
                <w:sz w:val="20"/>
                <w:szCs w:val="20"/>
                <w:u w:val="none"/>
                <w:lang w:val="en-US" w:eastAsia="zh-CN" w:bidi="ar"/>
              </w:rPr>
              <w:t xml:space="preserve">(Evaluable cohort of 227 patients comprising 211 original, 7 LTFU, and 9 discontinued treatment within 8 </w:t>
            </w:r>
            <w:r>
              <w:rPr>
                <w:rFonts w:hint="eastAsia" w:ascii="Times New Roman" w:hAnsi="Times New Roman" w:eastAsia="Segoe UI" w:cs="Times New Roman"/>
                <w:i w:val="0"/>
                <w:iCs w:val="0"/>
                <w:color w:val="000000"/>
                <w:kern w:val="0"/>
                <w:sz w:val="20"/>
                <w:szCs w:val="20"/>
                <w:u w:val="none"/>
                <w:lang w:val="en-US" w:eastAsia="zh-CN" w:bidi="ar"/>
              </w:rPr>
              <w:t>weeks</w:t>
            </w:r>
            <w:r>
              <w:rPr>
                <w:rFonts w:hint="default" w:ascii="Times New Roman" w:hAnsi="Times New Roman" w:eastAsia="Segoe UI" w:cs="Times New Roman"/>
                <w:i w:val="0"/>
                <w:iCs w:val="0"/>
                <w:color w:val="000000"/>
                <w:kern w:val="0"/>
                <w:sz w:val="20"/>
                <w:szCs w:val="20"/>
                <w:u w:val="none"/>
                <w:lang w:val="en-US" w:eastAsia="zh-CN" w:bidi="ar"/>
              </w:rPr>
              <w:t>)</w:t>
            </w:r>
          </w:p>
        </w:tc>
        <w:tc>
          <w:tcPr>
            <w:tcW w:w="1150" w:type="dxa"/>
            <w:tcBorders>
              <w:tl2br w:val="nil"/>
              <w:tr2bl w:val="nil"/>
            </w:tcBorders>
            <w:shd w:val="clear" w:color="auto" w:fill="auto"/>
            <w:vAlign w:val="center"/>
          </w:tcPr>
          <w:p w14:paraId="78C35643">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OS</w:t>
            </w:r>
          </w:p>
        </w:tc>
        <w:tc>
          <w:tcPr>
            <w:tcW w:w="2487" w:type="dxa"/>
            <w:tcBorders>
              <w:tl2br w:val="nil"/>
              <w:tr2bl w:val="nil"/>
            </w:tcBorders>
            <w:shd w:val="clear" w:color="auto" w:fill="auto"/>
            <w:vAlign w:val="center"/>
          </w:tcPr>
          <w:p w14:paraId="7DDA36DF">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0.49 (0.29</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0.83)</w:t>
            </w:r>
          </w:p>
        </w:tc>
        <w:tc>
          <w:tcPr>
            <w:tcW w:w="1110" w:type="dxa"/>
            <w:tcBorders>
              <w:tl2br w:val="nil"/>
              <w:tr2bl w:val="nil"/>
            </w:tcBorders>
            <w:shd w:val="clear" w:color="auto" w:fill="auto"/>
            <w:vAlign w:val="center"/>
          </w:tcPr>
          <w:p w14:paraId="5A098869">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0.008</w:t>
            </w:r>
          </w:p>
        </w:tc>
      </w:tr>
      <w:tr w14:paraId="04BA1F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continue"/>
            <w:tcBorders>
              <w:tl2br w:val="nil"/>
              <w:tr2bl w:val="nil"/>
            </w:tcBorders>
            <w:shd w:val="clear" w:color="auto" w:fill="auto"/>
            <w:vAlign w:val="center"/>
          </w:tcPr>
          <w:p w14:paraId="508309D3">
            <w:pPr>
              <w:textAlignment w:val="center"/>
              <w:rPr>
                <w:rFonts w:hint="default" w:ascii="Times New Roman" w:hAnsi="Times New Roman" w:eastAsia="Segoe UI" w:cs="Times New Roman"/>
                <w:i w:val="0"/>
                <w:iCs w:val="0"/>
                <w:color w:val="000000"/>
                <w:kern w:val="0"/>
                <w:sz w:val="20"/>
                <w:szCs w:val="20"/>
                <w:u w:val="none"/>
                <w:lang w:bidi="ar"/>
              </w:rPr>
            </w:pPr>
          </w:p>
        </w:tc>
        <w:tc>
          <w:tcPr>
            <w:tcW w:w="1150" w:type="dxa"/>
            <w:tcBorders>
              <w:tl2br w:val="nil"/>
              <w:tr2bl w:val="nil"/>
            </w:tcBorders>
            <w:shd w:val="clear" w:color="auto" w:fill="auto"/>
            <w:vAlign w:val="center"/>
          </w:tcPr>
          <w:p w14:paraId="539FAE3A">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PFS</w:t>
            </w:r>
          </w:p>
        </w:tc>
        <w:tc>
          <w:tcPr>
            <w:tcW w:w="2487" w:type="dxa"/>
            <w:tcBorders>
              <w:tl2br w:val="nil"/>
              <w:tr2bl w:val="nil"/>
            </w:tcBorders>
            <w:shd w:val="clear" w:color="auto" w:fill="auto"/>
            <w:vAlign w:val="center"/>
          </w:tcPr>
          <w:p w14:paraId="6C0CB239">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0.60 (0.40</w:t>
            </w:r>
            <w:r>
              <w:rPr>
                <w:rFonts w:hint="eastAsia" w:ascii="Times New Roman" w:hAnsi="Times New Roman" w:eastAsia="Segoe UI" w:cs="Times New Roman"/>
                <w:i w:val="0"/>
                <w:iCs w:val="0"/>
                <w:color w:val="000000"/>
                <w:kern w:val="0"/>
                <w:sz w:val="20"/>
                <w:szCs w:val="20"/>
                <w:u w:val="none"/>
                <w:lang w:val="en-US" w:eastAsia="zh-CN" w:bidi="ar"/>
              </w:rPr>
              <w:t>-</w:t>
            </w:r>
            <w:r>
              <w:rPr>
                <w:rFonts w:hint="default" w:ascii="Times New Roman" w:hAnsi="Times New Roman" w:eastAsia="Segoe UI" w:cs="Times New Roman"/>
                <w:i w:val="0"/>
                <w:iCs w:val="0"/>
                <w:color w:val="000000"/>
                <w:kern w:val="0"/>
                <w:sz w:val="20"/>
                <w:szCs w:val="20"/>
                <w:u w:val="none"/>
                <w:lang w:val="en-US" w:eastAsia="zh-CN" w:bidi="ar"/>
              </w:rPr>
              <w:t>0.90)</w:t>
            </w:r>
          </w:p>
        </w:tc>
        <w:tc>
          <w:tcPr>
            <w:tcW w:w="1110" w:type="dxa"/>
            <w:tcBorders>
              <w:tl2br w:val="nil"/>
              <w:tr2bl w:val="nil"/>
            </w:tcBorders>
            <w:shd w:val="clear" w:color="auto" w:fill="auto"/>
            <w:vAlign w:val="center"/>
          </w:tcPr>
          <w:p w14:paraId="614B07DE">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0.015</w:t>
            </w:r>
          </w:p>
        </w:tc>
      </w:tr>
      <w:tr w14:paraId="666AED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restart"/>
            <w:tcBorders>
              <w:tl2br w:val="nil"/>
              <w:tr2bl w:val="nil"/>
            </w:tcBorders>
            <w:shd w:val="clear" w:color="auto" w:fill="auto"/>
            <w:vAlign w:val="center"/>
          </w:tcPr>
          <w:p w14:paraId="13068EAB">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 xml:space="preserve">Sensitivity analysis </w:t>
            </w:r>
            <w:r>
              <w:rPr>
                <w:rFonts w:hint="eastAsia" w:ascii="Times New Roman" w:hAnsi="Times New Roman" w:eastAsia="Segoe UI" w:cs="Times New Roman"/>
                <w:i w:val="0"/>
                <w:iCs w:val="0"/>
                <w:color w:val="000000"/>
                <w:kern w:val="0"/>
                <w:sz w:val="20"/>
                <w:szCs w:val="20"/>
                <w:u w:val="none"/>
                <w:lang w:val="en-US" w:eastAsia="zh-CN" w:bidi="ar"/>
              </w:rPr>
              <w:t>6</w:t>
            </w:r>
          </w:p>
          <w:p w14:paraId="5D68FFBF">
            <w:pPr>
              <w:jc w:val="left"/>
              <w:textAlignment w:val="center"/>
              <w:rPr>
                <w:rFonts w:hint="default" w:ascii="Times New Roman" w:hAnsi="Times New Roman" w:eastAsia="Segoe UI" w:cs="Times New Roman"/>
                <w:i w:val="0"/>
                <w:iCs w:val="0"/>
                <w:color w:val="000000"/>
                <w:kern w:val="0"/>
                <w:sz w:val="20"/>
                <w:szCs w:val="20"/>
                <w:u w:val="none"/>
                <w:lang w:bidi="ar"/>
              </w:rPr>
            </w:pPr>
            <w:r>
              <w:rPr>
                <w:rFonts w:hint="default" w:ascii="Times New Roman" w:hAnsi="Times New Roman" w:eastAsia="Segoe UI" w:cs="Times New Roman"/>
                <w:i w:val="0"/>
                <w:iCs w:val="0"/>
                <w:color w:val="000000"/>
                <w:kern w:val="0"/>
                <w:sz w:val="20"/>
                <w:szCs w:val="20"/>
                <w:u w:val="none"/>
                <w:lang w:val="en-US" w:eastAsia="zh-CN" w:bidi="ar"/>
              </w:rPr>
              <w:t>(</w:t>
            </w:r>
            <w:r>
              <w:rPr>
                <w:rFonts w:hint="eastAsia" w:ascii="Times New Roman" w:hAnsi="Times New Roman" w:eastAsia="Segoe UI" w:cs="Times New Roman"/>
                <w:i w:val="0"/>
                <w:iCs w:val="0"/>
                <w:color w:val="000000"/>
                <w:kern w:val="0"/>
                <w:sz w:val="20"/>
                <w:szCs w:val="20"/>
                <w:u w:val="none"/>
                <w:lang w:val="en-US" w:eastAsia="zh-CN" w:bidi="ar"/>
              </w:rPr>
              <w:t>doubly robust Cox regression</w:t>
            </w:r>
            <w:r>
              <w:rPr>
                <w:rFonts w:hint="default" w:ascii="Times New Roman" w:hAnsi="Times New Roman" w:eastAsia="Segoe UI" w:cs="Times New Roman"/>
                <w:i w:val="0"/>
                <w:iCs w:val="0"/>
                <w:color w:val="000000"/>
                <w:kern w:val="0"/>
                <w:sz w:val="20"/>
                <w:szCs w:val="20"/>
                <w:u w:val="none"/>
                <w:lang w:val="en-US" w:eastAsia="zh-CN" w:bidi="ar"/>
              </w:rPr>
              <w:t>)</w:t>
            </w:r>
          </w:p>
        </w:tc>
        <w:tc>
          <w:tcPr>
            <w:tcW w:w="1150" w:type="dxa"/>
            <w:tcBorders>
              <w:tl2br w:val="nil"/>
              <w:tr2bl w:val="nil"/>
            </w:tcBorders>
            <w:shd w:val="clear" w:color="auto" w:fill="auto"/>
            <w:vAlign w:val="center"/>
          </w:tcPr>
          <w:p w14:paraId="290E7B98">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OS</w:t>
            </w:r>
          </w:p>
        </w:tc>
        <w:tc>
          <w:tcPr>
            <w:tcW w:w="2487" w:type="dxa"/>
            <w:tcBorders>
              <w:tl2br w:val="nil"/>
              <w:tr2bl w:val="nil"/>
            </w:tcBorders>
            <w:shd w:val="clear" w:color="auto" w:fill="auto"/>
            <w:vAlign w:val="center"/>
          </w:tcPr>
          <w:p w14:paraId="3A777F9B">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eastAsia" w:ascii="Times New Roman" w:hAnsi="Times New Roman" w:eastAsia="Segoe UI" w:cs="Times New Roman"/>
                <w:i w:val="0"/>
                <w:iCs w:val="0"/>
                <w:color w:val="000000"/>
                <w:kern w:val="0"/>
                <w:sz w:val="20"/>
                <w:szCs w:val="20"/>
                <w:u w:val="none"/>
                <w:lang w:val="en-US" w:eastAsia="zh-CN" w:bidi="ar"/>
              </w:rPr>
              <w:t xml:space="preserve">0.33 (0.22-0.68) </w:t>
            </w:r>
          </w:p>
        </w:tc>
        <w:tc>
          <w:tcPr>
            <w:tcW w:w="1110" w:type="dxa"/>
            <w:tcBorders>
              <w:tl2br w:val="nil"/>
              <w:tr2bl w:val="nil"/>
            </w:tcBorders>
            <w:shd w:val="clear" w:color="auto" w:fill="auto"/>
            <w:vAlign w:val="center"/>
          </w:tcPr>
          <w:p w14:paraId="69763019">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eastAsia" w:ascii="Times New Roman" w:hAnsi="Times New Roman" w:eastAsia="Segoe UI" w:cs="Times New Roman"/>
                <w:i w:val="0"/>
                <w:iCs w:val="0"/>
                <w:color w:val="000000"/>
                <w:kern w:val="0"/>
                <w:sz w:val="20"/>
                <w:szCs w:val="20"/>
                <w:u w:val="none"/>
                <w:lang w:val="en-US" w:eastAsia="zh-CN" w:bidi="ar"/>
              </w:rPr>
              <w:t>0.001</w:t>
            </w:r>
          </w:p>
        </w:tc>
      </w:tr>
      <w:tr w14:paraId="39FD273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3553" w:type="dxa"/>
            <w:vMerge w:val="continue"/>
            <w:tcBorders>
              <w:tl2br w:val="nil"/>
              <w:tr2bl w:val="nil"/>
            </w:tcBorders>
            <w:shd w:val="clear" w:color="auto" w:fill="auto"/>
            <w:vAlign w:val="center"/>
          </w:tcPr>
          <w:p w14:paraId="60A0B46F">
            <w:pPr>
              <w:textAlignment w:val="center"/>
              <w:rPr>
                <w:rFonts w:hint="default" w:ascii="Times New Roman" w:hAnsi="Times New Roman" w:eastAsia="Segoe UI" w:cs="Times New Roman"/>
                <w:i w:val="0"/>
                <w:iCs w:val="0"/>
                <w:color w:val="000000"/>
                <w:kern w:val="0"/>
                <w:sz w:val="20"/>
                <w:szCs w:val="20"/>
                <w:u w:val="none"/>
                <w:lang w:bidi="ar"/>
              </w:rPr>
            </w:pPr>
          </w:p>
        </w:tc>
        <w:tc>
          <w:tcPr>
            <w:tcW w:w="1150" w:type="dxa"/>
            <w:tcBorders>
              <w:tl2br w:val="nil"/>
              <w:tr2bl w:val="nil"/>
            </w:tcBorders>
            <w:shd w:val="clear" w:color="auto" w:fill="auto"/>
            <w:vAlign w:val="center"/>
          </w:tcPr>
          <w:p w14:paraId="4312EB5A">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default" w:ascii="Times New Roman" w:hAnsi="Times New Roman" w:eastAsia="Segoe UI" w:cs="Times New Roman"/>
                <w:i w:val="0"/>
                <w:iCs w:val="0"/>
                <w:color w:val="000000"/>
                <w:kern w:val="0"/>
                <w:sz w:val="20"/>
                <w:szCs w:val="20"/>
                <w:u w:val="none"/>
                <w:lang w:val="en-US" w:eastAsia="zh-CN" w:bidi="ar"/>
              </w:rPr>
              <w:t>PFS</w:t>
            </w:r>
          </w:p>
        </w:tc>
        <w:tc>
          <w:tcPr>
            <w:tcW w:w="2487" w:type="dxa"/>
            <w:tcBorders>
              <w:tl2br w:val="nil"/>
              <w:tr2bl w:val="nil"/>
            </w:tcBorders>
            <w:shd w:val="clear" w:color="auto" w:fill="auto"/>
            <w:vAlign w:val="center"/>
          </w:tcPr>
          <w:p w14:paraId="014A73B6">
            <w:pPr>
              <w:keepNext w:val="0"/>
              <w:keepLines w:val="0"/>
              <w:widowControl/>
              <w:suppressLineNumbers w:val="0"/>
              <w:jc w:val="lef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eastAsia" w:ascii="Times New Roman" w:hAnsi="Times New Roman" w:eastAsia="Segoe UI" w:cs="Times New Roman"/>
                <w:i w:val="0"/>
                <w:iCs w:val="0"/>
                <w:color w:val="000000"/>
                <w:kern w:val="0"/>
                <w:sz w:val="20"/>
                <w:szCs w:val="20"/>
                <w:u w:val="none"/>
                <w:lang w:val="en-US" w:eastAsia="zh-CN" w:bidi="ar"/>
              </w:rPr>
              <w:t>0.48 (0.33-0.82 )</w:t>
            </w:r>
          </w:p>
        </w:tc>
        <w:tc>
          <w:tcPr>
            <w:tcW w:w="1110" w:type="dxa"/>
            <w:tcBorders>
              <w:tl2br w:val="nil"/>
              <w:tr2bl w:val="nil"/>
            </w:tcBorders>
            <w:shd w:val="clear" w:color="auto" w:fill="auto"/>
            <w:vAlign w:val="center"/>
          </w:tcPr>
          <w:p w14:paraId="33DDB85B">
            <w:pPr>
              <w:keepNext w:val="0"/>
              <w:keepLines w:val="0"/>
              <w:widowControl/>
              <w:suppressLineNumbers w:val="0"/>
              <w:jc w:val="right"/>
              <w:textAlignment w:val="center"/>
              <w:rPr>
                <w:rFonts w:hint="default" w:ascii="Times New Roman" w:hAnsi="Times New Roman" w:eastAsia="Segoe UI" w:cs="Times New Roman"/>
                <w:i w:val="0"/>
                <w:iCs w:val="0"/>
                <w:color w:val="000000"/>
                <w:kern w:val="0"/>
                <w:sz w:val="20"/>
                <w:szCs w:val="20"/>
                <w:u w:val="none"/>
                <w:lang w:val="en-US" w:eastAsia="zh-CN" w:bidi="ar"/>
              </w:rPr>
            </w:pPr>
            <w:r>
              <w:rPr>
                <w:rFonts w:hint="eastAsia" w:ascii="Times New Roman" w:hAnsi="Times New Roman" w:eastAsia="Segoe UI" w:cs="Times New Roman"/>
                <w:i w:val="0"/>
                <w:iCs w:val="0"/>
                <w:color w:val="000000"/>
                <w:kern w:val="0"/>
                <w:sz w:val="20"/>
                <w:szCs w:val="20"/>
                <w:u w:val="none"/>
                <w:lang w:val="en-US" w:eastAsia="zh-CN" w:bidi="ar"/>
              </w:rPr>
              <w:t xml:space="preserve"> 0.002</w:t>
            </w:r>
          </w:p>
        </w:tc>
      </w:tr>
    </w:tbl>
    <w:p w14:paraId="5A1FE429">
      <w:pPr>
        <w:numPr>
          <w:ilvl w:val="255"/>
          <w:numId w:val="0"/>
        </w:numPr>
        <w:spacing w:line="360" w:lineRule="auto"/>
        <w:rPr>
          <w:rFonts w:hint="eastAsia" w:ascii="Times New Roman" w:hAnsi="Times New Roman" w:cs="Times New Roman"/>
          <w:kern w:val="44"/>
          <w:sz w:val="20"/>
          <w:szCs w:val="20"/>
          <w:lang w:eastAsia="zh-CN" w:bidi="ar"/>
        </w:rPr>
      </w:pPr>
    </w:p>
    <w:p w14:paraId="58D1A1CA">
      <w:pPr>
        <w:numPr>
          <w:ilvl w:val="255"/>
          <w:numId w:val="0"/>
        </w:numPr>
        <w:spacing w:line="360" w:lineRule="auto"/>
        <w:rPr>
          <w:rFonts w:hint="default" w:ascii="Times New Roman" w:hAnsi="Times New Roman" w:cs="Times New Roman"/>
          <w:sz w:val="20"/>
          <w:szCs w:val="20"/>
        </w:rPr>
      </w:pPr>
      <w:r>
        <w:rPr>
          <w:rFonts w:hint="eastAsia" w:ascii="Times New Roman" w:hAnsi="Times New Roman" w:cs="Times New Roman"/>
          <w:kern w:val="44"/>
          <w:sz w:val="20"/>
          <w:szCs w:val="20"/>
          <w:lang w:eastAsia="zh-CN" w:bidi="ar"/>
        </w:rPr>
        <w:t>Abbreviations</w:t>
      </w:r>
      <w:r>
        <w:rPr>
          <w:rFonts w:hint="default" w:ascii="Times New Roman" w:hAnsi="Times New Roman" w:cs="Times New Roman"/>
          <w:kern w:val="44"/>
          <w:sz w:val="20"/>
          <w:szCs w:val="20"/>
          <w:lang w:bidi="ar"/>
        </w:rPr>
        <w:t>: OS</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bidi="ar"/>
        </w:rPr>
        <w:t xml:space="preserve"> overall survival</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val="en-US" w:eastAsia="zh-CN" w:bidi="ar"/>
        </w:rPr>
        <w:t xml:space="preserve"> </w:t>
      </w:r>
      <w:r>
        <w:rPr>
          <w:rFonts w:hint="default" w:ascii="Times New Roman" w:hAnsi="Times New Roman" w:cs="Times New Roman"/>
          <w:kern w:val="44"/>
          <w:sz w:val="20"/>
          <w:szCs w:val="20"/>
          <w:lang w:bidi="ar"/>
        </w:rPr>
        <w:t>PFS</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bidi="ar"/>
        </w:rPr>
        <w:t xml:space="preserve"> progression</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free survival</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val="en-US" w:eastAsia="zh-CN" w:bidi="ar"/>
        </w:rPr>
        <w:t xml:space="preserve"> MI</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val="en-US" w:eastAsia="zh-CN" w:bidi="ar"/>
        </w:rPr>
        <w:t xml:space="preserve"> multiple imputation</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val="en-US" w:eastAsia="zh-CN" w:bidi="ar"/>
        </w:rPr>
        <w:t xml:space="preserve"> </w:t>
      </w:r>
      <w:r>
        <w:rPr>
          <w:rFonts w:hint="default" w:ascii="Times New Roman" w:hAnsi="Times New Roman" w:cs="Times New Roman"/>
          <w:kern w:val="44"/>
          <w:sz w:val="20"/>
          <w:szCs w:val="20"/>
          <w:lang w:bidi="ar"/>
        </w:rPr>
        <w:t>IPTW</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val="en-US" w:eastAsia="zh-CN" w:bidi="ar"/>
        </w:rPr>
        <w:t xml:space="preserve"> </w:t>
      </w:r>
      <w:r>
        <w:rPr>
          <w:rFonts w:hint="default" w:ascii="Times New Roman" w:hAnsi="Times New Roman" w:cs="Times New Roman"/>
          <w:kern w:val="44"/>
          <w:sz w:val="20"/>
          <w:szCs w:val="20"/>
          <w:lang w:bidi="ar"/>
        </w:rPr>
        <w:t>inverse probability of treatment weighting</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val="en-US" w:eastAsia="zh-CN" w:bidi="ar"/>
        </w:rPr>
        <w:t xml:space="preserve"> </w:t>
      </w:r>
      <w:r>
        <w:rPr>
          <w:rFonts w:hint="default" w:ascii="Times New Roman" w:hAnsi="Times New Roman" w:cs="Times New Roman"/>
          <w:kern w:val="44"/>
          <w:sz w:val="20"/>
          <w:szCs w:val="20"/>
          <w:lang w:bidi="ar"/>
        </w:rPr>
        <w:t>HR</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bidi="ar"/>
        </w:rPr>
        <w:t xml:space="preserve"> hazard ratio</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bidi="ar"/>
        </w:rPr>
        <w:t xml:space="preserve"> CI</w:t>
      </w:r>
      <w:r>
        <w:rPr>
          <w:rFonts w:hint="eastAsia" w:ascii="Times New Roman" w:hAnsi="Times New Roman" w:cs="Times New Roman"/>
          <w:kern w:val="44"/>
          <w:sz w:val="20"/>
          <w:szCs w:val="20"/>
          <w:lang w:val="en-US" w:eastAsia="zh-CN" w:bidi="ar"/>
        </w:rPr>
        <w:t>,</w:t>
      </w:r>
      <w:r>
        <w:rPr>
          <w:rFonts w:hint="default" w:ascii="Times New Roman" w:hAnsi="Times New Roman" w:cs="Times New Roman"/>
          <w:kern w:val="44"/>
          <w:sz w:val="20"/>
          <w:szCs w:val="20"/>
          <w:lang w:bidi="ar"/>
        </w:rPr>
        <w:t xml:space="preserve"> confidence interval</w:t>
      </w:r>
      <w:r>
        <w:rPr>
          <w:rFonts w:hint="eastAsia" w:ascii="Times New Roman" w:hAnsi="Times New Roman" w:cs="Times New Roman"/>
          <w:kern w:val="44"/>
          <w:sz w:val="20"/>
          <w:szCs w:val="20"/>
          <w:lang w:val="en-US" w:eastAsia="zh-CN" w:bidi="ar"/>
        </w:rPr>
        <w:t xml:space="preserve">; </w:t>
      </w:r>
      <w:r>
        <w:rPr>
          <w:rFonts w:ascii="Times New Roman" w:hAnsi="Times New Roman" w:cs="Times New Roman" w:eastAsiaTheme="minorEastAsia"/>
          <w:caps w:val="0"/>
          <w:spacing w:val="0"/>
          <w:kern w:val="44"/>
          <w:sz w:val="20"/>
          <w:szCs w:val="20"/>
          <w:shd w:val="clear"/>
          <w:lang w:bidi="ar"/>
        </w:rPr>
        <w:t>LTFU</w:t>
      </w:r>
      <w:r>
        <w:rPr>
          <w:rFonts w:hint="eastAsia" w:ascii="Times New Roman" w:hAnsi="Times New Roman" w:cs="Times New Roman"/>
          <w:caps w:val="0"/>
          <w:spacing w:val="0"/>
          <w:kern w:val="44"/>
          <w:sz w:val="20"/>
          <w:szCs w:val="20"/>
          <w:shd w:val="clear"/>
          <w:lang w:val="en-US" w:eastAsia="zh-CN" w:bidi="ar"/>
        </w:rPr>
        <w:t>,</w:t>
      </w:r>
      <w:r>
        <w:rPr>
          <w:rFonts w:ascii="Times New Roman" w:hAnsi="Times New Roman" w:cs="Times New Roman" w:eastAsiaTheme="minorEastAsia"/>
          <w:caps w:val="0"/>
          <w:spacing w:val="0"/>
          <w:kern w:val="44"/>
          <w:sz w:val="20"/>
          <w:szCs w:val="20"/>
          <w:shd w:val="clear"/>
          <w:lang w:bidi="ar"/>
        </w:rPr>
        <w:t xml:space="preserve"> lost to follow</w:t>
      </w:r>
      <w:r>
        <w:rPr>
          <w:rFonts w:hint="eastAsia" w:ascii="Times New Roman" w:hAnsi="Times New Roman" w:cs="Times New Roman"/>
          <w:caps w:val="0"/>
          <w:spacing w:val="0"/>
          <w:kern w:val="44"/>
          <w:sz w:val="20"/>
          <w:szCs w:val="20"/>
          <w:shd w:val="clear"/>
          <w:lang w:eastAsia="zh-CN" w:bidi="ar"/>
        </w:rPr>
        <w:t>-</w:t>
      </w:r>
      <w:r>
        <w:rPr>
          <w:rFonts w:ascii="Times New Roman" w:hAnsi="Times New Roman" w:cs="Times New Roman" w:eastAsiaTheme="minorEastAsia"/>
          <w:caps w:val="0"/>
          <w:spacing w:val="0"/>
          <w:kern w:val="44"/>
          <w:sz w:val="20"/>
          <w:szCs w:val="20"/>
          <w:shd w:val="clear"/>
          <w:lang w:bidi="ar"/>
        </w:rPr>
        <w:t>up</w:t>
      </w:r>
      <w:r>
        <w:rPr>
          <w:rFonts w:hint="eastAsia" w:ascii="Times New Roman" w:hAnsi="Times New Roman" w:cs="Times New Roman"/>
          <w:kern w:val="44"/>
          <w:sz w:val="20"/>
          <w:szCs w:val="20"/>
          <w:lang w:eastAsia="zh-CN" w:bidi="ar"/>
        </w:rPr>
        <w:t>.</w:t>
      </w:r>
      <w:r>
        <w:rPr>
          <w:rFonts w:hint="default" w:ascii="Times New Roman" w:hAnsi="Times New Roman" w:cs="Times New Roman"/>
          <w:sz w:val="20"/>
          <w:szCs w:val="20"/>
        </w:rPr>
        <w:br w:type="page"/>
      </w:r>
    </w:p>
    <w:p w14:paraId="2F2BD16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sz w:val="20"/>
          <w:szCs w:val="20"/>
        </w:rPr>
      </w:pPr>
      <w:r>
        <w:rPr>
          <w:rFonts w:hint="default" w:ascii="Times New Roman" w:hAnsi="Times New Roman" w:cs="Times New Roman"/>
          <w:b/>
          <w:bCs/>
          <w:kern w:val="44"/>
          <w:sz w:val="20"/>
          <w:szCs w:val="20"/>
          <w:lang w:bidi="ar"/>
        </w:rPr>
        <w:t xml:space="preserve">Supplementary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"https://pmc.ncbi.nlm.nih.gov/articles/PMC10826138/" \l "appsec1" </w:instrText>
      </w:r>
      <w:r>
        <w:rPr>
          <w:rFonts w:hint="default" w:ascii="Times New Roman" w:hAnsi="Times New Roman" w:cs="Times New Roman"/>
          <w:sz w:val="20"/>
          <w:szCs w:val="20"/>
        </w:rPr>
        <w:fldChar w:fldCharType="separate"/>
      </w:r>
      <w:r>
        <w:rPr>
          <w:rFonts w:hint="default" w:ascii="Times New Roman" w:hAnsi="Times New Roman" w:cs="Times New Roman"/>
          <w:b/>
          <w:bCs/>
          <w:kern w:val="44"/>
          <w:sz w:val="20"/>
          <w:szCs w:val="20"/>
          <w:lang w:bidi="ar"/>
        </w:rPr>
        <w:t xml:space="preserve">Fig </w:t>
      </w:r>
      <w:r>
        <w:rPr>
          <w:rFonts w:hint="default" w:ascii="Times New Roman" w:hAnsi="Times New Roman" w:cs="Times New Roman"/>
          <w:b/>
          <w:bCs/>
          <w:kern w:val="44"/>
          <w:sz w:val="20"/>
          <w:szCs w:val="20"/>
          <w:lang w:bidi="ar"/>
        </w:rPr>
        <w:fldChar w:fldCharType="end"/>
      </w:r>
      <w:r>
        <w:rPr>
          <w:rFonts w:hint="default" w:ascii="Times New Roman" w:hAnsi="Times New Roman" w:eastAsia="宋体" w:cs="Times New Roman"/>
          <w:b/>
          <w:bCs/>
          <w:color w:val="000000"/>
          <w:sz w:val="20"/>
          <w:szCs w:val="20"/>
        </w:rPr>
        <w:t xml:space="preserve">1. </w:t>
      </w:r>
      <w:r>
        <w:rPr>
          <w:rFonts w:hint="default" w:ascii="Times New Roman" w:hAnsi="Times New Roman" w:cs="Times New Roman"/>
          <w:kern w:val="44"/>
          <w:sz w:val="20"/>
          <w:szCs w:val="20"/>
          <w:lang w:bidi="ar"/>
        </w:rPr>
        <w:t>Propensity score distribution and overlap weighting diagnostics.</w:t>
      </w:r>
    </w:p>
    <w:p w14:paraId="2C7BA40B">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0"/>
          <w:szCs w:val="20"/>
          <w:lang w:eastAsia="zh-CN"/>
        </w:rPr>
      </w:pPr>
      <w:r>
        <w:rPr>
          <w:rFonts w:hint="eastAsia" w:ascii="Times New Roman" w:hAnsi="Times New Roman" w:cs="Times New Roman" w:eastAsiaTheme="minorEastAsia"/>
          <w:sz w:val="20"/>
          <w:szCs w:val="20"/>
          <w:lang w:eastAsia="zh-CN"/>
        </w:rPr>
        <w:drawing>
          <wp:inline distT="0" distB="0" distL="114300" distR="114300">
            <wp:extent cx="5267960" cy="4486275"/>
            <wp:effectExtent l="0" t="0" r="8890" b="0"/>
            <wp:docPr id="1" name="图片 1"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1"/>
                    <pic:cNvPicPr>
                      <a:picLocks noChangeAspect="1"/>
                    </pic:cNvPicPr>
                  </pic:nvPicPr>
                  <pic:blipFill>
                    <a:blip r:embed="rId6"/>
                    <a:stretch>
                      <a:fillRect/>
                    </a:stretch>
                  </pic:blipFill>
                  <pic:spPr>
                    <a:xfrm>
                      <a:off x="0" y="0"/>
                      <a:ext cx="5267960" cy="4486275"/>
                    </a:xfrm>
                    <a:prstGeom prst="rect">
                      <a:avLst/>
                    </a:prstGeom>
                  </pic:spPr>
                </pic:pic>
              </a:graphicData>
            </a:graphic>
          </wp:inline>
        </w:drawing>
      </w:r>
    </w:p>
    <w:p w14:paraId="1643D2B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0"/>
          <w:szCs w:val="20"/>
        </w:rPr>
      </w:pPr>
      <w:r>
        <w:rPr>
          <w:rFonts w:hint="default" w:ascii="Times New Roman" w:hAnsi="Times New Roman" w:cs="Times New Roman"/>
          <w:b/>
          <w:bCs/>
          <w:kern w:val="44"/>
          <w:sz w:val="20"/>
          <w:szCs w:val="20"/>
          <w:lang w:bidi="ar"/>
        </w:rPr>
        <w:t>A</w:t>
      </w:r>
      <w:r>
        <w:rPr>
          <w:rFonts w:hint="default" w:ascii="Times New Roman" w:hAnsi="Times New Roman" w:cs="Times New Roman"/>
          <w:kern w:val="44"/>
          <w:sz w:val="20"/>
          <w:szCs w:val="20"/>
          <w:lang w:bidi="ar"/>
        </w:rPr>
        <w:t xml:space="preserve"> Propensity score overlap distribution of two treatment groups. </w:t>
      </w:r>
      <w:r>
        <w:rPr>
          <w:rFonts w:hint="default" w:ascii="Times New Roman" w:hAnsi="Times New Roman" w:cs="Times New Roman"/>
          <w:b/>
          <w:bCs/>
          <w:kern w:val="44"/>
          <w:sz w:val="20"/>
          <w:szCs w:val="20"/>
          <w:lang w:bidi="ar"/>
        </w:rPr>
        <w:t xml:space="preserve">B </w:t>
      </w:r>
      <w:r>
        <w:rPr>
          <w:rFonts w:hint="default" w:ascii="Times New Roman" w:hAnsi="Times New Roman" w:cs="Times New Roman"/>
          <w:kern w:val="44"/>
          <w:sz w:val="20"/>
          <w:szCs w:val="20"/>
          <w:lang w:bidi="ar"/>
        </w:rPr>
        <w:t xml:space="preserve">Distribution of overlap weights. </w:t>
      </w:r>
      <w:r>
        <w:rPr>
          <w:rFonts w:hint="default" w:ascii="Times New Roman" w:hAnsi="Times New Roman" w:cs="Times New Roman"/>
          <w:b/>
          <w:bCs/>
          <w:kern w:val="44"/>
          <w:sz w:val="20"/>
          <w:szCs w:val="20"/>
          <w:lang w:bidi="ar"/>
        </w:rPr>
        <w:t>C</w:t>
      </w:r>
      <w:r>
        <w:rPr>
          <w:rFonts w:hint="default" w:ascii="Times New Roman" w:hAnsi="Times New Roman" w:cs="Times New Roman"/>
          <w:kern w:val="44"/>
          <w:sz w:val="20"/>
          <w:szCs w:val="20"/>
          <w:lang w:bidi="ar"/>
        </w:rPr>
        <w:t xml:space="preserve"> Violin</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 xml:space="preserve">box plot of overlap weights for each group. </w:t>
      </w:r>
      <w:r>
        <w:rPr>
          <w:rFonts w:hint="default" w:ascii="Times New Roman" w:hAnsi="Times New Roman" w:cs="Times New Roman"/>
          <w:b/>
          <w:bCs/>
          <w:kern w:val="44"/>
          <w:sz w:val="20"/>
          <w:szCs w:val="20"/>
          <w:lang w:bidi="ar"/>
        </w:rPr>
        <w:t>D</w:t>
      </w:r>
      <w:r>
        <w:rPr>
          <w:rFonts w:hint="default" w:ascii="Times New Roman" w:hAnsi="Times New Roman" w:cs="Times New Roman"/>
          <w:kern w:val="44"/>
          <w:sz w:val="20"/>
          <w:szCs w:val="20"/>
          <w:lang w:bidi="ar"/>
        </w:rPr>
        <w:t xml:space="preserve"> Correlation between propensity score and overlap weight; no extreme weights were observed in this analysis.</w:t>
      </w:r>
      <w:r>
        <w:rPr>
          <w:rFonts w:hint="default" w:ascii="Times New Roman" w:hAnsi="Times New Roman" w:cs="Times New Roman"/>
          <w:sz w:val="20"/>
          <w:szCs w:val="20"/>
        </w:rPr>
        <w:br w:type="page"/>
      </w:r>
    </w:p>
    <w:p w14:paraId="0282887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sz w:val="20"/>
          <w:szCs w:val="20"/>
        </w:rPr>
      </w:pPr>
      <w:r>
        <w:rPr>
          <w:rFonts w:hint="default" w:ascii="Times New Roman" w:hAnsi="Times New Roman" w:cs="Times New Roman"/>
          <w:b/>
          <w:bCs/>
          <w:sz w:val="20"/>
          <w:szCs w:val="20"/>
        </w:rPr>
        <w:t xml:space="preserve">Supplementary Fig </w:t>
      </w:r>
      <w:r>
        <w:rPr>
          <w:rFonts w:hint="eastAsia" w:ascii="Times New Roman" w:hAnsi="Times New Roman" w:cs="Times New Roman"/>
          <w:b/>
          <w:bCs/>
          <w:sz w:val="20"/>
          <w:szCs w:val="20"/>
          <w:lang w:val="en-US" w:eastAsia="zh-CN"/>
        </w:rPr>
        <w:t>2</w:t>
      </w:r>
      <w:r>
        <w:rPr>
          <w:rFonts w:hint="default" w:ascii="Times New Roman" w:hAnsi="Times New Roman" w:cs="Times New Roman"/>
          <w:b/>
          <w:bCs/>
          <w:sz w:val="20"/>
          <w:szCs w:val="20"/>
        </w:rPr>
        <w:t xml:space="preserve">. </w:t>
      </w:r>
      <w:r>
        <w:rPr>
          <w:rFonts w:hint="default" w:ascii="Times New Roman" w:hAnsi="Times New Roman" w:cs="Times New Roman"/>
          <w:b w:val="0"/>
          <w:bCs w:val="0"/>
          <w:sz w:val="20"/>
          <w:szCs w:val="20"/>
        </w:rPr>
        <w:t>Love plot of covariate balance before and after overlap weighting.</w:t>
      </w:r>
    </w:p>
    <w:p w14:paraId="4DE416FF">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b w:val="0"/>
          <w:bCs w:val="0"/>
          <w:sz w:val="20"/>
          <w:szCs w:val="20"/>
          <w:lang w:eastAsia="zh-CN"/>
        </w:rPr>
      </w:pPr>
      <w:r>
        <w:rPr>
          <w:rFonts w:hint="eastAsia" w:ascii="Times New Roman" w:hAnsi="Times New Roman" w:cs="Times New Roman" w:eastAsiaTheme="minorEastAsia"/>
          <w:b w:val="0"/>
          <w:bCs w:val="0"/>
          <w:sz w:val="20"/>
          <w:szCs w:val="20"/>
          <w:lang w:eastAsia="zh-CN"/>
        </w:rPr>
        <w:drawing>
          <wp:inline distT="0" distB="0" distL="114300" distR="114300">
            <wp:extent cx="5269230" cy="3437255"/>
            <wp:effectExtent l="0" t="0" r="7620" b="1270"/>
            <wp:docPr id="3" name="图片 3" descr="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2"/>
                    <pic:cNvPicPr>
                      <a:picLocks noChangeAspect="1"/>
                    </pic:cNvPicPr>
                  </pic:nvPicPr>
                  <pic:blipFill>
                    <a:blip r:embed="rId7"/>
                    <a:stretch>
                      <a:fillRect/>
                    </a:stretch>
                  </pic:blipFill>
                  <pic:spPr>
                    <a:xfrm>
                      <a:off x="0" y="0"/>
                      <a:ext cx="5269230" cy="3437255"/>
                    </a:xfrm>
                    <a:prstGeom prst="rect">
                      <a:avLst/>
                    </a:prstGeom>
                  </pic:spPr>
                </pic:pic>
              </a:graphicData>
            </a:graphic>
          </wp:inline>
        </w:drawing>
      </w:r>
    </w:p>
    <w:p w14:paraId="056BFB58">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0"/>
          <w:szCs w:val="20"/>
          <w:lang w:val="en-US" w:eastAsia="zh-CN"/>
        </w:rPr>
      </w:pPr>
      <w:r>
        <w:rPr>
          <w:rFonts w:hint="eastAsia" w:ascii="Times New Roman" w:hAnsi="Times New Roman" w:cs="Times New Roman"/>
          <w:b w:val="0"/>
          <w:bCs w:val="0"/>
          <w:sz w:val="20"/>
          <w:szCs w:val="20"/>
          <w:lang w:val="en-US" w:eastAsia="zh-CN"/>
        </w:rPr>
        <w:t>Standardized mean differences (SMDs) for each baseline covariate are plotted on the x-axis. Multi-categorical variables are expanded into dummy variables (as indicated by the suffix labels on the y-axis). Red points represent unadjusted differences between the two treatment groups, while teal points indicate differences after overlap weighting. The vertical dashed lines denote the SMD threshold of 0.1. After weighting, the SMDs for most covariates clustered tightly around the zero line, demonstrating that the overlap weighting substantially improved covariate balance.</w:t>
      </w:r>
      <w:r>
        <w:rPr>
          <w:rFonts w:hint="eastAsia" w:ascii="Times New Roman" w:hAnsi="Times New Roman" w:cs="Times New Roman"/>
          <w:b w:val="0"/>
          <w:bCs w:val="0"/>
          <w:sz w:val="20"/>
          <w:szCs w:val="20"/>
          <w:lang w:val="en-US" w:eastAsia="zh-CN"/>
        </w:rPr>
        <w:br w:type="page"/>
      </w:r>
    </w:p>
    <w:p w14:paraId="5CAFFE3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eastAsia" w:ascii="Times New Roman" w:hAnsi="Times New Roman" w:cs="Times New Roman"/>
          <w:b/>
          <w:bCs/>
          <w:kern w:val="44"/>
          <w:sz w:val="20"/>
          <w:szCs w:val="20"/>
          <w:lang w:val="en-US" w:eastAsia="zh-CN" w:bidi="ar"/>
        </w:rPr>
        <w:t xml:space="preserve">Supplementary Fig 3. </w:t>
      </w:r>
      <w:r>
        <w:rPr>
          <w:rFonts w:hint="default" w:ascii="Times New Roman" w:hAnsi="Times New Roman" w:cs="Times New Roman"/>
          <w:kern w:val="44"/>
          <w:sz w:val="20"/>
          <w:szCs w:val="20"/>
          <w:lang w:bidi="ar"/>
        </w:rPr>
        <w:t>Forest plots of univariable and multivariable Cox regression analyses for overall survival in patients receiving doublet therapy.</w:t>
      </w:r>
    </w:p>
    <w:p w14:paraId="61C17195">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kern w:val="44"/>
          <w:sz w:val="20"/>
          <w:szCs w:val="20"/>
          <w:lang w:eastAsia="zh-CN" w:bidi="ar"/>
        </w:rPr>
      </w:pPr>
      <w:r>
        <w:rPr>
          <w:rFonts w:hint="eastAsia" w:ascii="Times New Roman" w:hAnsi="Times New Roman" w:cs="Times New Roman" w:eastAsiaTheme="minorEastAsia"/>
          <w:kern w:val="44"/>
          <w:sz w:val="20"/>
          <w:szCs w:val="20"/>
          <w:lang w:eastAsia="zh-CN" w:bidi="ar"/>
        </w:rPr>
        <w:drawing>
          <wp:inline distT="0" distB="0" distL="114300" distR="114300">
            <wp:extent cx="5269865" cy="6721475"/>
            <wp:effectExtent l="0" t="0" r="6985" b="3175"/>
            <wp:docPr id="9" name="图片 9" descr="Supplementary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ary Figure 3"/>
                    <pic:cNvPicPr>
                      <a:picLocks noChangeAspect="1"/>
                    </pic:cNvPicPr>
                  </pic:nvPicPr>
                  <pic:blipFill>
                    <a:blip r:embed="rId8"/>
                    <a:stretch>
                      <a:fillRect/>
                    </a:stretch>
                  </pic:blipFill>
                  <pic:spPr>
                    <a:xfrm>
                      <a:off x="0" y="0"/>
                      <a:ext cx="5269865" cy="6721475"/>
                    </a:xfrm>
                    <a:prstGeom prst="rect">
                      <a:avLst/>
                    </a:prstGeom>
                  </pic:spPr>
                </pic:pic>
              </a:graphicData>
            </a:graphic>
          </wp:inline>
        </w:drawing>
      </w:r>
    </w:p>
    <w:p w14:paraId="3446DFF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default" w:ascii="Times New Roman" w:hAnsi="Times New Roman" w:cs="Times New Roman"/>
          <w:b/>
          <w:bCs/>
          <w:kern w:val="44"/>
          <w:sz w:val="20"/>
          <w:szCs w:val="20"/>
          <w:lang w:bidi="ar"/>
        </w:rPr>
        <w:t>A</w:t>
      </w:r>
      <w:r>
        <w:rPr>
          <w:rFonts w:hint="default" w:ascii="Times New Roman" w:hAnsi="Times New Roman" w:cs="Times New Roman"/>
          <w:kern w:val="44"/>
          <w:sz w:val="20"/>
          <w:szCs w:val="20"/>
          <w:lang w:bidi="ar"/>
        </w:rPr>
        <w:t xml:space="preserve"> Univariable</w:t>
      </w:r>
      <w:r>
        <w:rPr>
          <w:rFonts w:hint="eastAsia" w:ascii="Times New Roman" w:hAnsi="Times New Roman" w:cs="Times New Roman"/>
          <w:kern w:val="44"/>
          <w:sz w:val="20"/>
          <w:szCs w:val="20"/>
          <w:lang w:val="en-US" w:eastAsia="zh-CN" w:bidi="ar"/>
        </w:rPr>
        <w:t xml:space="preserve"> </w:t>
      </w:r>
      <w:r>
        <w:rPr>
          <w:rFonts w:hint="default" w:ascii="Times New Roman" w:hAnsi="Times New Roman" w:cs="Times New Roman"/>
          <w:kern w:val="44"/>
          <w:sz w:val="20"/>
          <w:szCs w:val="20"/>
          <w:lang w:bidi="ar"/>
        </w:rPr>
        <w:t xml:space="preserve">Cox regression analysis for OS in the doublet group. </w:t>
      </w:r>
      <w:r>
        <w:rPr>
          <w:rFonts w:hint="default" w:ascii="Times New Roman" w:hAnsi="Times New Roman" w:cs="Times New Roman"/>
          <w:b/>
          <w:bCs/>
          <w:kern w:val="44"/>
          <w:sz w:val="20"/>
          <w:szCs w:val="20"/>
          <w:lang w:bidi="ar"/>
        </w:rPr>
        <w:t>B</w:t>
      </w:r>
      <w:r>
        <w:rPr>
          <w:rFonts w:hint="default" w:ascii="Times New Roman" w:hAnsi="Times New Roman" w:cs="Times New Roman"/>
          <w:kern w:val="44"/>
          <w:sz w:val="20"/>
          <w:szCs w:val="20"/>
          <w:lang w:bidi="ar"/>
        </w:rPr>
        <w:t xml:space="preserve"> Multivariable Cox regression analysis for OS in the doublet group.</w:t>
      </w:r>
    </w:p>
    <w:p w14:paraId="207199C3">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eastAsia" w:ascii="Times New Roman" w:hAnsi="Times New Roman" w:cs="Times New Roman"/>
          <w:kern w:val="44"/>
          <w:sz w:val="20"/>
          <w:szCs w:val="20"/>
          <w:lang w:eastAsia="zh-CN" w:bidi="ar"/>
        </w:rPr>
        <w:t>Abbreviations</w:t>
      </w:r>
      <w:r>
        <w:rPr>
          <w:rFonts w:hint="default" w:ascii="Times New Roman" w:hAnsi="Times New Roman" w:cs="Times New Roman"/>
          <w:kern w:val="44"/>
          <w:sz w:val="20"/>
          <w:szCs w:val="20"/>
          <w:lang w:bidi="ar"/>
        </w:rPr>
        <w:t>: OS, overall survival; LDH, lactate dehydrogenase; ECOG, Eastern Cooperative Oncology Group; PS, performance status; HR, hazard ratio; CI, confidence interval.</w:t>
      </w:r>
      <w:r>
        <w:rPr>
          <w:rFonts w:hint="default" w:ascii="Times New Roman" w:hAnsi="Times New Roman" w:cs="Times New Roman"/>
          <w:kern w:val="44"/>
          <w:sz w:val="20"/>
          <w:szCs w:val="20"/>
          <w:lang w:bidi="ar"/>
        </w:rPr>
        <w:br w:type="page"/>
      </w:r>
    </w:p>
    <w:p w14:paraId="6C85F0DD">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eastAsia" w:ascii="Times New Roman" w:hAnsi="Times New Roman" w:cs="Times New Roman"/>
          <w:b/>
          <w:bCs/>
          <w:kern w:val="44"/>
          <w:sz w:val="20"/>
          <w:szCs w:val="20"/>
          <w:lang w:val="en-US" w:eastAsia="zh-CN" w:bidi="ar"/>
        </w:rPr>
        <w:t xml:space="preserve">Supplementary Fig 4. </w:t>
      </w:r>
      <w:r>
        <w:rPr>
          <w:rFonts w:hint="default" w:ascii="Times New Roman" w:hAnsi="Times New Roman" w:cs="Times New Roman"/>
          <w:kern w:val="44"/>
          <w:sz w:val="20"/>
          <w:szCs w:val="20"/>
          <w:lang w:bidi="ar"/>
        </w:rPr>
        <w:t>Forest plots of univariable and multivariable Cox regression analyses for progression</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free survival in patients receiving doublet therapy.</w:t>
      </w:r>
    </w:p>
    <w:p w14:paraId="50B7E578">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kern w:val="44"/>
          <w:sz w:val="20"/>
          <w:szCs w:val="20"/>
          <w:lang w:eastAsia="zh-CN" w:bidi="ar"/>
        </w:rPr>
      </w:pPr>
      <w:r>
        <w:rPr>
          <w:rFonts w:hint="eastAsia" w:ascii="Times New Roman" w:hAnsi="Times New Roman" w:cs="Times New Roman" w:eastAsiaTheme="minorEastAsia"/>
          <w:kern w:val="44"/>
          <w:sz w:val="20"/>
          <w:szCs w:val="20"/>
          <w:lang w:eastAsia="zh-CN" w:bidi="ar"/>
        </w:rPr>
        <w:drawing>
          <wp:inline distT="0" distB="0" distL="114300" distR="114300">
            <wp:extent cx="5273675" cy="6704965"/>
            <wp:effectExtent l="0" t="0" r="3175" b="635"/>
            <wp:docPr id="17" name="图片 17" descr="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upplementary Figure 4"/>
                    <pic:cNvPicPr>
                      <a:picLocks noChangeAspect="1"/>
                    </pic:cNvPicPr>
                  </pic:nvPicPr>
                  <pic:blipFill>
                    <a:blip r:embed="rId9"/>
                    <a:stretch>
                      <a:fillRect/>
                    </a:stretch>
                  </pic:blipFill>
                  <pic:spPr>
                    <a:xfrm>
                      <a:off x="0" y="0"/>
                      <a:ext cx="5273675" cy="6704965"/>
                    </a:xfrm>
                    <a:prstGeom prst="rect">
                      <a:avLst/>
                    </a:prstGeom>
                  </pic:spPr>
                </pic:pic>
              </a:graphicData>
            </a:graphic>
          </wp:inline>
        </w:drawing>
      </w:r>
    </w:p>
    <w:p w14:paraId="1E089D0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default" w:ascii="Times New Roman" w:hAnsi="Times New Roman" w:cs="Times New Roman"/>
          <w:b/>
          <w:bCs/>
          <w:kern w:val="44"/>
          <w:sz w:val="20"/>
          <w:szCs w:val="20"/>
          <w:lang w:bidi="ar"/>
        </w:rPr>
        <w:t>A</w:t>
      </w:r>
      <w:r>
        <w:rPr>
          <w:rFonts w:hint="default" w:ascii="Times New Roman" w:hAnsi="Times New Roman" w:cs="Times New Roman"/>
          <w:kern w:val="44"/>
          <w:sz w:val="20"/>
          <w:szCs w:val="20"/>
          <w:lang w:bidi="ar"/>
        </w:rPr>
        <w:t xml:space="preserve"> Univariable Cox regression analysis for PFS in the doublet group. </w:t>
      </w:r>
      <w:r>
        <w:rPr>
          <w:rFonts w:hint="default" w:ascii="Times New Roman" w:hAnsi="Times New Roman" w:cs="Times New Roman"/>
          <w:b/>
          <w:bCs/>
          <w:kern w:val="44"/>
          <w:sz w:val="20"/>
          <w:szCs w:val="20"/>
          <w:lang w:bidi="ar"/>
        </w:rPr>
        <w:t>B</w:t>
      </w:r>
      <w:r>
        <w:rPr>
          <w:rFonts w:hint="default" w:ascii="Times New Roman" w:hAnsi="Times New Roman" w:cs="Times New Roman"/>
          <w:kern w:val="44"/>
          <w:sz w:val="20"/>
          <w:szCs w:val="20"/>
          <w:lang w:bidi="ar"/>
        </w:rPr>
        <w:t xml:space="preserve"> Multivariable Cox regression analysis for PFS in the doublet group.</w:t>
      </w:r>
    </w:p>
    <w:p w14:paraId="3725FBD0">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kern w:val="44"/>
          <w:sz w:val="20"/>
          <w:szCs w:val="20"/>
          <w:lang w:val="en-US" w:eastAsia="zh-CN" w:bidi="ar"/>
        </w:rPr>
      </w:pPr>
      <w:r>
        <w:rPr>
          <w:rFonts w:hint="eastAsia" w:ascii="Times New Roman" w:hAnsi="Times New Roman" w:cs="Times New Roman"/>
          <w:kern w:val="44"/>
          <w:sz w:val="20"/>
          <w:szCs w:val="20"/>
          <w:lang w:eastAsia="zh-CN" w:bidi="ar"/>
        </w:rPr>
        <w:t>Abbreviations</w:t>
      </w:r>
      <w:r>
        <w:rPr>
          <w:rFonts w:hint="default" w:ascii="Times New Roman" w:hAnsi="Times New Roman" w:cs="Times New Roman"/>
          <w:kern w:val="44"/>
          <w:sz w:val="20"/>
          <w:szCs w:val="20"/>
          <w:lang w:bidi="ar"/>
        </w:rPr>
        <w:t>: PFS, progression</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free survival; LDH, lactate dehydrogenase; ULN, upper limit of normal (250 U/L); ECOG, Eastern Cooperative Oncology Group; PS, performance status; HR, hazard ratio; CI, confidence interval.</w:t>
      </w:r>
      <w:r>
        <w:rPr>
          <w:rFonts w:hint="eastAsia" w:ascii="Times New Roman" w:hAnsi="Times New Roman" w:cs="Times New Roman"/>
          <w:b/>
          <w:bCs/>
          <w:kern w:val="44"/>
          <w:sz w:val="20"/>
          <w:szCs w:val="20"/>
          <w:lang w:val="en-US" w:eastAsia="zh-CN" w:bidi="ar"/>
        </w:rPr>
        <w:br w:type="page"/>
      </w:r>
    </w:p>
    <w:p w14:paraId="02B04FCD">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eastAsia" w:ascii="Times New Roman" w:hAnsi="Times New Roman" w:cs="Times New Roman"/>
          <w:b/>
          <w:bCs/>
          <w:kern w:val="44"/>
          <w:sz w:val="20"/>
          <w:szCs w:val="20"/>
          <w:lang w:val="en-US" w:eastAsia="zh-CN" w:bidi="ar"/>
        </w:rPr>
        <w:t xml:space="preserve">Supplementary Fig 5. </w:t>
      </w:r>
      <w:r>
        <w:rPr>
          <w:rFonts w:hint="default" w:ascii="Times New Roman" w:hAnsi="Times New Roman" w:cs="Times New Roman"/>
          <w:kern w:val="44"/>
          <w:sz w:val="20"/>
          <w:szCs w:val="20"/>
          <w:lang w:bidi="ar"/>
        </w:rPr>
        <w:t>Forest plot of univariable Cox regression analysis for overall survival in patients receiving triplet therapy.</w:t>
      </w:r>
    </w:p>
    <w:p w14:paraId="5B327905">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val="en-US" w:eastAsia="zh-CN" w:bidi="ar"/>
        </w:rPr>
      </w:pPr>
      <w:r>
        <w:rPr>
          <w:rFonts w:hint="default" w:ascii="Times New Roman" w:hAnsi="Times New Roman" w:cs="Times New Roman"/>
          <w:kern w:val="44"/>
          <w:sz w:val="20"/>
          <w:szCs w:val="20"/>
          <w:lang w:val="en-US" w:eastAsia="zh-CN" w:bidi="ar"/>
        </w:rPr>
        <w:drawing>
          <wp:inline distT="0" distB="0" distL="114300" distR="114300">
            <wp:extent cx="5269865" cy="3808730"/>
            <wp:effectExtent l="0" t="0" r="6985" b="1270"/>
            <wp:docPr id="18" name="图片 18" descr="Supplementary 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upplementary Figure 5"/>
                    <pic:cNvPicPr>
                      <a:picLocks noChangeAspect="1"/>
                    </pic:cNvPicPr>
                  </pic:nvPicPr>
                  <pic:blipFill>
                    <a:blip r:embed="rId10"/>
                    <a:stretch>
                      <a:fillRect/>
                    </a:stretch>
                  </pic:blipFill>
                  <pic:spPr>
                    <a:xfrm>
                      <a:off x="0" y="0"/>
                      <a:ext cx="5269865" cy="3808730"/>
                    </a:xfrm>
                    <a:prstGeom prst="rect">
                      <a:avLst/>
                    </a:prstGeom>
                  </pic:spPr>
                </pic:pic>
              </a:graphicData>
            </a:graphic>
          </wp:inline>
        </w:drawing>
      </w:r>
    </w:p>
    <w:p w14:paraId="47E065AA">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0"/>
          <w:szCs w:val="20"/>
        </w:rPr>
      </w:pPr>
      <w:r>
        <w:rPr>
          <w:rFonts w:hint="default" w:ascii="Times New Roman" w:hAnsi="Times New Roman" w:cs="Times New Roman"/>
          <w:kern w:val="44"/>
          <w:sz w:val="20"/>
          <w:szCs w:val="20"/>
          <w:lang w:bidi="ar"/>
        </w:rPr>
        <w:t>Abbreviations: OS, overall survival; LDH, lactate dehydrogenase; ULN, upper limit of normal (250 U/L); ECOG, Eastern Cooperative Oncology Group; PS, performance status; HR, hazard ratio; CI, confidence interval.</w:t>
      </w:r>
      <w:r>
        <w:rPr>
          <w:rFonts w:hint="default" w:ascii="Times New Roman" w:hAnsi="Times New Roman" w:cs="Times New Roman"/>
          <w:sz w:val="20"/>
          <w:szCs w:val="20"/>
        </w:rPr>
        <w:br w:type="page"/>
      </w:r>
    </w:p>
    <w:p w14:paraId="06A90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color w:val="060607"/>
          <w:spacing w:val="3"/>
          <w:sz w:val="20"/>
          <w:szCs w:val="20"/>
          <w:shd w:val="clear" w:color="auto" w:fill="FFFFFF"/>
          <w:lang w:bidi="ar"/>
        </w:rPr>
      </w:pPr>
      <w:r>
        <w:rPr>
          <w:rFonts w:hint="eastAsia" w:ascii="Times New Roman" w:hAnsi="Times New Roman" w:cs="Times New Roman"/>
          <w:b/>
          <w:bCs/>
          <w:kern w:val="44"/>
          <w:sz w:val="20"/>
          <w:szCs w:val="20"/>
          <w:lang w:val="en-US" w:eastAsia="zh-CN" w:bidi="ar"/>
        </w:rPr>
        <w:t xml:space="preserve">Supplementary Fig 6. </w:t>
      </w:r>
      <w:r>
        <w:rPr>
          <w:rFonts w:hint="default" w:ascii="Times New Roman" w:hAnsi="Times New Roman" w:cs="Times New Roman"/>
          <w:color w:val="060607"/>
          <w:spacing w:val="3"/>
          <w:sz w:val="20"/>
          <w:szCs w:val="20"/>
          <w:shd w:val="clear" w:color="auto" w:fill="FFFFFF"/>
        </w:rPr>
        <w:t xml:space="preserve">Forest plot of </w:t>
      </w:r>
      <w:r>
        <w:rPr>
          <w:rFonts w:hint="default" w:ascii="Times New Roman" w:hAnsi="Times New Roman" w:cs="Times New Roman"/>
          <w:kern w:val="44"/>
          <w:sz w:val="20"/>
          <w:szCs w:val="20"/>
          <w:lang w:bidi="ar"/>
        </w:rPr>
        <w:t>univariable</w:t>
      </w:r>
      <w:r>
        <w:rPr>
          <w:rFonts w:hint="default" w:ascii="Times New Roman" w:hAnsi="Times New Roman" w:cs="Times New Roman"/>
          <w:color w:val="060607"/>
          <w:spacing w:val="3"/>
          <w:sz w:val="20"/>
          <w:szCs w:val="20"/>
          <w:shd w:val="clear" w:color="auto" w:fill="FFFFFF"/>
        </w:rPr>
        <w:t xml:space="preserve"> Cox regression analysis for </w:t>
      </w:r>
      <w:r>
        <w:rPr>
          <w:rFonts w:hint="default" w:ascii="Times New Roman" w:hAnsi="Times New Roman" w:cs="Times New Roman"/>
          <w:kern w:val="44"/>
          <w:sz w:val="20"/>
          <w:szCs w:val="20"/>
          <w:lang w:bidi="ar"/>
        </w:rPr>
        <w:t>progression</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 xml:space="preserve">free </w:t>
      </w:r>
      <w:r>
        <w:rPr>
          <w:rFonts w:hint="default" w:ascii="Times New Roman" w:hAnsi="Times New Roman" w:cs="Times New Roman"/>
          <w:color w:val="060607"/>
          <w:spacing w:val="3"/>
          <w:sz w:val="20"/>
          <w:szCs w:val="20"/>
          <w:shd w:val="clear" w:color="auto" w:fill="FFFFFF"/>
        </w:rPr>
        <w:t>survival in patients receiving triplet therapy.</w:t>
      </w:r>
    </w:p>
    <w:p w14:paraId="414DA874">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val="en-US" w:eastAsia="zh-CN" w:bidi="ar"/>
        </w:rPr>
      </w:pPr>
      <w:r>
        <w:rPr>
          <w:rFonts w:hint="default" w:ascii="Times New Roman" w:hAnsi="Times New Roman" w:cs="Times New Roman"/>
          <w:kern w:val="44"/>
          <w:sz w:val="20"/>
          <w:szCs w:val="20"/>
          <w:lang w:val="en-US" w:eastAsia="zh-CN" w:bidi="ar"/>
        </w:rPr>
        <w:drawing>
          <wp:inline distT="0" distB="0" distL="114300" distR="114300">
            <wp:extent cx="5270500" cy="3791585"/>
            <wp:effectExtent l="0" t="0" r="6350" b="8890"/>
            <wp:docPr id="19" name="图片 19" descr="Supplementary 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upplementary Figure 6"/>
                    <pic:cNvPicPr>
                      <a:picLocks noChangeAspect="1"/>
                    </pic:cNvPicPr>
                  </pic:nvPicPr>
                  <pic:blipFill>
                    <a:blip r:embed="rId11"/>
                    <a:stretch>
                      <a:fillRect/>
                    </a:stretch>
                  </pic:blipFill>
                  <pic:spPr>
                    <a:xfrm>
                      <a:off x="0" y="0"/>
                      <a:ext cx="5270500" cy="3791585"/>
                    </a:xfrm>
                    <a:prstGeom prst="rect">
                      <a:avLst/>
                    </a:prstGeom>
                  </pic:spPr>
                </pic:pic>
              </a:graphicData>
            </a:graphic>
          </wp:inline>
        </w:drawing>
      </w:r>
    </w:p>
    <w:p w14:paraId="6ADECCB6">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val="en-US" w:eastAsia="zh-CN" w:bidi="ar"/>
        </w:rPr>
      </w:pPr>
      <w:r>
        <w:rPr>
          <w:rFonts w:hint="eastAsia" w:ascii="Times New Roman" w:hAnsi="Times New Roman" w:cs="Times New Roman"/>
          <w:kern w:val="44"/>
          <w:sz w:val="20"/>
          <w:szCs w:val="20"/>
          <w:lang w:eastAsia="zh-CN" w:bidi="ar"/>
        </w:rPr>
        <w:t>Abbreviations</w:t>
      </w:r>
      <w:r>
        <w:rPr>
          <w:rFonts w:hint="default" w:ascii="Times New Roman" w:hAnsi="Times New Roman" w:cs="Times New Roman"/>
          <w:kern w:val="44"/>
          <w:sz w:val="20"/>
          <w:szCs w:val="20"/>
          <w:lang w:bidi="ar"/>
        </w:rPr>
        <w:t>: PFS, progression</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free survival; LDH, lactate dehydrogenase; ULN, upper limit of normal (250 U/L); ECOG, Eastern Cooperative Oncology Group; PS, performance status; HR, hazard ratio; CI, confidence interval.</w:t>
      </w:r>
      <w:r>
        <w:rPr>
          <w:rFonts w:hint="default" w:ascii="Times New Roman" w:hAnsi="Times New Roman" w:cs="Times New Roman"/>
          <w:kern w:val="44"/>
          <w:sz w:val="20"/>
          <w:szCs w:val="20"/>
          <w:lang w:val="en-US" w:eastAsia="zh-CN" w:bidi="ar"/>
        </w:rPr>
        <w:br w:type="page"/>
      </w:r>
    </w:p>
    <w:p w14:paraId="2B57C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color w:val="060607"/>
          <w:spacing w:val="3"/>
          <w:sz w:val="20"/>
          <w:szCs w:val="20"/>
          <w:shd w:val="clear" w:color="auto" w:fill="FFFFFF"/>
        </w:rPr>
      </w:pPr>
      <w:r>
        <w:rPr>
          <w:rFonts w:hint="eastAsia" w:ascii="Times New Roman" w:hAnsi="Times New Roman" w:cs="Times New Roman"/>
          <w:b/>
          <w:bCs/>
          <w:kern w:val="44"/>
          <w:sz w:val="20"/>
          <w:szCs w:val="20"/>
          <w:lang w:val="en-US" w:eastAsia="zh-CN" w:bidi="ar"/>
        </w:rPr>
        <w:t xml:space="preserve">Supplementary Fig 7. </w:t>
      </w:r>
      <w:r>
        <w:rPr>
          <w:rFonts w:hint="default" w:ascii="Times New Roman" w:hAnsi="Times New Roman" w:cs="Times New Roman"/>
          <w:color w:val="060607"/>
          <w:spacing w:val="3"/>
          <w:sz w:val="20"/>
          <w:szCs w:val="20"/>
          <w:shd w:val="clear" w:color="auto" w:fill="FFFFFF"/>
        </w:rPr>
        <w:t>Subgroup analysis forest plot for overall survival comparing triplet versus doublet therapy after propensity score overlap weighting.</w:t>
      </w:r>
    </w:p>
    <w:p w14:paraId="1BC5DB3A">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kern w:val="44"/>
          <w:sz w:val="20"/>
          <w:szCs w:val="20"/>
          <w:lang w:val="en-US" w:eastAsia="zh-CN" w:bidi="ar"/>
        </w:rPr>
      </w:pPr>
      <w:r>
        <w:rPr>
          <w:rFonts w:hint="default" w:ascii="Times New Roman" w:hAnsi="Times New Roman" w:cs="Times New Roman"/>
          <w:b/>
          <w:bCs/>
          <w:kern w:val="44"/>
          <w:sz w:val="20"/>
          <w:szCs w:val="20"/>
          <w:lang w:val="en-US" w:eastAsia="zh-CN" w:bidi="ar"/>
        </w:rPr>
        <w:drawing>
          <wp:inline distT="0" distB="0" distL="114300" distR="114300">
            <wp:extent cx="5269865" cy="2984500"/>
            <wp:effectExtent l="0" t="0" r="6985" b="6350"/>
            <wp:docPr id="8" name="图片 8" descr="Supplementary 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ry Figure 7"/>
                    <pic:cNvPicPr>
                      <a:picLocks noChangeAspect="1"/>
                    </pic:cNvPicPr>
                  </pic:nvPicPr>
                  <pic:blipFill>
                    <a:blip r:embed="rId12"/>
                    <a:stretch>
                      <a:fillRect/>
                    </a:stretch>
                  </pic:blipFill>
                  <pic:spPr>
                    <a:xfrm>
                      <a:off x="0" y="0"/>
                      <a:ext cx="5269865" cy="2984500"/>
                    </a:xfrm>
                    <a:prstGeom prst="rect">
                      <a:avLst/>
                    </a:prstGeom>
                  </pic:spPr>
                </pic:pic>
              </a:graphicData>
            </a:graphic>
          </wp:inline>
        </w:drawing>
      </w:r>
    </w:p>
    <w:p w14:paraId="0655B8A8">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eastAsia" w:ascii="Times New Roman" w:hAnsi="Times New Roman" w:cs="Times New Roman"/>
          <w:kern w:val="44"/>
          <w:sz w:val="20"/>
          <w:szCs w:val="20"/>
          <w:lang w:eastAsia="zh-CN" w:bidi="ar"/>
        </w:rPr>
        <w:t>Abbreviations</w:t>
      </w:r>
      <w:r>
        <w:rPr>
          <w:rFonts w:hint="default" w:ascii="Times New Roman" w:hAnsi="Times New Roman" w:cs="Times New Roman"/>
          <w:kern w:val="44"/>
          <w:sz w:val="20"/>
          <w:szCs w:val="20"/>
          <w:lang w:bidi="ar"/>
        </w:rPr>
        <w:t>: mOS, median overall survival; LDH, lactate dehydrogenase; ECOG, Eastern Cooperative Oncology Group; PS, performance status; HR, hazard ratio; CI, confidence interval; FDR, false discovery rate (Benjamini</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Hochberg adjusted P value).</w:t>
      </w:r>
      <w:r>
        <w:rPr>
          <w:rFonts w:hint="default" w:ascii="Times New Roman" w:hAnsi="Times New Roman" w:cs="Times New Roman"/>
          <w:kern w:val="44"/>
          <w:sz w:val="20"/>
          <w:szCs w:val="20"/>
          <w:lang w:bidi="ar"/>
        </w:rPr>
        <w:br w:type="page"/>
      </w:r>
    </w:p>
    <w:p w14:paraId="07FFFD96">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060607"/>
          <w:spacing w:val="3"/>
          <w:sz w:val="20"/>
          <w:szCs w:val="20"/>
          <w:shd w:val="clear" w:color="auto" w:fill="FFFFFF"/>
        </w:rPr>
      </w:pPr>
      <w:r>
        <w:rPr>
          <w:rFonts w:hint="eastAsia" w:ascii="Times New Roman" w:hAnsi="Times New Roman" w:cs="Times New Roman"/>
          <w:b/>
          <w:bCs/>
          <w:kern w:val="44"/>
          <w:sz w:val="20"/>
          <w:szCs w:val="20"/>
          <w:lang w:val="en-US" w:eastAsia="zh-CN" w:bidi="ar"/>
        </w:rPr>
        <w:t xml:space="preserve">Supplementary Fig 8. </w:t>
      </w:r>
      <w:r>
        <w:rPr>
          <w:rFonts w:hint="default" w:ascii="Times New Roman" w:hAnsi="Times New Roman" w:cs="Times New Roman"/>
          <w:color w:val="060607"/>
          <w:spacing w:val="3"/>
          <w:sz w:val="20"/>
          <w:szCs w:val="20"/>
          <w:shd w:val="clear" w:color="auto" w:fill="FFFFFF"/>
        </w:rPr>
        <w:t>Subgroup analysis forest plot for progression</w:t>
      </w:r>
      <w:r>
        <w:rPr>
          <w:rFonts w:hint="eastAsia" w:ascii="Times New Roman" w:hAnsi="Times New Roman" w:cs="Times New Roman"/>
          <w:color w:val="060607"/>
          <w:spacing w:val="3"/>
          <w:sz w:val="20"/>
          <w:szCs w:val="20"/>
          <w:shd w:val="clear" w:color="auto" w:fill="FFFFFF"/>
          <w:lang w:eastAsia="zh-CN"/>
        </w:rPr>
        <w:t>-</w:t>
      </w:r>
      <w:r>
        <w:rPr>
          <w:rFonts w:hint="default" w:ascii="Times New Roman" w:hAnsi="Times New Roman" w:cs="Times New Roman"/>
          <w:color w:val="060607"/>
          <w:spacing w:val="3"/>
          <w:sz w:val="20"/>
          <w:szCs w:val="20"/>
          <w:shd w:val="clear" w:color="auto" w:fill="FFFFFF"/>
        </w:rPr>
        <w:t>free survival comparing triplet versus doublet therapy after propensity score overlap weighting.</w:t>
      </w:r>
    </w:p>
    <w:p w14:paraId="4140292A">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color w:val="060607"/>
          <w:spacing w:val="3"/>
          <w:sz w:val="20"/>
          <w:szCs w:val="20"/>
          <w:shd w:val="clear" w:color="auto" w:fill="FFFFFF"/>
          <w:lang w:eastAsia="zh-CN"/>
        </w:rPr>
      </w:pPr>
      <w:r>
        <w:rPr>
          <w:rFonts w:hint="eastAsia" w:ascii="Times New Roman" w:hAnsi="Times New Roman" w:cs="Times New Roman" w:eastAsiaTheme="minorEastAsia"/>
          <w:color w:val="060607"/>
          <w:spacing w:val="3"/>
          <w:sz w:val="20"/>
          <w:szCs w:val="20"/>
          <w:shd w:val="clear" w:color="auto" w:fill="FFFFFF"/>
          <w:lang w:eastAsia="zh-CN"/>
        </w:rPr>
        <w:drawing>
          <wp:inline distT="0" distB="0" distL="114300" distR="114300">
            <wp:extent cx="5273040" cy="3235325"/>
            <wp:effectExtent l="0" t="0" r="3810" b="3175"/>
            <wp:docPr id="16" name="图片 16" descr="Supplementary 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upplementary Figure 8"/>
                    <pic:cNvPicPr>
                      <a:picLocks noChangeAspect="1"/>
                    </pic:cNvPicPr>
                  </pic:nvPicPr>
                  <pic:blipFill>
                    <a:blip r:embed="rId13"/>
                    <a:stretch>
                      <a:fillRect/>
                    </a:stretch>
                  </pic:blipFill>
                  <pic:spPr>
                    <a:xfrm>
                      <a:off x="0" y="0"/>
                      <a:ext cx="5273040" cy="3235325"/>
                    </a:xfrm>
                    <a:prstGeom prst="rect">
                      <a:avLst/>
                    </a:prstGeom>
                  </pic:spPr>
                </pic:pic>
              </a:graphicData>
            </a:graphic>
          </wp:inline>
        </w:drawing>
      </w:r>
    </w:p>
    <w:p w14:paraId="7633E8D0">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kern w:val="44"/>
          <w:sz w:val="20"/>
          <w:szCs w:val="20"/>
          <w:lang w:val="en-US" w:eastAsia="zh-CN" w:bidi="ar"/>
        </w:rPr>
      </w:pPr>
      <w:r>
        <w:rPr>
          <w:rFonts w:hint="eastAsia" w:ascii="Times New Roman" w:hAnsi="Times New Roman" w:cs="Times New Roman"/>
          <w:kern w:val="44"/>
          <w:sz w:val="20"/>
          <w:szCs w:val="20"/>
          <w:lang w:eastAsia="zh-CN" w:bidi="ar"/>
        </w:rPr>
        <w:t>Abbreviations</w:t>
      </w:r>
      <w:r>
        <w:rPr>
          <w:rFonts w:hint="default" w:ascii="Times New Roman" w:hAnsi="Times New Roman" w:cs="Times New Roman"/>
          <w:kern w:val="44"/>
          <w:sz w:val="20"/>
          <w:szCs w:val="20"/>
          <w:lang w:bidi="ar"/>
        </w:rPr>
        <w:t>: mPFS, median progression</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free survival; LDH, lactate dehydrogenase; ECOG, Eastern Cooperative Oncology Group; PS, performance status; HR, hazard ratio; CI, confidence interval;</w:t>
      </w:r>
      <w:r>
        <w:rPr>
          <w:rFonts w:hint="default" w:ascii="Times New Roman" w:hAnsi="Times New Roman" w:cs="Times New Roman"/>
          <w:sz w:val="20"/>
          <w:szCs w:val="20"/>
        </w:rPr>
        <w:t xml:space="preserve"> </w:t>
      </w:r>
      <w:r>
        <w:rPr>
          <w:rFonts w:hint="default" w:ascii="Times New Roman" w:hAnsi="Times New Roman" w:cs="Times New Roman"/>
          <w:kern w:val="44"/>
          <w:sz w:val="20"/>
          <w:szCs w:val="20"/>
          <w:lang w:bidi="ar"/>
        </w:rPr>
        <w:t>FDR, false discovery rate (Benjamini</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Hochberg adjusted P value).</w:t>
      </w:r>
      <w:r>
        <w:rPr>
          <w:rFonts w:hint="eastAsia" w:ascii="Times New Roman" w:hAnsi="Times New Roman" w:cs="Times New Roman"/>
          <w:kern w:val="44"/>
          <w:sz w:val="20"/>
          <w:szCs w:val="20"/>
          <w:lang w:val="en-US" w:eastAsia="zh-CN" w:bidi="ar"/>
        </w:rPr>
        <w:br w:type="page"/>
      </w:r>
    </w:p>
    <w:p w14:paraId="1C2EF6DD">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kern w:val="44"/>
          <w:sz w:val="20"/>
          <w:szCs w:val="20"/>
          <w:lang w:val="en-US" w:eastAsia="zh-CN" w:bidi="ar"/>
        </w:rPr>
      </w:pPr>
      <w:r>
        <w:rPr>
          <w:rFonts w:hint="eastAsia" w:ascii="Times New Roman" w:hAnsi="Times New Roman" w:cs="Times New Roman"/>
          <w:b/>
          <w:bCs/>
          <w:kern w:val="44"/>
          <w:sz w:val="20"/>
          <w:szCs w:val="20"/>
          <w:lang w:val="en-US" w:eastAsia="zh-CN" w:bidi="ar"/>
        </w:rPr>
        <w:t xml:space="preserve">Supplementary Fig 9. </w:t>
      </w:r>
      <w:r>
        <w:rPr>
          <w:rFonts w:hint="default" w:ascii="Times New Roman" w:hAnsi="Times New Roman" w:cs="Times New Roman"/>
          <w:color w:val="060607"/>
          <w:spacing w:val="3"/>
          <w:sz w:val="20"/>
          <w:szCs w:val="20"/>
          <w:shd w:val="clear" w:color="auto" w:fill="FFFFFF"/>
          <w:lang w:bidi="ar"/>
        </w:rPr>
        <w:t>Overlap</w:t>
      </w:r>
      <w:r>
        <w:rPr>
          <w:rFonts w:hint="eastAsia" w:ascii="Times New Roman" w:hAnsi="Times New Roman" w:cs="Times New Roman"/>
          <w:color w:val="060607"/>
          <w:spacing w:val="3"/>
          <w:sz w:val="20"/>
          <w:szCs w:val="20"/>
          <w:shd w:val="clear" w:color="auto" w:fill="FFFFFF"/>
          <w:lang w:eastAsia="zh-CN" w:bidi="ar"/>
        </w:rPr>
        <w:t>-</w:t>
      </w:r>
      <w:r>
        <w:rPr>
          <w:rFonts w:hint="default" w:ascii="Times New Roman" w:hAnsi="Times New Roman" w:cs="Times New Roman"/>
          <w:color w:val="060607"/>
          <w:spacing w:val="3"/>
          <w:sz w:val="20"/>
          <w:szCs w:val="20"/>
          <w:shd w:val="clear" w:color="auto" w:fill="FFFFFF"/>
          <w:lang w:bidi="ar"/>
        </w:rPr>
        <w:t>weighted Kaplan</w:t>
      </w:r>
      <w:r>
        <w:rPr>
          <w:rFonts w:hint="eastAsia" w:ascii="Times New Roman" w:hAnsi="Times New Roman" w:cs="Times New Roman"/>
          <w:color w:val="060607"/>
          <w:spacing w:val="3"/>
          <w:sz w:val="20"/>
          <w:szCs w:val="20"/>
          <w:shd w:val="clear" w:color="auto" w:fill="FFFFFF"/>
          <w:lang w:eastAsia="zh-CN" w:bidi="ar"/>
        </w:rPr>
        <w:t>-</w:t>
      </w:r>
      <w:r>
        <w:rPr>
          <w:rFonts w:hint="default" w:ascii="Times New Roman" w:hAnsi="Times New Roman" w:cs="Times New Roman"/>
          <w:color w:val="060607"/>
          <w:spacing w:val="3"/>
          <w:sz w:val="20"/>
          <w:szCs w:val="20"/>
          <w:shd w:val="clear" w:color="auto" w:fill="FFFFFF"/>
          <w:lang w:bidi="ar"/>
        </w:rPr>
        <w:t>Meier curves for overall survival and progression</w:t>
      </w:r>
      <w:r>
        <w:rPr>
          <w:rFonts w:hint="eastAsia" w:ascii="Times New Roman" w:hAnsi="Times New Roman" w:cs="Times New Roman"/>
          <w:color w:val="060607"/>
          <w:spacing w:val="3"/>
          <w:sz w:val="20"/>
          <w:szCs w:val="20"/>
          <w:shd w:val="clear" w:color="auto" w:fill="FFFFFF"/>
          <w:lang w:eastAsia="zh-CN" w:bidi="ar"/>
        </w:rPr>
        <w:t>-</w:t>
      </w:r>
      <w:r>
        <w:rPr>
          <w:rFonts w:hint="default" w:ascii="Times New Roman" w:hAnsi="Times New Roman" w:cs="Times New Roman"/>
          <w:color w:val="060607"/>
          <w:spacing w:val="3"/>
          <w:sz w:val="20"/>
          <w:szCs w:val="20"/>
          <w:shd w:val="clear" w:color="auto" w:fill="FFFFFF"/>
          <w:lang w:bidi="ar"/>
        </w:rPr>
        <w:t>free survival comparing triplet versus doublet therapy across prespecified clinical subgroups.</w:t>
      </w:r>
    </w:p>
    <w:p w14:paraId="35C5100D">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kern w:val="44"/>
          <w:sz w:val="20"/>
          <w:szCs w:val="20"/>
          <w:lang w:val="en-US" w:eastAsia="zh-CN" w:bidi="ar"/>
        </w:rPr>
      </w:pPr>
      <w:r>
        <w:rPr>
          <w:rFonts w:hint="eastAsia" w:ascii="Times New Roman" w:hAnsi="Times New Roman" w:cs="Times New Roman"/>
          <w:kern w:val="44"/>
          <w:sz w:val="20"/>
          <w:szCs w:val="20"/>
          <w:lang w:val="en-US" w:eastAsia="zh-CN" w:bidi="ar"/>
        </w:rPr>
        <w:drawing>
          <wp:inline distT="0" distB="0" distL="114300" distR="114300">
            <wp:extent cx="5266690" cy="7115810"/>
            <wp:effectExtent l="0" t="0" r="635" b="8890"/>
            <wp:docPr id="10" name="图片 10" descr="Supplementary 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mentary Figure 9"/>
                    <pic:cNvPicPr>
                      <a:picLocks noChangeAspect="1"/>
                    </pic:cNvPicPr>
                  </pic:nvPicPr>
                  <pic:blipFill>
                    <a:blip r:embed="rId14"/>
                    <a:stretch>
                      <a:fillRect/>
                    </a:stretch>
                  </pic:blipFill>
                  <pic:spPr>
                    <a:xfrm>
                      <a:off x="0" y="0"/>
                      <a:ext cx="5266690" cy="7115810"/>
                    </a:xfrm>
                    <a:prstGeom prst="rect">
                      <a:avLst/>
                    </a:prstGeom>
                  </pic:spPr>
                </pic:pic>
              </a:graphicData>
            </a:graphic>
          </wp:inline>
        </w:drawing>
      </w:r>
    </w:p>
    <w:p w14:paraId="2A63A6A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60607"/>
          <w:spacing w:val="3"/>
          <w:sz w:val="20"/>
          <w:szCs w:val="20"/>
          <w:shd w:val="clear" w:color="auto" w:fill="FFFFFF"/>
        </w:rPr>
      </w:pPr>
      <w:r>
        <w:rPr>
          <w:rFonts w:hint="default" w:ascii="Times New Roman" w:hAnsi="Times New Roman" w:cs="Times New Roman"/>
          <w:color w:val="060607"/>
          <w:spacing w:val="3"/>
          <w:sz w:val="20"/>
          <w:szCs w:val="20"/>
          <w:shd w:val="clear" w:color="auto" w:fill="FFFFFF"/>
          <w:lang w:bidi="ar"/>
        </w:rPr>
        <w:t>(A</w:t>
      </w:r>
      <w:r>
        <w:rPr>
          <w:rFonts w:hint="eastAsia" w:ascii="Times New Roman" w:hAnsi="Times New Roman" w:cs="Times New Roman"/>
          <w:color w:val="060607"/>
          <w:spacing w:val="3"/>
          <w:sz w:val="20"/>
          <w:szCs w:val="20"/>
          <w:shd w:val="clear" w:color="auto" w:fill="FFFFFF"/>
          <w:lang w:eastAsia="zh-CN" w:bidi="ar"/>
        </w:rPr>
        <w:t>-</w:t>
      </w:r>
      <w:r>
        <w:rPr>
          <w:rFonts w:hint="default" w:ascii="Times New Roman" w:hAnsi="Times New Roman" w:cs="Times New Roman"/>
          <w:color w:val="060607"/>
          <w:spacing w:val="3"/>
          <w:sz w:val="20"/>
          <w:szCs w:val="20"/>
          <w:shd w:val="clear" w:color="auto" w:fill="FFFFFF"/>
          <w:lang w:bidi="ar"/>
        </w:rPr>
        <w:t>G) Overlap</w:t>
      </w:r>
      <w:r>
        <w:rPr>
          <w:rFonts w:hint="eastAsia" w:ascii="Times New Roman" w:hAnsi="Times New Roman" w:cs="Times New Roman"/>
          <w:color w:val="060607"/>
          <w:spacing w:val="3"/>
          <w:sz w:val="20"/>
          <w:szCs w:val="20"/>
          <w:shd w:val="clear" w:color="auto" w:fill="FFFFFF"/>
          <w:lang w:eastAsia="zh-CN" w:bidi="ar"/>
        </w:rPr>
        <w:t>-</w:t>
      </w:r>
      <w:r>
        <w:rPr>
          <w:rFonts w:hint="default" w:ascii="Times New Roman" w:hAnsi="Times New Roman" w:cs="Times New Roman"/>
          <w:color w:val="060607"/>
          <w:spacing w:val="3"/>
          <w:sz w:val="20"/>
          <w:szCs w:val="20"/>
          <w:shd w:val="clear" w:color="auto" w:fill="FFFFFF"/>
          <w:lang w:bidi="ar"/>
        </w:rPr>
        <w:t>weighted OS curves for individual subgroups; (H</w:t>
      </w:r>
      <w:r>
        <w:rPr>
          <w:rFonts w:hint="eastAsia" w:ascii="Times New Roman" w:hAnsi="Times New Roman" w:cs="Times New Roman"/>
          <w:color w:val="060607"/>
          <w:spacing w:val="3"/>
          <w:sz w:val="20"/>
          <w:szCs w:val="20"/>
          <w:shd w:val="clear" w:color="auto" w:fill="FFFFFF"/>
          <w:lang w:eastAsia="zh-CN" w:bidi="ar"/>
        </w:rPr>
        <w:t>-</w:t>
      </w:r>
      <w:r>
        <w:rPr>
          <w:rFonts w:hint="default" w:ascii="Times New Roman" w:hAnsi="Times New Roman" w:cs="Times New Roman"/>
          <w:color w:val="060607"/>
          <w:spacing w:val="3"/>
          <w:sz w:val="20"/>
          <w:szCs w:val="20"/>
          <w:shd w:val="clear" w:color="auto" w:fill="FFFFFF"/>
          <w:lang w:bidi="ar"/>
        </w:rPr>
        <w:t>N) Corresponding overlap</w:t>
      </w:r>
      <w:r>
        <w:rPr>
          <w:rFonts w:hint="eastAsia" w:ascii="Times New Roman" w:hAnsi="Times New Roman" w:cs="Times New Roman"/>
          <w:color w:val="060607"/>
          <w:spacing w:val="3"/>
          <w:sz w:val="20"/>
          <w:szCs w:val="20"/>
          <w:shd w:val="clear" w:color="auto" w:fill="FFFFFF"/>
          <w:lang w:eastAsia="zh-CN" w:bidi="ar"/>
        </w:rPr>
        <w:t>-</w:t>
      </w:r>
      <w:r>
        <w:rPr>
          <w:rFonts w:hint="default" w:ascii="Times New Roman" w:hAnsi="Times New Roman" w:cs="Times New Roman"/>
          <w:color w:val="060607"/>
          <w:spacing w:val="3"/>
          <w:sz w:val="20"/>
          <w:szCs w:val="20"/>
          <w:shd w:val="clear" w:color="auto" w:fill="FFFFFF"/>
          <w:lang w:bidi="ar"/>
        </w:rPr>
        <w:t>weighted PFS curves for each prespecified subgroup.</w:t>
      </w:r>
    </w:p>
    <w:p w14:paraId="4BFC92E1">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0"/>
          <w:szCs w:val="20"/>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pgNumType w:fmt="decimal"/>
          <w:cols w:space="425" w:num="1"/>
          <w:docGrid w:type="lines" w:linePitch="312" w:charSpace="0"/>
        </w:sectPr>
      </w:pPr>
      <w:r>
        <w:rPr>
          <w:rFonts w:hint="eastAsia" w:ascii="Times New Roman" w:hAnsi="Times New Roman" w:cs="Times New Roman"/>
          <w:kern w:val="44"/>
          <w:sz w:val="20"/>
          <w:szCs w:val="20"/>
          <w:lang w:eastAsia="zh-CN" w:bidi="ar"/>
        </w:rPr>
        <w:t>Abbreviation</w:t>
      </w:r>
      <w:r>
        <w:rPr>
          <w:rFonts w:hint="default" w:ascii="Times New Roman" w:hAnsi="Times New Roman" w:cs="Times New Roman"/>
          <w:kern w:val="44"/>
          <w:sz w:val="20"/>
          <w:szCs w:val="20"/>
          <w:lang w:bidi="ar"/>
        </w:rPr>
        <w:t>: FDR, false discovery rate (Benjamini</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Hochberg adjusted P value).</w:t>
      </w:r>
    </w:p>
    <w:p w14:paraId="19D37BD9">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sz w:val="20"/>
          <w:szCs w:val="20"/>
        </w:rPr>
      </w:pPr>
      <w:r>
        <w:rPr>
          <w:rFonts w:hint="eastAsia" w:ascii="Times New Roman" w:hAnsi="Times New Roman" w:cs="Times New Roman"/>
          <w:b/>
          <w:bCs/>
          <w:kern w:val="44"/>
          <w:sz w:val="20"/>
          <w:szCs w:val="20"/>
          <w:lang w:val="en-US" w:eastAsia="zh-CN" w:bidi="ar"/>
        </w:rPr>
        <w:t xml:space="preserve">Supplementary Fig 10. </w:t>
      </w:r>
      <w:r>
        <w:rPr>
          <w:rFonts w:hint="default" w:ascii="Times New Roman" w:hAnsi="Times New Roman" w:cs="Times New Roman"/>
          <w:b w:val="0"/>
          <w:bCs w:val="0"/>
          <w:sz w:val="20"/>
          <w:szCs w:val="20"/>
        </w:rPr>
        <w:t>Convergence trace plots for the multiple imputation procedure.</w:t>
      </w:r>
    </w:p>
    <w:p w14:paraId="64BDB7A7">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b w:val="0"/>
          <w:bCs w:val="0"/>
          <w:sz w:val="20"/>
          <w:szCs w:val="20"/>
          <w:lang w:eastAsia="zh-CN"/>
        </w:rPr>
      </w:pPr>
      <w:r>
        <w:rPr>
          <w:rFonts w:hint="eastAsia" w:ascii="Times New Roman" w:hAnsi="Times New Roman" w:cs="Times New Roman" w:eastAsiaTheme="minorEastAsia"/>
          <w:b w:val="0"/>
          <w:bCs w:val="0"/>
          <w:sz w:val="20"/>
          <w:szCs w:val="20"/>
          <w:lang w:eastAsia="zh-CN"/>
        </w:rPr>
        <w:drawing>
          <wp:inline distT="0" distB="0" distL="114300" distR="114300">
            <wp:extent cx="5270500" cy="2242185"/>
            <wp:effectExtent l="0" t="0" r="6350" b="5715"/>
            <wp:docPr id="11" name="图片 11" descr="Supplementary 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upplementary Figure 10"/>
                    <pic:cNvPicPr>
                      <a:picLocks noChangeAspect="1"/>
                    </pic:cNvPicPr>
                  </pic:nvPicPr>
                  <pic:blipFill>
                    <a:blip r:embed="rId15"/>
                    <a:stretch>
                      <a:fillRect/>
                    </a:stretch>
                  </pic:blipFill>
                  <pic:spPr>
                    <a:xfrm>
                      <a:off x="0" y="0"/>
                      <a:ext cx="5270500" cy="2242185"/>
                    </a:xfrm>
                    <a:prstGeom prst="rect">
                      <a:avLst/>
                    </a:prstGeom>
                  </pic:spPr>
                </pic:pic>
              </a:graphicData>
            </a:graphic>
          </wp:inline>
        </w:drawing>
      </w:r>
    </w:p>
    <w:p w14:paraId="1670F23F">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kern w:val="44"/>
          <w:sz w:val="20"/>
          <w:szCs w:val="20"/>
          <w:lang w:val="en-US" w:eastAsia="zh-CN" w:bidi="ar"/>
        </w:rPr>
      </w:pPr>
      <w:r>
        <w:rPr>
          <w:rFonts w:hint="default" w:ascii="Times New Roman" w:hAnsi="Times New Roman" w:cs="Times New Roman"/>
          <w:sz w:val="20"/>
          <w:szCs w:val="20"/>
        </w:rPr>
        <w:t>The plots display the mean (left column) and standard deviation (SD, right column) trajectories for imputed variables across 5 independent imputation chains (represented by different colors) over 30 iterations. The adequate mixing and stable fluctuations of the chains without a clear monotonic drift indicate convergence, which is further supported by the multivariate Gelman</w:t>
      </w:r>
      <w:r>
        <w:rPr>
          <w:rFonts w:hint="eastAsia" w:ascii="Times New Roman" w:hAnsi="Times New Roman" w:cs="Times New Roman"/>
          <w:sz w:val="20"/>
          <w:szCs w:val="20"/>
          <w:lang w:eastAsia="zh-CN"/>
        </w:rPr>
        <w:t>-</w:t>
      </w:r>
      <w:r>
        <w:rPr>
          <w:rFonts w:hint="default" w:ascii="Times New Roman" w:hAnsi="Times New Roman" w:cs="Times New Roman"/>
          <w:sz w:val="20"/>
          <w:szCs w:val="20"/>
        </w:rPr>
        <w:t xml:space="preserve">Rubin potential scale reduction factor (PSRF) of </w:t>
      </w:r>
      <w:r>
        <w:rPr>
          <w:rFonts w:hint="eastAsia" w:ascii="Times New Roman" w:hAnsi="Times New Roman" w:cs="Times New Roman"/>
          <w:sz w:val="20"/>
          <w:szCs w:val="20"/>
          <w:lang w:val="en-US" w:eastAsia="zh-CN"/>
        </w:rPr>
        <w:t>1.02</w:t>
      </w:r>
      <w:r>
        <w:rPr>
          <w:rFonts w:hint="default" w:ascii="Times New Roman" w:hAnsi="Times New Roman" w:cs="Times New Roman"/>
          <w:sz w:val="20"/>
          <w:szCs w:val="20"/>
        </w:rPr>
        <w:t xml:space="preserve"> and all univariate </w:t>
      </w:r>
      <w:r>
        <w:rPr>
          <w:rFonts w:hint="default" w:ascii="Times New Roman" w:hAnsi="Times New Roman" w:eastAsia="微软雅黑" w:cs="Times New Roman"/>
          <w:sz w:val="21"/>
          <w:szCs w:val="21"/>
          <w:highlight w:val="none"/>
          <w:lang w:val="en-US" w:eastAsia="zh-CN"/>
        </w:rPr>
        <w:t>upper confidence limits</w:t>
      </w:r>
      <w:r>
        <w:rPr>
          <w:rFonts w:hint="default" w:ascii="Times New Roman" w:hAnsi="Times New Roman" w:cs="Times New Roman"/>
          <w:sz w:val="20"/>
          <w:szCs w:val="20"/>
        </w:rPr>
        <w:t xml:space="preserve"> &lt; 1.2.</w:t>
      </w:r>
      <w:r>
        <w:rPr>
          <w:rFonts w:hint="eastAsia" w:ascii="Times New Roman" w:hAnsi="Times New Roman" w:cs="Times New Roman"/>
          <w:kern w:val="44"/>
          <w:sz w:val="20"/>
          <w:szCs w:val="20"/>
          <w:lang w:val="en-US" w:eastAsia="zh-CN" w:bidi="ar"/>
        </w:rPr>
        <w:br w:type="page"/>
      </w:r>
    </w:p>
    <w:p w14:paraId="339BAF8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sz w:val="20"/>
          <w:szCs w:val="20"/>
        </w:rPr>
      </w:pPr>
      <w:r>
        <w:rPr>
          <w:rFonts w:hint="eastAsia" w:ascii="Times New Roman" w:hAnsi="Times New Roman" w:cs="Times New Roman"/>
          <w:b/>
          <w:bCs/>
          <w:kern w:val="44"/>
          <w:sz w:val="20"/>
          <w:szCs w:val="20"/>
          <w:lang w:val="en-US" w:eastAsia="zh-CN" w:bidi="ar"/>
        </w:rPr>
        <w:t>Supplementary Fig 11.</w:t>
      </w:r>
      <w:r>
        <w:rPr>
          <w:rFonts w:hint="eastAsia" w:ascii="Times New Roman" w:hAnsi="Times New Roman" w:cs="Times New Roman"/>
          <w:kern w:val="44"/>
          <w:sz w:val="20"/>
          <w:szCs w:val="20"/>
          <w:lang w:val="en-US" w:eastAsia="zh-CN" w:bidi="ar"/>
        </w:rPr>
        <w:t xml:space="preserve"> </w:t>
      </w:r>
      <w:r>
        <w:rPr>
          <w:rFonts w:hint="default" w:ascii="Times New Roman" w:hAnsi="Times New Roman" w:cs="Times New Roman"/>
          <w:kern w:val="44"/>
          <w:sz w:val="20"/>
          <w:szCs w:val="20"/>
          <w:lang w:bidi="ar"/>
        </w:rPr>
        <w:t>Forest plots of univariable and multivariable Cox regression analyses exploring associations between adverse events and overall survival in patients receiving doublet therapy.</w:t>
      </w:r>
      <w:r>
        <w:rPr>
          <w:rFonts w:hint="default" w:ascii="Times New Roman" w:hAnsi="Times New Roman" w:eastAsia="宋体" w:cs="Times New Roman"/>
          <w:color w:val="000000"/>
          <w:sz w:val="20"/>
          <w:szCs w:val="20"/>
        </w:rPr>
        <w:t xml:space="preserve"> </w:t>
      </w:r>
    </w:p>
    <w:p w14:paraId="13666CCE">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val="en-US" w:eastAsia="zh-CN" w:bidi="ar"/>
        </w:rPr>
      </w:pPr>
      <w:r>
        <w:rPr>
          <w:rFonts w:hint="default" w:ascii="Times New Roman" w:hAnsi="Times New Roman" w:cs="Times New Roman"/>
          <w:kern w:val="44"/>
          <w:sz w:val="20"/>
          <w:szCs w:val="20"/>
          <w:lang w:val="en-US" w:eastAsia="zh-CN" w:bidi="ar"/>
        </w:rPr>
        <w:drawing>
          <wp:inline distT="0" distB="0" distL="114300" distR="114300">
            <wp:extent cx="5270500" cy="5087620"/>
            <wp:effectExtent l="0" t="0" r="6350" b="8255"/>
            <wp:docPr id="12" name="图片 12" descr="Supplementary 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upplementary Figure 11"/>
                    <pic:cNvPicPr>
                      <a:picLocks noChangeAspect="1"/>
                    </pic:cNvPicPr>
                  </pic:nvPicPr>
                  <pic:blipFill>
                    <a:blip r:embed="rId16"/>
                    <a:stretch>
                      <a:fillRect/>
                    </a:stretch>
                  </pic:blipFill>
                  <pic:spPr>
                    <a:xfrm>
                      <a:off x="0" y="0"/>
                      <a:ext cx="5270500" cy="5087620"/>
                    </a:xfrm>
                    <a:prstGeom prst="rect">
                      <a:avLst/>
                    </a:prstGeom>
                  </pic:spPr>
                </pic:pic>
              </a:graphicData>
            </a:graphic>
          </wp:inline>
        </w:drawing>
      </w:r>
    </w:p>
    <w:p w14:paraId="4973FEFE">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default" w:ascii="Times New Roman" w:hAnsi="Times New Roman" w:cs="Times New Roman"/>
          <w:b/>
          <w:bCs/>
          <w:kern w:val="44"/>
          <w:sz w:val="20"/>
          <w:szCs w:val="20"/>
          <w:lang w:bidi="ar"/>
        </w:rPr>
        <w:t>A</w:t>
      </w:r>
      <w:r>
        <w:rPr>
          <w:rFonts w:hint="default" w:ascii="Times New Roman" w:hAnsi="Times New Roman" w:cs="Times New Roman"/>
          <w:kern w:val="44"/>
          <w:sz w:val="20"/>
          <w:szCs w:val="20"/>
          <w:lang w:bidi="ar"/>
        </w:rPr>
        <w:t xml:space="preserve"> Univariable Cox regression analysis for adverse events and OS in the doublet group. </w:t>
      </w:r>
      <w:r>
        <w:rPr>
          <w:rFonts w:hint="default" w:ascii="Times New Roman" w:hAnsi="Times New Roman" w:cs="Times New Roman"/>
          <w:b/>
          <w:bCs/>
          <w:kern w:val="44"/>
          <w:sz w:val="20"/>
          <w:szCs w:val="20"/>
          <w:lang w:bidi="ar"/>
        </w:rPr>
        <w:t>B</w:t>
      </w:r>
      <w:r>
        <w:rPr>
          <w:rFonts w:hint="default" w:ascii="Times New Roman" w:hAnsi="Times New Roman" w:cs="Times New Roman"/>
          <w:kern w:val="44"/>
          <w:sz w:val="20"/>
          <w:szCs w:val="20"/>
          <w:lang w:bidi="ar"/>
        </w:rPr>
        <w:t xml:space="preserve"> Multivariable Cox regression analysis for adverse events and OS in the doublet group.</w:t>
      </w:r>
    </w:p>
    <w:p w14:paraId="020A3B81">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eastAsia" w:ascii="Times New Roman" w:hAnsi="Times New Roman" w:cs="Times New Roman"/>
          <w:kern w:val="44"/>
          <w:sz w:val="20"/>
          <w:szCs w:val="20"/>
          <w:lang w:eastAsia="zh-CN" w:bidi="ar"/>
        </w:rPr>
        <w:t>Abbreviations</w:t>
      </w:r>
      <w:r>
        <w:rPr>
          <w:rFonts w:hint="default" w:ascii="Times New Roman" w:hAnsi="Times New Roman" w:cs="Times New Roman"/>
          <w:kern w:val="44"/>
          <w:sz w:val="20"/>
          <w:szCs w:val="20"/>
          <w:lang w:bidi="ar"/>
        </w:rPr>
        <w:t>: AEs, adverse events; OS, overall survival; HR, hazard ratio; CI, confidence interval.</w:t>
      </w:r>
    </w:p>
    <w:p w14:paraId="4BAB16F8">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kern w:val="44"/>
          <w:sz w:val="20"/>
          <w:szCs w:val="20"/>
          <w:lang w:val="en-US" w:eastAsia="zh-CN" w:bidi="ar"/>
        </w:rPr>
      </w:pPr>
      <w:r>
        <w:rPr>
          <w:rFonts w:hint="default" w:ascii="Times New Roman" w:hAnsi="Times New Roman" w:cs="Times New Roman"/>
          <w:kern w:val="44"/>
          <w:sz w:val="20"/>
          <w:szCs w:val="20"/>
          <w:vertAlign w:val="superscript"/>
          <w:lang w:bidi="ar"/>
        </w:rPr>
        <w:t>a</w:t>
      </w:r>
      <w:r>
        <w:rPr>
          <w:rFonts w:hint="default" w:ascii="Times New Roman" w:hAnsi="Times New Roman" w:cs="Times New Roman"/>
          <w:kern w:val="44"/>
          <w:sz w:val="20"/>
          <w:szCs w:val="20"/>
          <w:lang w:bidi="ar"/>
        </w:rPr>
        <w:t xml:space="preserve"> A disorder characterized by loss of skin pigment, recorded in CTCAE 5.0 as Skin hypopigmentation.</w:t>
      </w:r>
      <w:r>
        <w:rPr>
          <w:rFonts w:hint="eastAsia" w:ascii="Times New Roman" w:hAnsi="Times New Roman" w:cs="Times New Roman"/>
          <w:kern w:val="44"/>
          <w:sz w:val="20"/>
          <w:szCs w:val="20"/>
          <w:lang w:val="en-US" w:eastAsia="zh-CN" w:bidi="ar"/>
        </w:rPr>
        <w:br w:type="page"/>
      </w:r>
    </w:p>
    <w:p w14:paraId="4D77F72B">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eastAsia" w:ascii="Times New Roman" w:hAnsi="Times New Roman" w:cs="Times New Roman"/>
          <w:b/>
          <w:bCs/>
          <w:kern w:val="44"/>
          <w:sz w:val="20"/>
          <w:szCs w:val="20"/>
          <w:lang w:val="en-US" w:eastAsia="zh-CN" w:bidi="ar"/>
        </w:rPr>
        <w:t xml:space="preserve">Supplementary Fig 12. </w:t>
      </w:r>
      <w:r>
        <w:rPr>
          <w:rFonts w:hint="default" w:ascii="Times New Roman" w:hAnsi="Times New Roman" w:cs="Times New Roman"/>
          <w:kern w:val="44"/>
          <w:sz w:val="20"/>
          <w:szCs w:val="20"/>
          <w:lang w:bidi="ar"/>
        </w:rPr>
        <w:t>Forest plots of univariable and multivariable Cox regression analyses for associations between adverse events and progression</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free survival in patients receiving doublet therapy.</w:t>
      </w:r>
    </w:p>
    <w:p w14:paraId="000606A5">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kern w:val="44"/>
          <w:sz w:val="20"/>
          <w:szCs w:val="20"/>
          <w:lang w:eastAsia="zh-CN" w:bidi="ar"/>
        </w:rPr>
      </w:pPr>
      <w:r>
        <w:rPr>
          <w:rFonts w:hint="eastAsia" w:ascii="Times New Roman" w:hAnsi="Times New Roman" w:cs="Times New Roman" w:eastAsiaTheme="minorEastAsia"/>
          <w:kern w:val="44"/>
          <w:sz w:val="20"/>
          <w:szCs w:val="20"/>
          <w:lang w:eastAsia="zh-CN" w:bidi="ar"/>
        </w:rPr>
        <w:drawing>
          <wp:inline distT="0" distB="0" distL="114300" distR="114300">
            <wp:extent cx="5273675" cy="4575810"/>
            <wp:effectExtent l="0" t="0" r="3175" b="5715"/>
            <wp:docPr id="13" name="图片 13" descr="Supplementary 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upplementary Figure 12"/>
                    <pic:cNvPicPr>
                      <a:picLocks noChangeAspect="1"/>
                    </pic:cNvPicPr>
                  </pic:nvPicPr>
                  <pic:blipFill>
                    <a:blip r:embed="rId17"/>
                    <a:stretch>
                      <a:fillRect/>
                    </a:stretch>
                  </pic:blipFill>
                  <pic:spPr>
                    <a:xfrm>
                      <a:off x="0" y="0"/>
                      <a:ext cx="5273675" cy="4575810"/>
                    </a:xfrm>
                    <a:prstGeom prst="rect">
                      <a:avLst/>
                    </a:prstGeom>
                  </pic:spPr>
                </pic:pic>
              </a:graphicData>
            </a:graphic>
          </wp:inline>
        </w:drawing>
      </w:r>
    </w:p>
    <w:p w14:paraId="07FE821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default" w:ascii="Times New Roman" w:hAnsi="Times New Roman" w:cs="Times New Roman"/>
          <w:b/>
          <w:bCs/>
          <w:kern w:val="44"/>
          <w:sz w:val="20"/>
          <w:szCs w:val="20"/>
          <w:lang w:bidi="ar"/>
        </w:rPr>
        <w:t>A</w:t>
      </w:r>
      <w:r>
        <w:rPr>
          <w:rFonts w:hint="default" w:ascii="Times New Roman" w:hAnsi="Times New Roman" w:cs="Times New Roman"/>
          <w:kern w:val="44"/>
          <w:sz w:val="20"/>
          <w:szCs w:val="20"/>
          <w:lang w:bidi="ar"/>
        </w:rPr>
        <w:t xml:space="preserve"> Univariable Cox regression analysis of adverse events and PFS in the doublet group. </w:t>
      </w:r>
      <w:r>
        <w:rPr>
          <w:rFonts w:hint="default" w:ascii="Times New Roman" w:hAnsi="Times New Roman" w:cs="Times New Roman"/>
          <w:b/>
          <w:bCs/>
          <w:kern w:val="44"/>
          <w:sz w:val="20"/>
          <w:szCs w:val="20"/>
          <w:lang w:bidi="ar"/>
        </w:rPr>
        <w:t>B</w:t>
      </w:r>
      <w:r>
        <w:rPr>
          <w:rFonts w:hint="default" w:ascii="Times New Roman" w:hAnsi="Times New Roman" w:cs="Times New Roman"/>
          <w:kern w:val="44"/>
          <w:sz w:val="20"/>
          <w:szCs w:val="20"/>
          <w:lang w:bidi="ar"/>
        </w:rPr>
        <w:t xml:space="preserve"> Multivariable Cox regression analysis of adverse events and PFS in the doublet group.</w:t>
      </w:r>
    </w:p>
    <w:p w14:paraId="49D090CE">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eastAsia" w:ascii="Times New Roman" w:hAnsi="Times New Roman" w:cs="Times New Roman"/>
          <w:kern w:val="44"/>
          <w:sz w:val="20"/>
          <w:szCs w:val="20"/>
          <w:lang w:eastAsia="zh-CN" w:bidi="ar"/>
        </w:rPr>
        <w:t>Abbreviations</w:t>
      </w:r>
      <w:r>
        <w:rPr>
          <w:rFonts w:hint="default" w:ascii="Times New Roman" w:hAnsi="Times New Roman" w:cs="Times New Roman"/>
          <w:kern w:val="44"/>
          <w:sz w:val="20"/>
          <w:szCs w:val="20"/>
          <w:lang w:bidi="ar"/>
        </w:rPr>
        <w:t>: AEs, adverse events; PFS, progression</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free survival; HR, hazard ratio; CI, confidence interval.</w:t>
      </w:r>
    </w:p>
    <w:p w14:paraId="22D43175">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kern w:val="44"/>
          <w:sz w:val="20"/>
          <w:szCs w:val="20"/>
          <w:lang w:val="en-US" w:eastAsia="zh-CN" w:bidi="ar"/>
        </w:rPr>
      </w:pPr>
      <w:r>
        <w:rPr>
          <w:rFonts w:hint="default" w:ascii="Times New Roman" w:hAnsi="Times New Roman" w:cs="Times New Roman"/>
          <w:kern w:val="44"/>
          <w:sz w:val="20"/>
          <w:szCs w:val="20"/>
          <w:vertAlign w:val="superscript"/>
          <w:lang w:bidi="ar"/>
        </w:rPr>
        <w:t>a</w:t>
      </w:r>
      <w:r>
        <w:rPr>
          <w:rFonts w:hint="default" w:ascii="Times New Roman" w:hAnsi="Times New Roman" w:cs="Times New Roman"/>
          <w:kern w:val="44"/>
          <w:sz w:val="20"/>
          <w:szCs w:val="20"/>
          <w:lang w:bidi="ar"/>
        </w:rPr>
        <w:t xml:space="preserve"> A disorder characterized by loss of skin pigment, recorded in CTCAE 5.0 as Skin hypopigmentation.</w:t>
      </w:r>
      <w:r>
        <w:rPr>
          <w:rFonts w:hint="eastAsia" w:ascii="Times New Roman" w:hAnsi="Times New Roman" w:cs="Times New Roman"/>
          <w:kern w:val="44"/>
          <w:sz w:val="20"/>
          <w:szCs w:val="20"/>
          <w:lang w:val="en-US" w:eastAsia="zh-CN" w:bidi="ar"/>
        </w:rPr>
        <w:br w:type="page"/>
      </w:r>
    </w:p>
    <w:p w14:paraId="74E1D1D0">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kern w:val="44"/>
          <w:sz w:val="20"/>
          <w:szCs w:val="20"/>
          <w:lang w:val="en-US" w:eastAsia="zh-CN" w:bidi="ar"/>
        </w:rPr>
      </w:pPr>
      <w:r>
        <w:rPr>
          <w:rFonts w:hint="eastAsia" w:ascii="Times New Roman" w:hAnsi="Times New Roman" w:cs="Times New Roman"/>
          <w:b/>
          <w:bCs/>
          <w:kern w:val="44"/>
          <w:sz w:val="20"/>
          <w:szCs w:val="20"/>
          <w:lang w:val="en-US" w:eastAsia="zh-CN" w:bidi="ar"/>
        </w:rPr>
        <w:t xml:space="preserve">Supplementary Fig 13. </w:t>
      </w:r>
      <w:r>
        <w:rPr>
          <w:rFonts w:hint="default" w:ascii="Times New Roman" w:hAnsi="Times New Roman" w:eastAsia="宋体" w:cs="Times New Roman"/>
          <w:color w:val="000000"/>
          <w:sz w:val="20"/>
          <w:szCs w:val="20"/>
        </w:rPr>
        <w:t>Forest plots of univariable and multivariable Cox regression analyses exploring associations between adverse events and overall survival in patients receiving triplet therapy.</w:t>
      </w:r>
    </w:p>
    <w:p w14:paraId="506AA0CB">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kern w:val="44"/>
          <w:sz w:val="20"/>
          <w:szCs w:val="20"/>
          <w:lang w:val="en-US" w:eastAsia="zh-CN" w:bidi="ar"/>
        </w:rPr>
      </w:pPr>
      <w:r>
        <w:rPr>
          <w:rFonts w:hint="eastAsia" w:ascii="Times New Roman" w:hAnsi="Times New Roman" w:cs="Times New Roman"/>
          <w:kern w:val="44"/>
          <w:sz w:val="20"/>
          <w:szCs w:val="20"/>
          <w:lang w:val="en-US" w:eastAsia="zh-CN" w:bidi="ar"/>
        </w:rPr>
        <w:drawing>
          <wp:inline distT="0" distB="0" distL="114300" distR="114300">
            <wp:extent cx="5269230" cy="4391025"/>
            <wp:effectExtent l="0" t="0" r="7620" b="0"/>
            <wp:docPr id="14" name="图片 14" descr="Supplementary 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upplementary Figure 13"/>
                    <pic:cNvPicPr>
                      <a:picLocks noChangeAspect="1"/>
                    </pic:cNvPicPr>
                  </pic:nvPicPr>
                  <pic:blipFill>
                    <a:blip r:embed="rId18"/>
                    <a:stretch>
                      <a:fillRect/>
                    </a:stretch>
                  </pic:blipFill>
                  <pic:spPr>
                    <a:xfrm>
                      <a:off x="0" y="0"/>
                      <a:ext cx="5269230" cy="4391025"/>
                    </a:xfrm>
                    <a:prstGeom prst="rect">
                      <a:avLst/>
                    </a:prstGeom>
                  </pic:spPr>
                </pic:pic>
              </a:graphicData>
            </a:graphic>
          </wp:inline>
        </w:drawing>
      </w:r>
    </w:p>
    <w:p w14:paraId="1BD5895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sz w:val="20"/>
          <w:szCs w:val="20"/>
          <w:lang w:bidi="ar"/>
        </w:rPr>
      </w:pPr>
      <w:r>
        <w:rPr>
          <w:rFonts w:hint="default" w:ascii="Times New Roman" w:hAnsi="Times New Roman" w:eastAsia="宋体" w:cs="Times New Roman"/>
          <w:b/>
          <w:bCs/>
          <w:color w:val="000000"/>
          <w:sz w:val="20"/>
          <w:szCs w:val="20"/>
        </w:rPr>
        <w:t>A</w:t>
      </w:r>
      <w:r>
        <w:rPr>
          <w:rFonts w:hint="default" w:ascii="Times New Roman" w:hAnsi="Times New Roman" w:eastAsia="宋体" w:cs="Times New Roman"/>
          <w:color w:val="000000"/>
          <w:sz w:val="20"/>
          <w:szCs w:val="20"/>
        </w:rPr>
        <w:t xml:space="preserve"> Univariable Cox regression analysis for adverse events and OS in the triplet group. </w:t>
      </w:r>
      <w:r>
        <w:rPr>
          <w:rFonts w:hint="default" w:ascii="Times New Roman" w:hAnsi="Times New Roman" w:eastAsia="宋体" w:cs="Times New Roman"/>
          <w:b/>
          <w:bCs/>
          <w:color w:val="000000"/>
          <w:sz w:val="20"/>
          <w:szCs w:val="20"/>
        </w:rPr>
        <w:t>B</w:t>
      </w:r>
      <w:r>
        <w:rPr>
          <w:rFonts w:hint="default" w:ascii="Times New Roman" w:hAnsi="Times New Roman" w:eastAsia="宋体" w:cs="Times New Roman"/>
          <w:color w:val="000000"/>
          <w:sz w:val="20"/>
          <w:szCs w:val="20"/>
        </w:rPr>
        <w:t xml:space="preserve"> Multivariable Cox regression analysis for adverse events and OS in the triplet group.</w:t>
      </w:r>
    </w:p>
    <w:p w14:paraId="6A034A36">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eastAsia" w:ascii="Times New Roman" w:hAnsi="Times New Roman" w:cs="Times New Roman"/>
          <w:kern w:val="44"/>
          <w:sz w:val="20"/>
          <w:szCs w:val="20"/>
          <w:lang w:eastAsia="zh-CN" w:bidi="ar"/>
        </w:rPr>
        <w:t>Abbreviations</w:t>
      </w:r>
      <w:r>
        <w:rPr>
          <w:rFonts w:hint="default" w:ascii="Times New Roman" w:hAnsi="Times New Roman" w:cs="Times New Roman"/>
          <w:kern w:val="44"/>
          <w:sz w:val="20"/>
          <w:szCs w:val="20"/>
          <w:lang w:bidi="ar"/>
        </w:rPr>
        <w:t>: AEs, adverse events; OS, overall survival; HR, hazard ratio; CI, confidence interval.</w:t>
      </w:r>
    </w:p>
    <w:p w14:paraId="0E438B86">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kern w:val="44"/>
          <w:sz w:val="20"/>
          <w:szCs w:val="20"/>
          <w:lang w:val="en-US" w:eastAsia="zh-CN" w:bidi="ar"/>
        </w:rPr>
      </w:pPr>
      <w:r>
        <w:rPr>
          <w:rFonts w:hint="default" w:ascii="Times New Roman" w:hAnsi="Times New Roman" w:cs="Times New Roman"/>
          <w:kern w:val="44"/>
          <w:sz w:val="20"/>
          <w:szCs w:val="20"/>
          <w:vertAlign w:val="superscript"/>
          <w:lang w:bidi="ar"/>
        </w:rPr>
        <w:t>a</w:t>
      </w:r>
      <w:r>
        <w:rPr>
          <w:rFonts w:hint="default" w:ascii="Times New Roman" w:hAnsi="Times New Roman" w:cs="Times New Roman"/>
          <w:kern w:val="44"/>
          <w:sz w:val="20"/>
          <w:szCs w:val="20"/>
          <w:lang w:bidi="ar"/>
        </w:rPr>
        <w:t xml:space="preserve"> A disorder characterized by loss of skin pigment, recorded in CTCAE 5.0 as Skin hypopigmentation.</w:t>
      </w:r>
      <w:r>
        <w:rPr>
          <w:rFonts w:hint="eastAsia" w:ascii="Times New Roman" w:hAnsi="Times New Roman" w:cs="Times New Roman"/>
          <w:kern w:val="44"/>
          <w:sz w:val="20"/>
          <w:szCs w:val="20"/>
          <w:lang w:val="en-US" w:eastAsia="zh-CN" w:bidi="ar"/>
        </w:rPr>
        <w:br w:type="page"/>
      </w:r>
    </w:p>
    <w:p w14:paraId="7A61FB9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000000"/>
          <w:sz w:val="20"/>
          <w:szCs w:val="20"/>
        </w:rPr>
      </w:pPr>
      <w:r>
        <w:rPr>
          <w:rFonts w:hint="eastAsia" w:ascii="Times New Roman" w:hAnsi="Times New Roman" w:cs="Times New Roman"/>
          <w:b/>
          <w:bCs/>
          <w:kern w:val="44"/>
          <w:sz w:val="20"/>
          <w:szCs w:val="20"/>
          <w:lang w:val="en-US" w:eastAsia="zh-CN" w:bidi="ar"/>
        </w:rPr>
        <w:t xml:space="preserve">Supplementary Fig 14. </w:t>
      </w:r>
      <w:r>
        <w:rPr>
          <w:rFonts w:hint="default" w:ascii="Times New Roman" w:hAnsi="Times New Roman" w:eastAsia="宋体" w:cs="Times New Roman"/>
          <w:color w:val="000000"/>
          <w:sz w:val="20"/>
          <w:szCs w:val="20"/>
        </w:rPr>
        <w:t>Forest plots of univariable and multivariable Cox regression analyses for associations between adverse events and progression</w:t>
      </w:r>
      <w:r>
        <w:rPr>
          <w:rFonts w:hint="eastAsia" w:ascii="Times New Roman" w:hAnsi="Times New Roman" w:eastAsia="宋体" w:cs="Times New Roman"/>
          <w:color w:val="000000"/>
          <w:sz w:val="20"/>
          <w:szCs w:val="20"/>
          <w:lang w:eastAsia="zh-CN"/>
        </w:rPr>
        <w:t>-</w:t>
      </w:r>
      <w:r>
        <w:rPr>
          <w:rFonts w:hint="default" w:ascii="Times New Roman" w:hAnsi="Times New Roman" w:eastAsia="宋体" w:cs="Times New Roman"/>
          <w:color w:val="000000"/>
          <w:sz w:val="20"/>
          <w:szCs w:val="20"/>
        </w:rPr>
        <w:t xml:space="preserve">free survival in patients receiving triplet therapy. </w:t>
      </w:r>
    </w:p>
    <w:p w14:paraId="37929EB6">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kern w:val="44"/>
          <w:sz w:val="20"/>
          <w:szCs w:val="20"/>
          <w:lang w:val="en-US" w:eastAsia="zh-CN" w:bidi="ar"/>
        </w:rPr>
      </w:pPr>
      <w:r>
        <w:rPr>
          <w:rFonts w:hint="default" w:ascii="Times New Roman" w:hAnsi="Times New Roman" w:cs="Times New Roman"/>
          <w:b/>
          <w:bCs/>
          <w:kern w:val="44"/>
          <w:sz w:val="20"/>
          <w:szCs w:val="20"/>
          <w:lang w:val="en-US" w:eastAsia="zh-CN" w:bidi="ar"/>
        </w:rPr>
        <w:drawing>
          <wp:inline distT="0" distB="0" distL="114300" distR="114300">
            <wp:extent cx="5272405" cy="4352925"/>
            <wp:effectExtent l="0" t="0" r="4445" b="0"/>
            <wp:docPr id="15" name="图片 15" descr="Supplementary 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upplementary Figure 14"/>
                    <pic:cNvPicPr>
                      <a:picLocks noChangeAspect="1"/>
                    </pic:cNvPicPr>
                  </pic:nvPicPr>
                  <pic:blipFill>
                    <a:blip r:embed="rId19"/>
                    <a:stretch>
                      <a:fillRect/>
                    </a:stretch>
                  </pic:blipFill>
                  <pic:spPr>
                    <a:xfrm>
                      <a:off x="0" y="0"/>
                      <a:ext cx="5272405" cy="4352925"/>
                    </a:xfrm>
                    <a:prstGeom prst="rect">
                      <a:avLst/>
                    </a:prstGeom>
                  </pic:spPr>
                </pic:pic>
              </a:graphicData>
            </a:graphic>
          </wp:inline>
        </w:drawing>
      </w:r>
    </w:p>
    <w:p w14:paraId="7B72C17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sz w:val="20"/>
          <w:szCs w:val="20"/>
        </w:rPr>
      </w:pPr>
      <w:r>
        <w:rPr>
          <w:rFonts w:hint="default" w:ascii="Times New Roman" w:hAnsi="Times New Roman" w:eastAsia="宋体" w:cs="Times New Roman"/>
          <w:b/>
          <w:bCs/>
          <w:color w:val="000000"/>
          <w:sz w:val="20"/>
          <w:szCs w:val="20"/>
        </w:rPr>
        <w:t>A</w:t>
      </w:r>
      <w:r>
        <w:rPr>
          <w:rFonts w:hint="default" w:ascii="Times New Roman" w:hAnsi="Times New Roman" w:eastAsia="宋体" w:cs="Times New Roman"/>
          <w:color w:val="000000"/>
          <w:sz w:val="20"/>
          <w:szCs w:val="20"/>
        </w:rPr>
        <w:t xml:space="preserve"> Univariable Cox regression analysis of adverse events and PFS in the triplet group. </w:t>
      </w:r>
      <w:r>
        <w:rPr>
          <w:rFonts w:hint="default" w:ascii="Times New Roman" w:hAnsi="Times New Roman" w:eastAsia="宋体" w:cs="Times New Roman"/>
          <w:b/>
          <w:bCs/>
          <w:color w:val="000000"/>
          <w:sz w:val="20"/>
          <w:szCs w:val="20"/>
        </w:rPr>
        <w:t>B</w:t>
      </w:r>
      <w:r>
        <w:rPr>
          <w:rFonts w:hint="default" w:ascii="Times New Roman" w:hAnsi="Times New Roman" w:eastAsia="宋体" w:cs="Times New Roman"/>
          <w:color w:val="000000"/>
          <w:sz w:val="20"/>
          <w:szCs w:val="20"/>
        </w:rPr>
        <w:t xml:space="preserve"> Multivariable Cox regression analysis of adverse events and PFS in the triplet group.</w:t>
      </w:r>
    </w:p>
    <w:p w14:paraId="7C75F29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kern w:val="44"/>
          <w:sz w:val="20"/>
          <w:szCs w:val="20"/>
          <w:lang w:bidi="ar"/>
        </w:rPr>
      </w:pPr>
      <w:r>
        <w:rPr>
          <w:rFonts w:hint="eastAsia" w:ascii="Times New Roman" w:hAnsi="Times New Roman" w:cs="Times New Roman"/>
          <w:kern w:val="44"/>
          <w:sz w:val="20"/>
          <w:szCs w:val="20"/>
          <w:lang w:eastAsia="zh-CN" w:bidi="ar"/>
        </w:rPr>
        <w:t>Abbreviations</w:t>
      </w:r>
      <w:r>
        <w:rPr>
          <w:rFonts w:hint="default" w:ascii="Times New Roman" w:hAnsi="Times New Roman" w:cs="Times New Roman"/>
          <w:kern w:val="44"/>
          <w:sz w:val="20"/>
          <w:szCs w:val="20"/>
          <w:lang w:bidi="ar"/>
        </w:rPr>
        <w:t>: AEs, adverse events; PFS, progression</w:t>
      </w:r>
      <w:r>
        <w:rPr>
          <w:rFonts w:hint="eastAsia" w:ascii="Times New Roman" w:hAnsi="Times New Roman" w:cs="Times New Roman"/>
          <w:kern w:val="44"/>
          <w:sz w:val="20"/>
          <w:szCs w:val="20"/>
          <w:lang w:eastAsia="zh-CN" w:bidi="ar"/>
        </w:rPr>
        <w:t>-</w:t>
      </w:r>
      <w:r>
        <w:rPr>
          <w:rFonts w:hint="default" w:ascii="Times New Roman" w:hAnsi="Times New Roman" w:cs="Times New Roman"/>
          <w:kern w:val="44"/>
          <w:sz w:val="20"/>
          <w:szCs w:val="20"/>
          <w:lang w:bidi="ar"/>
        </w:rPr>
        <w:t>free survival; HR, hazard ratio; CI, confidence interval.</w:t>
      </w:r>
    </w:p>
    <w:p w14:paraId="11C37FB4">
      <w:pPr>
        <w:keepNext w:val="0"/>
        <w:keepLines w:val="0"/>
        <w:pageBreakBefore w:val="0"/>
        <w:numPr>
          <w:ilvl w:val="255"/>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kern w:val="44"/>
          <w:sz w:val="20"/>
          <w:szCs w:val="20"/>
          <w:lang w:val="en-US" w:eastAsia="zh-CN" w:bidi="ar"/>
        </w:rPr>
      </w:pPr>
      <w:bookmarkStart w:id="0" w:name="_GoBack"/>
      <w:r>
        <w:rPr>
          <w:rFonts w:hint="default" w:ascii="Times New Roman" w:hAnsi="Times New Roman" w:cs="Times New Roman"/>
          <w:kern w:val="44"/>
          <w:sz w:val="20"/>
          <w:szCs w:val="20"/>
          <w:vertAlign w:val="superscript"/>
          <w:lang w:bidi="ar"/>
        </w:rPr>
        <w:t>a</w:t>
      </w:r>
      <w:r>
        <w:rPr>
          <w:rFonts w:hint="default" w:ascii="Times New Roman" w:hAnsi="Times New Roman" w:cs="Times New Roman"/>
          <w:kern w:val="44"/>
          <w:sz w:val="20"/>
          <w:szCs w:val="20"/>
          <w:lang w:bidi="ar"/>
        </w:rPr>
        <w:t xml:space="preserve"> </w:t>
      </w:r>
      <w:bookmarkEnd w:id="0"/>
      <w:r>
        <w:rPr>
          <w:rFonts w:hint="default" w:ascii="Times New Roman" w:hAnsi="Times New Roman" w:cs="Times New Roman"/>
          <w:kern w:val="44"/>
          <w:sz w:val="20"/>
          <w:szCs w:val="20"/>
          <w:lang w:bidi="ar"/>
        </w:rPr>
        <w:t>A disorder characterized by loss of skin pigment, recorded in CTCAE 5.0 as Skin hypopigmentation.</w:t>
      </w:r>
    </w:p>
    <w:sectPr>
      <w:pgSz w:w="11906" w:h="16838"/>
      <w:pgMar w:top="1440" w:right="1800" w:bottom="1440" w:left="1800" w:header="851" w:footer="992" w:gutter="0"/>
      <w:lnNumType w:countBy="1" w:restart="continuou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43CE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484A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D484A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D799D">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720AF9"/>
    <w:rsid w:val="141A2ADF"/>
    <w:rsid w:val="19E33973"/>
    <w:rsid w:val="217C422F"/>
    <w:rsid w:val="38E17654"/>
    <w:rsid w:val="3E3D2B06"/>
    <w:rsid w:val="45720AF9"/>
    <w:rsid w:val="5EAA5427"/>
    <w:rsid w:val="6FC50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basedOn w:val="5"/>
    <w:uiPriority w:val="0"/>
    <w:rPr>
      <w:rFonts w:hint="default" w:ascii="Segoe UI" w:hAnsi="Segoe UI" w:eastAsia="Segoe UI" w:cs="Segoe UI"/>
      <w:i/>
      <w:iCs/>
      <w:color w:val="F9FAFB"/>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4.tiff"/><Relationship Id="rId18" Type="http://schemas.openxmlformats.org/officeDocument/2006/relationships/image" Target="media/image13.tiff"/><Relationship Id="rId17" Type="http://schemas.openxmlformats.org/officeDocument/2006/relationships/image" Target="media/image12.tiff"/><Relationship Id="rId16" Type="http://schemas.openxmlformats.org/officeDocument/2006/relationships/image" Target="media/image11.tiff"/><Relationship Id="rId15" Type="http://schemas.openxmlformats.org/officeDocument/2006/relationships/image" Target="media/image10.tiff"/><Relationship Id="rId14" Type="http://schemas.openxmlformats.org/officeDocument/2006/relationships/image" Target="media/image9.tiff"/><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cbb55ba6-e731-4e48-9a0c-2191dbb49e7d</errorID>
      <errorWord>a </errorWord>
      <group>L1_English</group>
      <groupName>英文问题</groupName>
      <ability>L2_Word</ability>
      <abilityName>字词问题</abilityName>
      <candidateList>
        <item/>
      </candidateList>
      <explain>限定词a 疑似冗余，建议删除</explain>
      <paraID>4BAB16F8</paraID>
      <start>0</start>
      <end>2</end>
      <status>ignored</status>
      <modifiedWord/>
      <trackRevisions>false</trackRevisions>
    </reviewItem>
    <reviewItem>
      <errorID>2937788d-3f57-49c7-b2af-1b1e87ce4ad1</errorID>
      <errorWord>a </errorWord>
      <group>L1_English</group>
      <groupName>英文问题</groupName>
      <ability>L2_Word</ability>
      <abilityName>字词问题</abilityName>
      <candidateList>
        <item/>
      </candidateList>
      <explain>限定词a 疑似冗余，建议删除</explain>
      <paraID>22D43175</paraID>
      <start>0</start>
      <end>2</end>
      <status>ignored</status>
      <modifiedWord/>
      <trackRevisions>false</trackRevisions>
    </reviewItem>
    <reviewItem>
      <errorID>00d30cdd-f510-40da-9f2f-735f40c62f87</errorID>
      <errorWord>a </errorWord>
      <group>L1_English</group>
      <groupName>英文问题</groupName>
      <ability>L2_Word</ability>
      <abilityName>字词问题</abilityName>
      <candidateList>
        <item/>
      </candidateList>
      <explain>限定词a 疑似冗余，建议删除</explain>
      <paraID> E438B86</paraID>
      <start>0</start>
      <end>2</end>
      <status>ignored</status>
      <modifiedWord/>
      <trackRevisions>false</trackRevisions>
    </reviewItem>
    <reviewItem>
      <errorID>42e3b120-98aa-4f38-9cb1-7ddb607d5ea3</errorID>
      <errorWord>a </errorWord>
      <group>L1_English</group>
      <groupName>英文问题</groupName>
      <ability>L2_Word</ability>
      <abilityName>字词问题</abilityName>
      <candidateList>
        <item/>
      </candidateList>
      <explain>限定词a 疑似冗余，建议删除</explain>
      <paraID>11C37FB4</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3e2738-e60e-48e2-9213-eee06717e1ae}">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1353</Words>
  <Characters>8368</Characters>
  <Lines>0</Lines>
  <Paragraphs>0</Paragraphs>
  <TotalTime>12</TotalTime>
  <ScaleCrop>false</ScaleCrop>
  <LinksUpToDate>false</LinksUpToDate>
  <CharactersWithSpaces>9575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2026-08-05T10:43:00Z</dcterms:created>
  <dc:creator>rye</dc:creator>
  <cp:lastModifiedBy>rye</cp:lastModifiedBy>
  <dcterms:modified xsi:type="dcterms:W3CDTF">2026-08-13T04:57:57Z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530771672B9B4AA99797CD3247594D38_13</vt:lpwstr>
  </property>
  <property fmtid="{D5CDD505-2E9C-101B-9397-08002B2CF9AE}" pid="4" name="KSOTemplateDocerSaveRecord">
    <vt:lpwstr>eyJoZGlkIjoiM2FjNGRlZDExMWE3YzQ1NDdmMjM0NmE1YWU3MWIyMTgiLCJ1c2VySWQiOiIyNTk1NTQ0MzQifQ==</vt:lpwstr>
  </property>
</Properties>
</file>