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C5A227">
      <w:pPr>
        <w:rPr>
          <w:rFonts w:hint="default" w:ascii="Times New Roman" w:hAnsi="Times New Roman" w:cs="Times New Roman"/>
          <w:sz w:val="24"/>
          <w:szCs w:val="24"/>
          <w:lang w:val="en-US" w:eastAsia="zh-CN"/>
        </w:rPr>
      </w:pPr>
      <w:bookmarkStart w:id="0" w:name="_GoBack"/>
      <w:r>
        <w:rPr>
          <w:rFonts w:hint="default" w:ascii="Times New Roman" w:hAnsi="Times New Roman" w:cs="Times New Roman"/>
          <w:b/>
          <w:bCs/>
          <w:sz w:val="24"/>
          <w:szCs w:val="24"/>
          <w:lang w:val="en-US" w:eastAsia="zh-CN"/>
        </w:rPr>
        <w:t>Supplemental figure 1</w:t>
      </w:r>
      <w:r>
        <w:rPr>
          <w:rFonts w:hint="default" w:ascii="Times New Roman" w:hAnsi="Times New Roman" w:cs="Times New Roman"/>
          <w:sz w:val="24"/>
          <w:szCs w:val="24"/>
          <w:lang w:val="en-US" w:eastAsia="zh-CN"/>
        </w:rPr>
        <w:t xml:space="preserve">:Risk of bias was assessed using the Cochrane Risk of Bias </w:t>
      </w:r>
      <w:r>
        <w:rPr>
          <w:rFonts w:hint="eastAsia" w:ascii="Times New Roman" w:hAnsi="Times New Roman" w:cs="Times New Roman"/>
          <w:sz w:val="24"/>
          <w:szCs w:val="24"/>
          <w:lang w:val="en-US" w:eastAsia="zh-CN"/>
        </w:rPr>
        <w:t>1</w:t>
      </w:r>
      <w:r>
        <w:rPr>
          <w:rFonts w:hint="default" w:ascii="Times New Roman" w:hAnsi="Times New Roman" w:cs="Times New Roman"/>
          <w:sz w:val="24"/>
          <w:szCs w:val="24"/>
          <w:lang w:val="en-US" w:eastAsia="zh-CN"/>
        </w:rPr>
        <w:t>.0 tool. The upper panel presents the overall distribution of risk of bias across the included studies for each domain, while the lower panel summarizes the risk of bias judgments for individual trials. The evaluated domains included random sequence generation, allocation concealment, blinding of participants and personnel, blinding of outcome assessment, incomplete outcome data, selective reporting, and other potential sources of bias. Green indicates low risk of bias, yellow indicates unclear risk of bias, and red indicates high risk of bias.</w:t>
      </w:r>
    </w:p>
    <w:p w14:paraId="19A1CFB4">
      <w:pPr>
        <w:rPr>
          <w:rFonts w:hint="default" w:ascii="Times New Roman" w:hAnsi="Times New Roman" w:cs="Times New Roman"/>
          <w:b/>
          <w:bCs/>
          <w:sz w:val="24"/>
          <w:szCs w:val="24"/>
          <w:lang w:val="en-US" w:eastAsia="zh-CN"/>
        </w:rPr>
      </w:pPr>
    </w:p>
    <w:p w14:paraId="7E9B9FA0">
      <w:pPr>
        <w:rPr>
          <w:rFonts w:hint="default" w:ascii="Times New Roman" w:hAnsi="Times New Roman" w:eastAsia="宋体" w:cs="Times New Roman"/>
          <w:sz w:val="24"/>
          <w:szCs w:val="24"/>
        </w:rPr>
      </w:pPr>
      <w:r>
        <w:rPr>
          <w:rFonts w:hint="default" w:ascii="Times New Roman" w:hAnsi="Times New Roman" w:cs="Times New Roman"/>
          <w:b/>
          <w:bCs/>
          <w:sz w:val="24"/>
          <w:szCs w:val="24"/>
          <w:lang w:val="en-US" w:eastAsia="zh-CN"/>
        </w:rPr>
        <w:t>Supplemental figure 2</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4"/>
          <w:szCs w:val="24"/>
        </w:rPr>
        <w:t>To evaluate whether the pooled treatment effects were driven by any individual trial, leave-one-out sensitivity analyses were conducted by sequentially removing each included study and recalculating the pooled estimates. The results remained consistent after exclusion of individual studies, indicating that no single trial had a disproportionate influence on the overall conclusions. Each point represents the recalculated pooled effect estimate, with horizontal lines indicating the corresponding 95% confidence intervals. (a) Overall survival (OS); (b) Progression-free survival (PFS); (c) Disease control rate (DCR); and (d) Objective response rate (ORR).</w:t>
      </w:r>
    </w:p>
    <w:bookmarkEnd w:id="0"/>
    <w:p w14:paraId="1DF85441">
      <w:pPr>
        <w:rPr>
          <w:rFonts w:ascii="宋体" w:hAnsi="宋体" w:eastAsia="宋体" w:cs="宋体"/>
          <w:sz w:val="24"/>
          <w:szCs w:val="24"/>
        </w:rPr>
      </w:pPr>
    </w:p>
    <w:p w14:paraId="1559AF33">
      <w:pPr>
        <w:rPr>
          <w:rFonts w:hint="default" w:ascii="宋体" w:hAnsi="宋体" w:eastAsia="宋体" w:cs="宋体"/>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04957A0"/>
    <w:rsid w:val="2C2222E5"/>
    <w:rsid w:val="36C567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184</Words>
  <Characters>1131</Characters>
  <Lines>0</Lines>
  <Paragraphs>0</Paragraphs>
  <TotalTime>5</TotalTime>
  <ScaleCrop>false</ScaleCrop>
  <LinksUpToDate>false</LinksUpToDate>
  <CharactersWithSpaces>1313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2026-08-11T07:58:00Z</dcterms:created>
  <dc:creator>63151</dc:creator>
  <cp:lastModifiedBy>彭一山</cp:lastModifiedBy>
  <dcterms:modified xsi:type="dcterms:W3CDTF">2026-08-14T10:02:56Z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eyJoZGlkIjoiMWM4MmVkOTA1MjFjYzMwZWNmZGFhODliZDBjZWU4YWMiLCJ1c2VySWQiOiIxODg2MTUyNzQyIn0=</vt:lpwstr>
  </property>
  <property fmtid="{D5CDD505-2E9C-101B-9397-08002B2CF9AE}" pid="4" name="ICV">
    <vt:lpwstr>2E2E9EAF6875462498BF008D9C2C5499_12</vt:lpwstr>
  </property>
</Properties>
</file>