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E7E36" w14:textId="467267A0" w:rsidR="00702B3B" w:rsidRPr="00F61F0B" w:rsidRDefault="001A2611" w:rsidP="00F61F0B">
      <w:pPr>
        <w:rPr>
          <w:color w:val="000000" w:themeColor="text1"/>
        </w:rPr>
      </w:pPr>
      <w:r w:rsidRPr="00F61F0B">
        <w:rPr>
          <w:noProof/>
          <w:color w:val="000000" w:themeColor="text1"/>
        </w:rPr>
        <w:drawing>
          <wp:inline distT="0" distB="0" distL="0" distR="0" wp14:anchorId="03ABE554" wp14:editId="41FD8028">
            <wp:extent cx="5212080" cy="5704764"/>
            <wp:effectExtent l="0" t="0" r="7620" b="0"/>
            <wp:docPr id="166354535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4535" name="Picture 1" descr="A screenshot of a computer scree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91" cy="5704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C6B1B" w14:textId="5279025E" w:rsidR="00F262D1" w:rsidRPr="00F61F0B" w:rsidRDefault="007B73C2" w:rsidP="00F61F0B">
      <w:pPr>
        <w:rPr>
          <w:rFonts w:ascii="Calibri" w:hAnsi="Calibri" w:cs="Calibri"/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Supplementary</w:t>
      </w:r>
      <w:r w:rsidR="00F262D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Fig. 1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="00ED69E8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Immune profiling. </w:t>
      </w:r>
      <w:proofErr w:type="gramStart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a</w:t>
      </w:r>
      <w:proofErr w:type="gramEnd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,</w:t>
      </w:r>
      <w:r w:rsidR="00ED69E8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Longitudinal frequency of main adaptive and innate immune cells in peripheral blood over vaccine program period. </w:t>
      </w:r>
      <w:proofErr w:type="gramStart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b</w:t>
      </w:r>
      <w:proofErr w:type="gramEnd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,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Heatmap representations of relative frequency of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cell </w:t>
      </w:r>
      <w:bookmarkStart w:id="0" w:name="_GoBack"/>
      <w:bookmarkEnd w:id="0"/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>subtypes in peripheral blood over vaccine program period.</w:t>
      </w:r>
      <w:r w:rsidR="0077232F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EOT: End of treatment.</w:t>
      </w:r>
    </w:p>
    <w:p w14:paraId="63E3DD53" w14:textId="77777777" w:rsidR="00F262D1" w:rsidRPr="00F61F0B" w:rsidRDefault="00F262D1" w:rsidP="00F61F0B">
      <w:pPr>
        <w:rPr>
          <w:b/>
          <w:bCs/>
          <w:color w:val="000000" w:themeColor="text1"/>
        </w:rPr>
      </w:pPr>
      <w:r w:rsidRPr="00F61F0B">
        <w:rPr>
          <w:b/>
          <w:bCs/>
          <w:color w:val="000000" w:themeColor="text1"/>
        </w:rPr>
        <w:br w:type="page"/>
      </w:r>
    </w:p>
    <w:p w14:paraId="77DCAB82" w14:textId="4F3B7C8A" w:rsidR="00F262D1" w:rsidRPr="00F61F0B" w:rsidRDefault="001A2611" w:rsidP="00F61F0B">
      <w:pPr>
        <w:rPr>
          <w:b/>
          <w:bCs/>
          <w:color w:val="000000" w:themeColor="text1"/>
        </w:rPr>
      </w:pPr>
      <w:r w:rsidRPr="00F61F0B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38259B8A" wp14:editId="0C35FE74">
            <wp:extent cx="4462145" cy="5902657"/>
            <wp:effectExtent l="0" t="0" r="0" b="0"/>
            <wp:docPr id="526522865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22865" name="Picture 2" descr="A screenshot of a graph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281" cy="5902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E3DCF4" w14:textId="592909F7" w:rsidR="00F262D1" w:rsidRPr="00F61F0B" w:rsidRDefault="007B73C2" w:rsidP="00F61F0B">
      <w:pPr>
        <w:rPr>
          <w:rFonts w:ascii="Calibri" w:hAnsi="Calibri" w:cs="Calibri"/>
          <w:b/>
          <w:bCs/>
          <w:color w:val="000000" w:themeColor="text1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Supplementary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Fig. </w:t>
      </w:r>
      <w:r w:rsidR="00F262D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2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="00ED69E8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Longitudinal tracking of vaccine-related T</w:t>
      </w:r>
      <w:r w:rsidR="00BB076E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-</w:t>
      </w:r>
      <w:r w:rsidR="00ED69E8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cell clonotypes in the blood after several vaccines. </w:t>
      </w:r>
      <w:proofErr w:type="gramStart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a</w:t>
      </w:r>
      <w:proofErr w:type="gramEnd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,</w:t>
      </w:r>
      <w:r w:rsidR="00ED69E8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Scatter plot showing clonotype counts of T cells in blood, comparing before the first (Pre vax) and after vax-3 (top), vax-6 (middle) </w:t>
      </w:r>
      <w:r w:rsidR="00FC5E22" w:rsidRPr="00F61F0B">
        <w:rPr>
          <w:rFonts w:ascii="Calibri" w:hAnsi="Calibri" w:cs="Calibri"/>
          <w:color w:val="000000" w:themeColor="text1"/>
          <w:sz w:val="24"/>
          <w:szCs w:val="24"/>
        </w:rPr>
        <w:t>or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vax-10 (bottom). The colored clonotypes represent significantly expanded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>cell clones after vaccine, split in pre-existing (orange) and newly expanded (</w:t>
      </w:r>
      <w:r w:rsidR="00ED69E8" w:rsidRPr="00F61F0B">
        <w:rPr>
          <w:rFonts w:ascii="Calibri" w:hAnsi="Calibri" w:cs="Calibri"/>
          <w:i/>
          <w:iCs/>
          <w:color w:val="000000" w:themeColor="text1"/>
          <w:sz w:val="24"/>
          <w:szCs w:val="24"/>
        </w:rPr>
        <w:t>de novo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>, green) clones, or not expanded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ED69E8" w:rsidRPr="00F61F0B">
        <w:rPr>
          <w:rFonts w:ascii="Calibri" w:hAnsi="Calibri" w:cs="Calibri"/>
          <w:color w:val="000000" w:themeColor="text1"/>
          <w:sz w:val="24"/>
          <w:szCs w:val="24"/>
        </w:rPr>
        <w:t>cell clones after the vaccine (blue).</w:t>
      </w:r>
      <w:r w:rsidR="00FC5E22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gramStart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b</w:t>
      </w:r>
      <w:proofErr w:type="gramEnd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,</w:t>
      </w:r>
      <w:r w:rsidR="00FC5E22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Dynamics of identified vax-3-related (top), vax-6-related (middle) and vax-10-related (bottom) clonotypes across timepoints.</w:t>
      </w:r>
    </w:p>
    <w:p w14:paraId="61DE5A26" w14:textId="77777777" w:rsidR="00F262D1" w:rsidRPr="00F61F0B" w:rsidRDefault="00F262D1" w:rsidP="00F61F0B">
      <w:pPr>
        <w:rPr>
          <w:b/>
          <w:bCs/>
          <w:color w:val="000000" w:themeColor="text1"/>
        </w:rPr>
      </w:pPr>
      <w:r w:rsidRPr="00F61F0B">
        <w:rPr>
          <w:b/>
          <w:bCs/>
          <w:color w:val="000000" w:themeColor="text1"/>
        </w:rPr>
        <w:br w:type="page"/>
      </w:r>
    </w:p>
    <w:p w14:paraId="44954AA8" w14:textId="5032D042" w:rsidR="00F262D1" w:rsidRPr="00F61F0B" w:rsidRDefault="00AF36DD" w:rsidP="00F61F0B">
      <w:pPr>
        <w:rPr>
          <w:b/>
          <w:bCs/>
          <w:color w:val="000000" w:themeColor="text1"/>
        </w:rPr>
      </w:pPr>
      <w:r w:rsidRPr="00F61F0B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18515135" wp14:editId="22737288">
            <wp:extent cx="2864435" cy="1457864"/>
            <wp:effectExtent l="0" t="0" r="0" b="9525"/>
            <wp:docPr id="1951061579" name="Picture 1" descr="A graph of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061579" name="Picture 1" descr="A graph of blue squares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6" cy="1458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BDAA5" w14:textId="469AFCA6" w:rsidR="00F262D1" w:rsidRPr="00F61F0B" w:rsidRDefault="007B73C2" w:rsidP="00F61F0B">
      <w:pPr>
        <w:rPr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Supplementary 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Fig. </w:t>
      </w:r>
      <w:r w:rsidR="00F262D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3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="00C926FC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T</w:t>
      </w:r>
      <w:r w:rsidR="00BB076E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cell responses against cognate wild-type vaccine peptides. 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Vaccine-specific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cell response</w:t>
      </w:r>
      <w:r w:rsidR="000B6C31" w:rsidRPr="00F61F0B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compared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to corresponding wild-type peptide-specific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cell response</w:t>
      </w:r>
      <w:r w:rsidR="000B6C31" w:rsidRPr="00F61F0B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of PBMCs after vax-10 and post </w:t>
      </w:r>
      <w:r w:rsidR="00C926FC" w:rsidRPr="00F61F0B">
        <w:rPr>
          <w:rFonts w:ascii="Calibri" w:hAnsi="Calibri" w:cs="Calibri"/>
          <w:i/>
          <w:iCs/>
          <w:color w:val="000000" w:themeColor="text1"/>
          <w:sz w:val="24"/>
          <w:szCs w:val="24"/>
        </w:rPr>
        <w:t>in vitro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stimulation, performed by IFN</w:t>
      </w:r>
      <w:r w:rsidR="00114B95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Symbol" w:hAnsi="Symbol"/>
          <w:color w:val="000000" w:themeColor="text1"/>
          <w:sz w:val="24"/>
          <w:szCs w:val="24"/>
        </w:rPr>
        <w:t></w:t>
      </w:r>
      <w:r w:rsidR="00114B95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ELISpot.</w:t>
      </w:r>
    </w:p>
    <w:p w14:paraId="1739D593" w14:textId="77777777" w:rsidR="00F262D1" w:rsidRPr="00F61F0B" w:rsidRDefault="00F262D1" w:rsidP="00F61F0B">
      <w:pPr>
        <w:rPr>
          <w:b/>
          <w:bCs/>
          <w:color w:val="000000" w:themeColor="text1"/>
        </w:rPr>
      </w:pPr>
      <w:r w:rsidRPr="00F61F0B">
        <w:rPr>
          <w:b/>
          <w:bCs/>
          <w:color w:val="000000" w:themeColor="text1"/>
        </w:rPr>
        <w:br w:type="page"/>
      </w:r>
    </w:p>
    <w:p w14:paraId="479960D0" w14:textId="21798E03" w:rsidR="00F262D1" w:rsidRPr="00F61F0B" w:rsidRDefault="00974541" w:rsidP="00F61F0B">
      <w:pPr>
        <w:rPr>
          <w:b/>
          <w:bCs/>
          <w:color w:val="000000" w:themeColor="text1"/>
        </w:rPr>
      </w:pPr>
      <w:r w:rsidRPr="00F61F0B">
        <w:rPr>
          <w:b/>
          <w:bCs/>
          <w:noProof/>
          <w:color w:val="000000" w:themeColor="text1"/>
        </w:rPr>
        <w:drawing>
          <wp:inline distT="0" distB="0" distL="0" distR="0" wp14:anchorId="096A3515" wp14:editId="3854A60F">
            <wp:extent cx="2843027" cy="1238250"/>
            <wp:effectExtent l="0" t="0" r="0" b="0"/>
            <wp:docPr id="1870421151" name="Picture 4" descr="A black background with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21151" name="Picture 4" descr="A black background with blue squares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90" cy="1238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F42D1B" w14:textId="76265996" w:rsidR="00BB076E" w:rsidRPr="00F61F0B" w:rsidRDefault="007B73C2" w:rsidP="00F61F0B">
      <w:pPr>
        <w:rPr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Supplementary 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Fig. </w:t>
      </w:r>
      <w:r w:rsidR="00C926FC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4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="00C926FC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T</w:t>
      </w:r>
      <w:r w:rsidR="00BB076E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cell responses against cognate wild-type short length peptides. 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Identified short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length peptide-specific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cell response</w:t>
      </w:r>
      <w:r w:rsidR="000B6C31" w:rsidRPr="00F61F0B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compa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red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to corresponding wild-type peptide-specific T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cell response</w:t>
      </w:r>
      <w:r w:rsidR="000B6C31" w:rsidRPr="00F61F0B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of PBMCs after vax-10 and post </w:t>
      </w:r>
      <w:r w:rsidR="00C926FC" w:rsidRPr="00F61F0B">
        <w:rPr>
          <w:rFonts w:ascii="Calibri" w:hAnsi="Calibri" w:cs="Calibri"/>
          <w:i/>
          <w:iCs/>
          <w:color w:val="000000" w:themeColor="text1"/>
          <w:sz w:val="24"/>
          <w:szCs w:val="24"/>
        </w:rPr>
        <w:t>in vitro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stimulation, performed by IFN</w:t>
      </w:r>
      <w:r w:rsidR="00114B95" w:rsidRPr="00F61F0B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C926FC" w:rsidRPr="00F61F0B">
        <w:rPr>
          <w:rFonts w:ascii="Symbol" w:hAnsi="Symbol"/>
          <w:color w:val="000000" w:themeColor="text1"/>
          <w:sz w:val="24"/>
          <w:szCs w:val="24"/>
        </w:rPr>
        <w:t></w:t>
      </w:r>
      <w:r w:rsidR="00114B95" w:rsidRPr="00F61F0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926FC" w:rsidRPr="00F61F0B">
        <w:rPr>
          <w:rFonts w:ascii="Calibri" w:hAnsi="Calibri" w:cs="Calibri"/>
          <w:color w:val="000000" w:themeColor="text1"/>
          <w:sz w:val="24"/>
          <w:szCs w:val="24"/>
        </w:rPr>
        <w:t>ELISpot.</w:t>
      </w:r>
    </w:p>
    <w:p w14:paraId="1FFDA3BA" w14:textId="77777777" w:rsidR="00BB076E" w:rsidRPr="00F61F0B" w:rsidRDefault="00BB076E" w:rsidP="00F61F0B">
      <w:pPr>
        <w:rPr>
          <w:color w:val="000000" w:themeColor="text1"/>
          <w:sz w:val="24"/>
          <w:szCs w:val="24"/>
        </w:rPr>
      </w:pPr>
      <w:r w:rsidRPr="00F61F0B">
        <w:rPr>
          <w:color w:val="000000" w:themeColor="text1"/>
          <w:sz w:val="24"/>
          <w:szCs w:val="24"/>
        </w:rPr>
        <w:br w:type="page"/>
      </w:r>
    </w:p>
    <w:p w14:paraId="56014F0B" w14:textId="77777777" w:rsidR="00974541" w:rsidRPr="00F61F0B" w:rsidRDefault="00974541" w:rsidP="00F61F0B">
      <w:pPr>
        <w:rPr>
          <w:b/>
          <w:bCs/>
          <w:noProof/>
          <w:color w:val="000000" w:themeColor="text1"/>
          <w:sz w:val="24"/>
          <w:szCs w:val="24"/>
        </w:rPr>
      </w:pPr>
    </w:p>
    <w:p w14:paraId="3E8BBA3D" w14:textId="648ED153" w:rsidR="00974541" w:rsidRPr="00F61F0B" w:rsidRDefault="00974541" w:rsidP="00F61F0B">
      <w:pPr>
        <w:rPr>
          <w:b/>
          <w:bCs/>
          <w:color w:val="000000" w:themeColor="text1"/>
          <w:sz w:val="24"/>
          <w:szCs w:val="24"/>
        </w:rPr>
      </w:pPr>
      <w:r w:rsidRPr="00F61F0B">
        <w:rPr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CD4BC53" wp14:editId="0B42366F">
            <wp:extent cx="5760720" cy="3867150"/>
            <wp:effectExtent l="0" t="0" r="0" b="0"/>
            <wp:docPr id="75836564" name="Picture 5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6564" name="Picture 5" descr="A screen shot of a computer screen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AA616" w14:textId="1F2E3E9D" w:rsidR="00AA7DA1" w:rsidRPr="00F61F0B" w:rsidRDefault="007B73C2" w:rsidP="00F61F0B">
      <w:pPr>
        <w:rPr>
          <w:rFonts w:ascii="Calibri" w:hAnsi="Calibri" w:cs="Calibri"/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Supplementary 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Fig.</w:t>
      </w:r>
      <w:r w:rsidR="00BB076E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5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="00BB076E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Detection of vaccine-related clonotypes of interest in tumor samples. </w:t>
      </w:r>
      <w:proofErr w:type="gramStart"/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a</w:t>
      </w:r>
      <w:proofErr w:type="gramEnd"/>
      <w:r w:rsidR="001A2611" w:rsidRPr="00F61F0B">
        <w:rPr>
          <w:b/>
          <w:bCs/>
          <w:color w:val="000000" w:themeColor="text1"/>
          <w:sz w:val="24"/>
          <w:szCs w:val="24"/>
        </w:rPr>
        <w:t>,</w:t>
      </w:r>
      <w:r w:rsidR="00BB076E" w:rsidRPr="00F61F0B">
        <w:rPr>
          <w:b/>
          <w:bCs/>
          <w:color w:val="000000" w:themeColor="text1"/>
          <w:sz w:val="24"/>
          <w:szCs w:val="24"/>
        </w:rPr>
        <w:t xml:space="preserve"> 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Frequencies of vaccine-related clonotypes in tumor samples and adjacent endometrial healthy tissue</w:t>
      </w:r>
      <w:r w:rsidR="00BB076E" w:rsidRPr="00F61F0B">
        <w:rPr>
          <w:color w:val="000000" w:themeColor="text1"/>
          <w:sz w:val="24"/>
          <w:szCs w:val="24"/>
        </w:rPr>
        <w:t>.</w:t>
      </w:r>
      <w:r w:rsidR="00BB076E" w:rsidRPr="00F61F0B">
        <w:rPr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="001A2611" w:rsidRPr="00F61F0B">
        <w:rPr>
          <w:b/>
          <w:bCs/>
          <w:color w:val="000000" w:themeColor="text1"/>
          <w:sz w:val="24"/>
          <w:szCs w:val="24"/>
        </w:rPr>
        <w:t>b</w:t>
      </w:r>
      <w:proofErr w:type="gramEnd"/>
      <w:r w:rsidR="001A2611" w:rsidRPr="00F61F0B">
        <w:rPr>
          <w:b/>
          <w:bCs/>
          <w:color w:val="000000" w:themeColor="text1"/>
          <w:sz w:val="24"/>
          <w:szCs w:val="24"/>
        </w:rPr>
        <w:t>,</w:t>
      </w:r>
      <w:r w:rsidR="00BB076E" w:rsidRPr="00F61F0B">
        <w:rPr>
          <w:color w:val="000000" w:themeColor="text1"/>
          <w:sz w:val="24"/>
          <w:szCs w:val="24"/>
        </w:rPr>
        <w:t xml:space="preserve"> </w:t>
      </w:r>
      <w:r w:rsidR="00BB076E" w:rsidRPr="00F61F0B">
        <w:rPr>
          <w:rFonts w:ascii="Calibri" w:hAnsi="Calibri" w:cs="Calibri"/>
          <w:color w:val="000000" w:themeColor="text1"/>
          <w:sz w:val="24"/>
          <w:szCs w:val="24"/>
        </w:rPr>
        <w:t>Inflammation ranking of the patient’s tumor samples compared to TCGA ovarian cancer tissues.</w:t>
      </w:r>
    </w:p>
    <w:p w14:paraId="39A98B60" w14:textId="77777777" w:rsidR="00AF071B" w:rsidRPr="00F61F0B" w:rsidRDefault="00AF071B" w:rsidP="00F61F0B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6C3EA88" w14:textId="12921057" w:rsidR="00AA7DA1" w:rsidRPr="00F61F0B" w:rsidRDefault="007B73C2" w:rsidP="00F61F0B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Supplementary </w:t>
      </w:r>
      <w:r w:rsidR="001A261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T</w:t>
      </w:r>
      <w:r w:rsidR="00AA7DA1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able 1. </w:t>
      </w:r>
      <w:r w:rsidR="00AF071B"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List of neoantigen peptides included in the vaccine.</w:t>
      </w:r>
    </w:p>
    <w:p w14:paraId="5364FC5F" w14:textId="68E5425F" w:rsidR="00AF071B" w:rsidRPr="00F61F0B" w:rsidRDefault="00AF071B" w:rsidP="00F61F0B">
      <w:pPr>
        <w:rPr>
          <w:rFonts w:ascii="Calibri" w:hAnsi="Calibri" w:cs="Calibri"/>
          <w:color w:val="000000" w:themeColor="text1"/>
          <w:sz w:val="24"/>
          <w:szCs w:val="24"/>
        </w:rPr>
      </w:pPr>
      <w:r w:rsidRPr="00F61F0B">
        <w:rPr>
          <w:rFonts w:ascii="Calibri" w:hAnsi="Calibri" w:cs="Calibri"/>
          <w:b/>
          <w:bCs/>
          <w:color w:val="000000" w:themeColor="text1"/>
          <w:sz w:val="24"/>
          <w:szCs w:val="24"/>
        </w:rPr>
        <w:t>Supplementary Table 2. List of additional short-length neoantigen peptides.</w:t>
      </w:r>
    </w:p>
    <w:p w14:paraId="07799926" w14:textId="77777777" w:rsidR="00AF071B" w:rsidRPr="00F61F0B" w:rsidRDefault="00AF071B" w:rsidP="00F61F0B">
      <w:pPr>
        <w:rPr>
          <w:color w:val="000000" w:themeColor="text1"/>
          <w:sz w:val="24"/>
          <w:szCs w:val="24"/>
        </w:rPr>
      </w:pPr>
    </w:p>
    <w:p w14:paraId="3BCC224F" w14:textId="04736C82" w:rsidR="00F262D1" w:rsidRPr="00F61F0B" w:rsidRDefault="00F262D1" w:rsidP="00F61F0B">
      <w:pPr>
        <w:rPr>
          <w:b/>
          <w:bCs/>
          <w:color w:val="000000" w:themeColor="text1"/>
        </w:rPr>
      </w:pPr>
    </w:p>
    <w:sectPr w:rsidR="00F262D1" w:rsidRPr="00F61F0B" w:rsidSect="00F61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2D1"/>
    <w:rsid w:val="00030B62"/>
    <w:rsid w:val="00087274"/>
    <w:rsid w:val="000B4B90"/>
    <w:rsid w:val="000B6C31"/>
    <w:rsid w:val="00111627"/>
    <w:rsid w:val="00114B95"/>
    <w:rsid w:val="00127526"/>
    <w:rsid w:val="0017411A"/>
    <w:rsid w:val="00174F54"/>
    <w:rsid w:val="001A2611"/>
    <w:rsid w:val="002E66C5"/>
    <w:rsid w:val="00362A3B"/>
    <w:rsid w:val="00382AC7"/>
    <w:rsid w:val="003D6AC3"/>
    <w:rsid w:val="003E5BD7"/>
    <w:rsid w:val="00536817"/>
    <w:rsid w:val="006C0158"/>
    <w:rsid w:val="00702B3B"/>
    <w:rsid w:val="0071597F"/>
    <w:rsid w:val="0077232F"/>
    <w:rsid w:val="007B73C2"/>
    <w:rsid w:val="00974541"/>
    <w:rsid w:val="00AA7DA1"/>
    <w:rsid w:val="00AF071B"/>
    <w:rsid w:val="00AF36DD"/>
    <w:rsid w:val="00BB076E"/>
    <w:rsid w:val="00C06D19"/>
    <w:rsid w:val="00C7727C"/>
    <w:rsid w:val="00C926FC"/>
    <w:rsid w:val="00CB52B9"/>
    <w:rsid w:val="00CC3E99"/>
    <w:rsid w:val="00D544BB"/>
    <w:rsid w:val="00DF3DDD"/>
    <w:rsid w:val="00EC2737"/>
    <w:rsid w:val="00ED69E8"/>
    <w:rsid w:val="00EF3BBF"/>
    <w:rsid w:val="00F262D1"/>
    <w:rsid w:val="00F61F0B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4F8F"/>
  <w15:chartTrackingRefBased/>
  <w15:docId w15:val="{581A5A6E-52AE-4300-8727-948C5887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6F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2D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2D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2D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2D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2D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2D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2D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2D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2D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26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2D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2D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26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2D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26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2D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26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Vaudois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Beziaud Laurent</dc:creator>
  <cp:keywords/>
  <dc:description/>
  <cp:lastModifiedBy>Priyanka Sivakumar</cp:lastModifiedBy>
  <cp:revision>6</cp:revision>
  <dcterms:created xsi:type="dcterms:W3CDTF">2026-06-11T13:54:00Z</dcterms:created>
  <dcterms:modified xsi:type="dcterms:W3CDTF">2026-09-06T07:34:00Z</dcterms:modified>
</cp:coreProperties>
</file>