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80234" w14:textId="489BF952" w:rsidR="00742649" w:rsidRDefault="00742649" w:rsidP="00742649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42649">
        <w:rPr>
          <w:rFonts w:ascii="Times New Roman" w:hAnsi="Times New Roman" w:cs="Times New Roman"/>
          <w:b/>
          <w:bCs/>
          <w:sz w:val="24"/>
          <w:szCs w:val="24"/>
        </w:rPr>
        <w:t>Supplementary Figure Legends</w:t>
      </w:r>
    </w:p>
    <w:p w14:paraId="5BCA2FF8" w14:textId="492B5EE9" w:rsidR="00742649" w:rsidRPr="00C377FA" w:rsidRDefault="000E4703" w:rsidP="00C377FA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42649">
        <w:rPr>
          <w:rFonts w:ascii="Times New Roman" w:hAnsi="Times New Roman" w:cs="Times New Roman"/>
          <w:b/>
          <w:sz w:val="24"/>
          <w:szCs w:val="24"/>
        </w:rPr>
        <w:t>Supplementary Figure 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77FA" w:rsidRPr="00C377FA">
        <w:rPr>
          <w:rFonts w:ascii="Times New Roman" w:hAnsi="Times New Roman" w:cs="Times New Roman"/>
          <w:b/>
          <w:sz w:val="24"/>
          <w:szCs w:val="24"/>
        </w:rPr>
        <w:t xml:space="preserve">Viability and phenotypic purity of CD16⁺ </w:t>
      </w:r>
      <w:r w:rsidR="00A815DA">
        <w:rPr>
          <w:rFonts w:ascii="Times New Roman" w:hAnsi="Times New Roman" w:cs="Times New Roman"/>
          <w:b/>
          <w:sz w:val="24"/>
          <w:szCs w:val="24"/>
        </w:rPr>
        <w:t>high-density neutrophils</w:t>
      </w:r>
      <w:r w:rsidR="00C377FA" w:rsidRPr="00C377FA">
        <w:rPr>
          <w:rFonts w:ascii="Times New Roman" w:hAnsi="Times New Roman" w:cs="Times New Roman"/>
          <w:b/>
          <w:sz w:val="24"/>
          <w:szCs w:val="24"/>
        </w:rPr>
        <w:t xml:space="preserve"> following density-gradient isolation.</w:t>
      </w:r>
      <w:r w:rsidR="00C377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77FA" w:rsidRPr="00A815DA">
        <w:rPr>
          <w:rFonts w:ascii="Times New Roman" w:hAnsi="Times New Roman" w:cs="Times New Roman"/>
          <w:sz w:val="24"/>
          <w:szCs w:val="24"/>
        </w:rPr>
        <w:t xml:space="preserve">(A) Representative flow cytometry plots showing viability of high-density neutrophils (HDNs) from two donors (#1 and #2) following </w:t>
      </w:r>
      <w:proofErr w:type="spellStart"/>
      <w:r w:rsidR="00C377FA" w:rsidRPr="00A815DA">
        <w:rPr>
          <w:rFonts w:ascii="Times New Roman" w:hAnsi="Times New Roman" w:cs="Times New Roman"/>
          <w:sz w:val="24"/>
          <w:szCs w:val="24"/>
        </w:rPr>
        <w:t>Ficoll</w:t>
      </w:r>
      <w:proofErr w:type="spellEnd"/>
      <w:r w:rsidR="00C377FA" w:rsidRPr="00A815DA">
        <w:rPr>
          <w:rFonts w:ascii="Times New Roman" w:hAnsi="Times New Roman" w:cs="Times New Roman"/>
          <w:sz w:val="24"/>
          <w:szCs w:val="24"/>
        </w:rPr>
        <w:t xml:space="preserve"> separation and CD16-based magnetic enrichment. Percentages indicate live cells within the gated population. (B) Post-isolation assessment of CD16⁺ HDNs demonstrating expression of CD16, CD14, CD66b, and CD11b. The table summarizes the percentage of marker-positive cells, confirming high neutrophil purity with minimal monocyte contamination.</w:t>
      </w:r>
    </w:p>
    <w:p w14:paraId="400CEA9E" w14:textId="2E98CB79" w:rsidR="000E4703" w:rsidRDefault="000E4703" w:rsidP="00742649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CA87D3F" w14:textId="6C3C4518" w:rsidR="00C377FA" w:rsidRDefault="00C377FA" w:rsidP="00C377FA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upplementary Figure 2. </w:t>
      </w:r>
      <w:r w:rsidRPr="00C377FA">
        <w:rPr>
          <w:rFonts w:ascii="Times New Roman" w:hAnsi="Times New Roman" w:cs="Times New Roman"/>
          <w:b/>
          <w:sz w:val="24"/>
          <w:szCs w:val="24"/>
        </w:rPr>
        <w:t xml:space="preserve">Baseline clinical characteristics and frequencies of circulating </w:t>
      </w:r>
      <w:r w:rsidR="00A815DA">
        <w:rPr>
          <w:rFonts w:ascii="Times New Roman" w:hAnsi="Times New Roman" w:cs="Times New Roman"/>
          <w:b/>
          <w:sz w:val="24"/>
          <w:szCs w:val="24"/>
        </w:rPr>
        <w:t>HDN subsets</w:t>
      </w:r>
      <w:r w:rsidRPr="00C377F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15DA">
        <w:rPr>
          <w:rFonts w:ascii="Times New Roman" w:hAnsi="Times New Roman" w:cs="Times New Roman"/>
          <w:sz w:val="24"/>
          <w:szCs w:val="24"/>
        </w:rPr>
        <w:t>(A) Proportion of immature HDNs</w:t>
      </w:r>
      <w:r w:rsidR="00A815DA">
        <w:rPr>
          <w:rFonts w:ascii="Times New Roman" w:hAnsi="Times New Roman" w:cs="Times New Roman"/>
          <w:sz w:val="24"/>
          <w:szCs w:val="24"/>
        </w:rPr>
        <w:t xml:space="preserve"> according to smoking history.</w:t>
      </w:r>
      <w:r w:rsidRPr="00A815DA">
        <w:rPr>
          <w:rFonts w:ascii="Times New Roman" w:hAnsi="Times New Roman" w:cs="Times New Roman"/>
          <w:sz w:val="24"/>
          <w:szCs w:val="24"/>
        </w:rPr>
        <w:t xml:space="preserve"> (B) </w:t>
      </w:r>
      <w:r w:rsidR="00A815DA" w:rsidRPr="00A815DA">
        <w:rPr>
          <w:rFonts w:ascii="Times New Roman" w:hAnsi="Times New Roman" w:cs="Times New Roman"/>
          <w:sz w:val="24"/>
          <w:szCs w:val="24"/>
        </w:rPr>
        <w:t>Proportion of immature HDNs</w:t>
      </w:r>
      <w:r w:rsidR="00A815DA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A815DA" w:rsidRPr="00A815DA">
        <w:rPr>
          <w:rFonts w:ascii="Times New Roman" w:hAnsi="Times New Roman" w:cs="Times New Roman"/>
          <w:sz w:val="24"/>
          <w:szCs w:val="24"/>
        </w:rPr>
        <w:t>histology</w:t>
      </w:r>
      <w:r w:rsidR="00A815DA">
        <w:rPr>
          <w:rFonts w:ascii="Times New Roman" w:hAnsi="Times New Roman" w:cs="Times New Roman"/>
          <w:sz w:val="24"/>
          <w:szCs w:val="24"/>
        </w:rPr>
        <w:t>.</w:t>
      </w:r>
      <w:r w:rsidRPr="00A815DA">
        <w:rPr>
          <w:rFonts w:ascii="Times New Roman" w:hAnsi="Times New Roman" w:cs="Times New Roman"/>
          <w:sz w:val="24"/>
          <w:szCs w:val="24"/>
        </w:rPr>
        <w:t xml:space="preserve"> (C)</w:t>
      </w:r>
      <w:r w:rsidR="00A815DA">
        <w:rPr>
          <w:rFonts w:ascii="Times New Roman" w:hAnsi="Times New Roman" w:cs="Times New Roman"/>
          <w:sz w:val="24"/>
          <w:szCs w:val="24"/>
        </w:rPr>
        <w:t xml:space="preserve"> </w:t>
      </w:r>
      <w:r w:rsidR="00A815DA" w:rsidRPr="00A815DA">
        <w:rPr>
          <w:rFonts w:ascii="Times New Roman" w:hAnsi="Times New Roman" w:cs="Times New Roman"/>
          <w:sz w:val="24"/>
          <w:szCs w:val="24"/>
        </w:rPr>
        <w:t>Proportion of immature HDNs</w:t>
      </w:r>
      <w:r w:rsidR="00A815DA">
        <w:rPr>
          <w:rFonts w:ascii="Times New Roman" w:hAnsi="Times New Roman" w:cs="Times New Roman"/>
          <w:sz w:val="24"/>
          <w:szCs w:val="24"/>
        </w:rPr>
        <w:t xml:space="preserve"> according to</w:t>
      </w:r>
      <w:r w:rsidR="00A815DA">
        <w:rPr>
          <w:rFonts w:ascii="Times New Roman" w:hAnsi="Times New Roman" w:cs="Times New Roman"/>
          <w:sz w:val="24"/>
          <w:szCs w:val="24"/>
        </w:rPr>
        <w:t xml:space="preserve"> </w:t>
      </w:r>
      <w:r w:rsidR="00A815DA" w:rsidRPr="00A815DA">
        <w:rPr>
          <w:rFonts w:ascii="Times New Roman" w:hAnsi="Times New Roman" w:cs="Times New Roman"/>
          <w:sz w:val="24"/>
          <w:szCs w:val="24"/>
        </w:rPr>
        <w:t>PD-L1</w:t>
      </w:r>
      <w:r w:rsidR="00A815DA">
        <w:rPr>
          <w:rFonts w:ascii="Times New Roman" w:hAnsi="Times New Roman" w:cs="Times New Roman"/>
          <w:sz w:val="24"/>
          <w:szCs w:val="24"/>
        </w:rPr>
        <w:t xml:space="preserve"> expression. (D) </w:t>
      </w:r>
      <w:r w:rsidR="00A815DA" w:rsidRPr="00A815DA">
        <w:rPr>
          <w:rFonts w:ascii="Times New Roman" w:hAnsi="Times New Roman" w:cs="Times New Roman"/>
          <w:sz w:val="24"/>
          <w:szCs w:val="24"/>
        </w:rPr>
        <w:t>Proportion of immature HDNs</w:t>
      </w:r>
      <w:r w:rsidR="00A815DA">
        <w:rPr>
          <w:rFonts w:ascii="Times New Roman" w:hAnsi="Times New Roman" w:cs="Times New Roman"/>
          <w:sz w:val="24"/>
          <w:szCs w:val="24"/>
        </w:rPr>
        <w:t xml:space="preserve"> according to</w:t>
      </w:r>
      <w:r w:rsidR="00A815DA">
        <w:rPr>
          <w:rFonts w:ascii="Times New Roman" w:hAnsi="Times New Roman" w:cs="Times New Roman"/>
          <w:sz w:val="24"/>
          <w:szCs w:val="24"/>
        </w:rPr>
        <w:t xml:space="preserve"> treatment line. </w:t>
      </w:r>
      <w:r w:rsidRPr="00A815DA">
        <w:rPr>
          <w:rFonts w:ascii="Times New Roman" w:hAnsi="Times New Roman" w:cs="Times New Roman"/>
          <w:sz w:val="24"/>
          <w:szCs w:val="24"/>
        </w:rPr>
        <w:t>No statistically significant differences were observed across clinical subgroups.</w:t>
      </w:r>
    </w:p>
    <w:p w14:paraId="2E2680F6" w14:textId="77777777" w:rsidR="00C377FA" w:rsidRPr="00C377FA" w:rsidRDefault="00C377FA" w:rsidP="00C377FA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BF901C0" w14:textId="44C8B90D" w:rsidR="00742649" w:rsidRPr="00A815DA" w:rsidRDefault="00742649" w:rsidP="00742649">
      <w:pPr>
        <w:widowControl/>
        <w:wordWrap/>
        <w:autoSpaceDE/>
        <w:autoSpaceDN/>
        <w:spacing w:line="360" w:lineRule="auto"/>
        <w:rPr>
          <w:rFonts w:ascii="Times New Roman" w:hAnsi="Times New Roman" w:cs="Times New Roman" w:hint="eastAsia"/>
          <w:sz w:val="24"/>
          <w:szCs w:val="24"/>
        </w:rPr>
      </w:pPr>
      <w:r w:rsidRPr="00742649">
        <w:rPr>
          <w:rFonts w:ascii="Times New Roman" w:hAnsi="Times New Roman" w:cs="Times New Roman"/>
          <w:b/>
          <w:sz w:val="24"/>
          <w:szCs w:val="24"/>
        </w:rPr>
        <w:t xml:space="preserve">Supplementary Figure </w:t>
      </w:r>
      <w:r w:rsidR="00A815DA">
        <w:rPr>
          <w:rFonts w:ascii="Times New Roman" w:hAnsi="Times New Roman" w:cs="Times New Roman"/>
          <w:b/>
          <w:sz w:val="24"/>
          <w:szCs w:val="24"/>
        </w:rPr>
        <w:t>3</w:t>
      </w:r>
      <w:r w:rsidR="00577D05" w:rsidRPr="0074264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77D05" w:rsidRPr="002B59CE">
        <w:rPr>
          <w:rFonts w:ascii="Times New Roman" w:hAnsi="Times New Roman" w:cs="Times New Roman"/>
          <w:b/>
          <w:sz w:val="24"/>
          <w:szCs w:val="24"/>
        </w:rPr>
        <w:t>Differentially expressed genes (DEGs) in high-density neutrophils (HDNs) according to treatment response and immune-related adverse events (</w:t>
      </w:r>
      <w:proofErr w:type="spellStart"/>
      <w:r w:rsidR="00577D05" w:rsidRPr="002B59CE">
        <w:rPr>
          <w:rFonts w:ascii="Times New Roman" w:hAnsi="Times New Roman" w:cs="Times New Roman"/>
          <w:b/>
          <w:sz w:val="24"/>
          <w:szCs w:val="24"/>
        </w:rPr>
        <w:t>irAEs</w:t>
      </w:r>
      <w:proofErr w:type="spellEnd"/>
      <w:r w:rsidR="00577D05" w:rsidRPr="002B59CE">
        <w:rPr>
          <w:rFonts w:ascii="Times New Roman" w:hAnsi="Times New Roman" w:cs="Times New Roman"/>
          <w:b/>
          <w:sz w:val="24"/>
          <w:szCs w:val="24"/>
        </w:rPr>
        <w:t>)</w:t>
      </w:r>
      <w:r w:rsidR="00577D0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77D05" w:rsidRPr="00742649">
        <w:rPr>
          <w:rFonts w:ascii="Times New Roman" w:hAnsi="Times New Roman" w:cs="Times New Roman"/>
          <w:sz w:val="24"/>
          <w:szCs w:val="24"/>
        </w:rPr>
        <w:t xml:space="preserve">(A) </w:t>
      </w:r>
      <w:r w:rsidR="00577D05" w:rsidRPr="002B59CE">
        <w:rPr>
          <w:rFonts w:ascii="Times New Roman" w:hAnsi="Times New Roman" w:cs="Times New Roman"/>
          <w:sz w:val="24"/>
          <w:szCs w:val="24"/>
        </w:rPr>
        <w:t>Volcano plots showing DEGs in HDNs at baseline (Day 0, left) and post-treatment (Day 7, right), comparing patients with durable versus non-durable responses.</w:t>
      </w:r>
      <w:r w:rsidR="00577D0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77D05" w:rsidRPr="002B59CE">
        <w:rPr>
          <w:rFonts w:ascii="Times New Roman" w:hAnsi="Times New Roman" w:cs="Times New Roman"/>
          <w:sz w:val="24"/>
          <w:szCs w:val="24"/>
        </w:rPr>
        <w:t>(B) Paired pre- and post-treatment comparison of HDNs from patients with durable (left) and non-durable (right) responses.</w:t>
      </w:r>
      <w:r w:rsidR="00577D05">
        <w:rPr>
          <w:rFonts w:ascii="Times New Roman" w:hAnsi="Times New Roman" w:cs="Times New Roman"/>
          <w:sz w:val="24"/>
          <w:szCs w:val="24"/>
        </w:rPr>
        <w:t xml:space="preserve"> </w:t>
      </w:r>
      <w:r w:rsidR="00577D05" w:rsidRPr="008D41CE">
        <w:rPr>
          <w:rFonts w:ascii="Times New Roman" w:hAnsi="Times New Roman" w:cs="Times New Roman"/>
          <w:sz w:val="24"/>
          <w:szCs w:val="24"/>
        </w:rPr>
        <w:t xml:space="preserve">(C) Paired analysis comparing baseline (Day 0) and post-treatment (Day 7) HDNs from patients with partial response or stable disease (PR/SD, left) and progressive disease (PD, right). (D) Paired analysis comparing baseline (Day 0) and post-treatment (Day 7) HDNs from patients with and without </w:t>
      </w:r>
      <w:proofErr w:type="spellStart"/>
      <w:r w:rsidR="00577D05" w:rsidRPr="008D41CE">
        <w:rPr>
          <w:rFonts w:ascii="Times New Roman" w:hAnsi="Times New Roman" w:cs="Times New Roman"/>
          <w:sz w:val="24"/>
          <w:szCs w:val="24"/>
        </w:rPr>
        <w:t>irAEs</w:t>
      </w:r>
      <w:proofErr w:type="spellEnd"/>
      <w:r w:rsidR="00577D05" w:rsidRPr="008D41CE">
        <w:rPr>
          <w:rFonts w:ascii="Times New Roman" w:hAnsi="Times New Roman" w:cs="Times New Roman"/>
          <w:sz w:val="24"/>
          <w:szCs w:val="24"/>
        </w:rPr>
        <w:t xml:space="preserve"> (non-</w:t>
      </w:r>
      <w:proofErr w:type="spellStart"/>
      <w:r w:rsidR="00577D05" w:rsidRPr="008D41CE">
        <w:rPr>
          <w:rFonts w:ascii="Times New Roman" w:hAnsi="Times New Roman" w:cs="Times New Roman"/>
          <w:sz w:val="24"/>
          <w:szCs w:val="24"/>
        </w:rPr>
        <w:t>irAE</w:t>
      </w:r>
      <w:proofErr w:type="spellEnd"/>
      <w:r w:rsidR="00577D05" w:rsidRPr="008D41CE">
        <w:rPr>
          <w:rFonts w:ascii="Times New Roman" w:hAnsi="Times New Roman" w:cs="Times New Roman"/>
          <w:sz w:val="24"/>
          <w:szCs w:val="24"/>
        </w:rPr>
        <w:t xml:space="preserve">, left; </w:t>
      </w:r>
      <w:proofErr w:type="spellStart"/>
      <w:r w:rsidR="00577D05" w:rsidRPr="008D41CE">
        <w:rPr>
          <w:rFonts w:ascii="Times New Roman" w:hAnsi="Times New Roman" w:cs="Times New Roman"/>
          <w:sz w:val="24"/>
          <w:szCs w:val="24"/>
        </w:rPr>
        <w:t>irAE</w:t>
      </w:r>
      <w:proofErr w:type="spellEnd"/>
      <w:r w:rsidR="00577D05" w:rsidRPr="008D41CE">
        <w:rPr>
          <w:rFonts w:ascii="Times New Roman" w:hAnsi="Times New Roman" w:cs="Times New Roman"/>
          <w:sz w:val="24"/>
          <w:szCs w:val="24"/>
        </w:rPr>
        <w:t>, right).</w:t>
      </w:r>
      <w:r w:rsidR="00577D05">
        <w:rPr>
          <w:rFonts w:ascii="Times New Roman" w:hAnsi="Times New Roman" w:cs="Times New Roman"/>
          <w:sz w:val="24"/>
          <w:szCs w:val="24"/>
        </w:rPr>
        <w:t xml:space="preserve"> </w:t>
      </w:r>
      <w:r w:rsidR="00577D05" w:rsidRPr="00AE1543">
        <w:rPr>
          <w:rFonts w:ascii="Times New Roman" w:hAnsi="Times New Roman" w:cs="Times New Roman"/>
          <w:sz w:val="24"/>
          <w:szCs w:val="24"/>
        </w:rPr>
        <w:t>Genes with an adjusted P value &lt; 0.05 and an absolute log₂ fold change &gt; 1 were considered significant and are shown in red (upregulated) or blue (downregulated).</w:t>
      </w:r>
      <w:r w:rsidR="00577D05">
        <w:rPr>
          <w:rFonts w:ascii="Times New Roman" w:hAnsi="Times New Roman" w:cs="Times New Roman"/>
          <w:sz w:val="24"/>
          <w:szCs w:val="24"/>
        </w:rPr>
        <w:t xml:space="preserve"> </w:t>
      </w:r>
      <w:r w:rsidR="00577D05" w:rsidRPr="00AE1543">
        <w:rPr>
          <w:rFonts w:ascii="Times New Roman" w:hAnsi="Times New Roman" w:cs="Times New Roman"/>
          <w:sz w:val="24"/>
          <w:szCs w:val="24"/>
        </w:rPr>
        <w:t>The numbers of up- and downregulated genes are indicated in each plot, and representative immune-related genes were annotated for interpretability.</w:t>
      </w:r>
      <w:r w:rsidR="00577D05">
        <w:rPr>
          <w:rFonts w:ascii="Times New Roman" w:hAnsi="Times New Roman" w:cs="Times New Roman"/>
          <w:sz w:val="24"/>
          <w:szCs w:val="24"/>
        </w:rPr>
        <w:t xml:space="preserve"> </w:t>
      </w:r>
      <w:r w:rsidR="00577D05" w:rsidRPr="00AE1543">
        <w:rPr>
          <w:rFonts w:ascii="Times New Roman" w:hAnsi="Times New Roman" w:cs="Times New Roman"/>
          <w:sz w:val="24"/>
          <w:szCs w:val="24"/>
        </w:rPr>
        <w:t>Axes were truncated for visual clarity (</w:t>
      </w:r>
      <w:r w:rsidR="00577D05" w:rsidRPr="00AE1543">
        <w:rPr>
          <w:rFonts w:ascii="바탕" w:eastAsia="바탕" w:hAnsi="바탕" w:cs="바탕"/>
          <w:sz w:val="24"/>
          <w:szCs w:val="24"/>
        </w:rPr>
        <w:t>−</w:t>
      </w:r>
      <w:r w:rsidR="00577D05" w:rsidRPr="00AE1543">
        <w:rPr>
          <w:rFonts w:ascii="Times New Roman" w:hAnsi="Times New Roman" w:cs="Times New Roman"/>
          <w:sz w:val="24"/>
          <w:szCs w:val="24"/>
        </w:rPr>
        <w:t xml:space="preserve">8 &lt; log₂ FC &lt; 8, 0 &lt; </w:t>
      </w:r>
      <w:r w:rsidR="00577D05" w:rsidRPr="00AE1543">
        <w:rPr>
          <w:rFonts w:ascii="바탕" w:eastAsia="바탕" w:hAnsi="바탕" w:cs="바탕"/>
          <w:sz w:val="24"/>
          <w:szCs w:val="24"/>
        </w:rPr>
        <w:t>−</w:t>
      </w:r>
      <w:r w:rsidR="00577D05" w:rsidRPr="00AE1543">
        <w:rPr>
          <w:rFonts w:ascii="Times New Roman" w:hAnsi="Times New Roman" w:cs="Times New Roman"/>
          <w:sz w:val="24"/>
          <w:szCs w:val="24"/>
        </w:rPr>
        <w:t>log₁</w:t>
      </w:r>
      <w:r w:rsidR="00577D05" w:rsidRPr="00AE1543">
        <w:rPr>
          <w:rFonts w:ascii="MS Gothic" w:eastAsia="MS Gothic" w:hAnsi="MS Gothic" w:cs="MS Gothic"/>
          <w:sz w:val="24"/>
          <w:szCs w:val="24"/>
        </w:rPr>
        <w:t>₀</w:t>
      </w:r>
      <w:r w:rsidR="00577D05" w:rsidRPr="00AE15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D05" w:rsidRPr="00AE1543">
        <w:rPr>
          <w:rFonts w:ascii="Times New Roman" w:hAnsi="Times New Roman" w:cs="Times New Roman"/>
          <w:sz w:val="24"/>
          <w:szCs w:val="24"/>
        </w:rPr>
        <w:t>Padj</w:t>
      </w:r>
      <w:proofErr w:type="spellEnd"/>
      <w:r w:rsidR="00577D05" w:rsidRPr="00AE1543">
        <w:rPr>
          <w:rFonts w:ascii="Times New Roman" w:hAnsi="Times New Roman" w:cs="Times New Roman"/>
          <w:sz w:val="24"/>
          <w:szCs w:val="24"/>
        </w:rPr>
        <w:t xml:space="preserve"> &lt; 10), and dashed lines denote statistical thresholds (|log₂ FC| = 1, adjusted P = 0.05).</w:t>
      </w:r>
      <w:bookmarkStart w:id="0" w:name="_GoBack"/>
      <w:bookmarkEnd w:id="0"/>
    </w:p>
    <w:sectPr w:rsidR="00742649" w:rsidRPr="00A815D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3D7C99" w14:textId="77777777" w:rsidR="00F43746" w:rsidRDefault="00F43746" w:rsidP="00E24FB9">
      <w:pPr>
        <w:spacing w:after="0" w:line="240" w:lineRule="auto"/>
      </w:pPr>
      <w:r>
        <w:separator/>
      </w:r>
    </w:p>
  </w:endnote>
  <w:endnote w:type="continuationSeparator" w:id="0">
    <w:p w14:paraId="0A9BD466" w14:textId="77777777" w:rsidR="00F43746" w:rsidRDefault="00F43746" w:rsidP="00E24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8885A6" w14:textId="77777777" w:rsidR="00F43746" w:rsidRDefault="00F43746" w:rsidP="00E24FB9">
      <w:pPr>
        <w:spacing w:after="0" w:line="240" w:lineRule="auto"/>
      </w:pPr>
      <w:r>
        <w:separator/>
      </w:r>
    </w:p>
  </w:footnote>
  <w:footnote w:type="continuationSeparator" w:id="0">
    <w:p w14:paraId="557EDCB0" w14:textId="77777777" w:rsidR="00F43746" w:rsidRDefault="00F43746" w:rsidP="00E24F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649"/>
    <w:rsid w:val="00023254"/>
    <w:rsid w:val="000935A8"/>
    <w:rsid w:val="000D65FA"/>
    <w:rsid w:val="000E4703"/>
    <w:rsid w:val="001C0A3D"/>
    <w:rsid w:val="002A7CCC"/>
    <w:rsid w:val="002F58D5"/>
    <w:rsid w:val="004221A2"/>
    <w:rsid w:val="00577D05"/>
    <w:rsid w:val="00742649"/>
    <w:rsid w:val="007B1A99"/>
    <w:rsid w:val="00801AA4"/>
    <w:rsid w:val="00876468"/>
    <w:rsid w:val="00935AAB"/>
    <w:rsid w:val="00942A47"/>
    <w:rsid w:val="00945BE8"/>
    <w:rsid w:val="009E4778"/>
    <w:rsid w:val="00A815DA"/>
    <w:rsid w:val="00C377FA"/>
    <w:rsid w:val="00DC564E"/>
    <w:rsid w:val="00E24FB9"/>
    <w:rsid w:val="00E64DC9"/>
    <w:rsid w:val="00EB14AB"/>
    <w:rsid w:val="00F43746"/>
    <w:rsid w:val="00F6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1FB8C1"/>
  <w15:chartTrackingRefBased/>
  <w15:docId w15:val="{30FAF9FE-916E-461C-B77A-5B227B5B9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4264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Char"/>
    <w:uiPriority w:val="11"/>
    <w:qFormat/>
    <w:rsid w:val="00742649"/>
    <w:pPr>
      <w:spacing w:after="60"/>
      <w:jc w:val="center"/>
      <w:outlineLvl w:val="1"/>
    </w:pPr>
    <w:rPr>
      <w:sz w:val="24"/>
      <w:szCs w:val="24"/>
    </w:rPr>
  </w:style>
  <w:style w:type="character" w:customStyle="1" w:styleId="Char">
    <w:name w:val="부제 Char"/>
    <w:basedOn w:val="a0"/>
    <w:link w:val="a3"/>
    <w:uiPriority w:val="11"/>
    <w:rsid w:val="00742649"/>
    <w:rPr>
      <w:sz w:val="24"/>
      <w:szCs w:val="24"/>
    </w:rPr>
  </w:style>
  <w:style w:type="paragraph" w:styleId="a4">
    <w:name w:val="header"/>
    <w:basedOn w:val="a"/>
    <w:link w:val="Char0"/>
    <w:uiPriority w:val="99"/>
    <w:unhideWhenUsed/>
    <w:rsid w:val="00E24FB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E24FB9"/>
  </w:style>
  <w:style w:type="paragraph" w:styleId="a5">
    <w:name w:val="footer"/>
    <w:basedOn w:val="a"/>
    <w:link w:val="Char1"/>
    <w:uiPriority w:val="99"/>
    <w:unhideWhenUsed/>
    <w:rsid w:val="00E24FB9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E24FB9"/>
  </w:style>
  <w:style w:type="paragraph" w:styleId="a6">
    <w:name w:val="Balloon Text"/>
    <w:basedOn w:val="a"/>
    <w:link w:val="Char2"/>
    <w:uiPriority w:val="99"/>
    <w:semiHidden/>
    <w:unhideWhenUsed/>
    <w:rsid w:val="000E470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6"/>
    <w:uiPriority w:val="99"/>
    <w:semiHidden/>
    <w:rsid w:val="000E470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92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3D320-E828-4642-BDC6-C1AA28363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KDH</dc:creator>
  <cp:keywords/>
  <dc:description/>
  <cp:lastModifiedBy>KDH</cp:lastModifiedBy>
  <cp:revision>2</cp:revision>
  <dcterms:created xsi:type="dcterms:W3CDTF">2026-05-30T15:06:00Z</dcterms:created>
  <dcterms:modified xsi:type="dcterms:W3CDTF">2026-05-30T15:06:00Z</dcterms:modified>
</cp:coreProperties>
</file>