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C4DF7" w14:textId="032AEF95" w:rsidR="0086548E" w:rsidRPr="00A73A73" w:rsidRDefault="0086548E" w:rsidP="0086548E">
      <w:pPr>
        <w:spacing w:line="480" w:lineRule="auto"/>
        <w:jc w:val="both"/>
        <w:rPr>
          <w:rFonts w:ascii="Candara" w:hAnsi="Candara"/>
          <w:lang w:val="en-US"/>
        </w:rPr>
      </w:pPr>
      <w:r>
        <w:rPr>
          <w:rFonts w:ascii="Candara" w:hAnsi="Candara"/>
          <w:b/>
          <w:lang w:val="en-US"/>
        </w:rPr>
        <w:t xml:space="preserve">Supplementary Table </w:t>
      </w:r>
      <w:r w:rsidR="00F91018">
        <w:rPr>
          <w:rFonts w:ascii="Candara" w:hAnsi="Candara"/>
          <w:b/>
          <w:lang w:val="en-US"/>
        </w:rPr>
        <w:t>4</w:t>
      </w:r>
      <w:bookmarkStart w:id="0" w:name="_GoBack"/>
      <w:bookmarkEnd w:id="0"/>
      <w:r w:rsidRPr="00A73A73">
        <w:rPr>
          <w:rFonts w:ascii="Candara" w:hAnsi="Candara"/>
          <w:b/>
          <w:lang w:val="en-US"/>
        </w:rPr>
        <w:t xml:space="preserve">. </w:t>
      </w:r>
      <w:r w:rsidRPr="00A73A73">
        <w:rPr>
          <w:rFonts w:ascii="Candara" w:hAnsi="Candara"/>
          <w:lang w:val="en-US"/>
        </w:rPr>
        <w:t>Outcome of studies using the Steinberg Classification</w:t>
      </w:r>
    </w:p>
    <w:tbl>
      <w:tblPr>
        <w:tblStyle w:val="TableGrid"/>
        <w:tblW w:w="14791" w:type="dxa"/>
        <w:tblLook w:val="04A0" w:firstRow="1" w:lastRow="0" w:firstColumn="1" w:lastColumn="0" w:noHBand="0" w:noVBand="1"/>
      </w:tblPr>
      <w:tblGrid>
        <w:gridCol w:w="1910"/>
        <w:gridCol w:w="755"/>
        <w:gridCol w:w="1157"/>
        <w:gridCol w:w="2275"/>
        <w:gridCol w:w="1397"/>
        <w:gridCol w:w="1923"/>
        <w:gridCol w:w="1558"/>
        <w:gridCol w:w="2296"/>
        <w:gridCol w:w="1520"/>
      </w:tblGrid>
      <w:tr w:rsidR="0086548E" w:rsidRPr="00D86D9F" w14:paraId="3AA3B886" w14:textId="77777777" w:rsidTr="00415B74">
        <w:trPr>
          <w:trHeight w:val="1944"/>
        </w:trPr>
        <w:tc>
          <w:tcPr>
            <w:tcW w:w="1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17CEC7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Study</w:t>
            </w: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647E2A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Nr.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48CAE1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Avg. Follow-up</w:t>
            </w:r>
          </w:p>
        </w:tc>
        <w:tc>
          <w:tcPr>
            <w:tcW w:w="22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9BE75E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Preoperative Staging</w:t>
            </w:r>
          </w:p>
        </w:tc>
        <w:tc>
          <w:tcPr>
            <w:tcW w:w="13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07BB84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Clinical assessment tool</w:t>
            </w:r>
          </w:p>
        </w:tc>
        <w:tc>
          <w:tcPr>
            <w:tcW w:w="19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1A3E6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Postoperative Clinical improvement</w:t>
            </w:r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98C72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clinical deterioration (Avg, months)</w:t>
            </w:r>
          </w:p>
        </w:tc>
        <w:tc>
          <w:tcPr>
            <w:tcW w:w="22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BD9562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Radiographic success (no progression)</w:t>
            </w:r>
          </w:p>
        </w:tc>
        <w:tc>
          <w:tcPr>
            <w:tcW w:w="15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188B46" w14:textId="77777777" w:rsidR="0086548E" w:rsidRPr="00A73A73" w:rsidRDefault="0086548E" w:rsidP="00415B74">
            <w:pPr>
              <w:spacing w:line="480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THA, months (% of total hips)</w:t>
            </w:r>
          </w:p>
        </w:tc>
      </w:tr>
      <w:tr w:rsidR="0086548E" w:rsidRPr="00D86D9F" w14:paraId="6010CBC1" w14:textId="77777777" w:rsidTr="00415B74">
        <w:trPr>
          <w:trHeight w:val="481"/>
        </w:trPr>
        <w:tc>
          <w:tcPr>
            <w:tcW w:w="1912" w:type="dxa"/>
            <w:tcBorders>
              <w:left w:val="nil"/>
              <w:bottom w:val="nil"/>
              <w:right w:val="nil"/>
            </w:tcBorders>
            <w:vAlign w:val="center"/>
          </w:tcPr>
          <w:p w14:paraId="35EABA1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Classen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&lt;EndNote&gt;&lt;Cite&gt;&lt;Author&gt;Classen&lt;/Author&gt;&lt;Year&gt;2017&lt;/Year&gt;&lt;RecNum&gt;9&lt;/RecNum&gt;&lt;DisplayText&gt;[33]&lt;/DisplayText&gt;&lt;record&gt;&lt;rec-number&gt;9&lt;/rec-number&gt;&lt;foreign-keys&gt;&lt;key app="EN" db-id="xrsrdprrrs2999e9vprp5xfcttzxfrd99202" timestamp="1552759083"&gt;9&lt;/key&gt;&lt;/foreign-keys&gt;&lt;ref-type name="Journal Article"&gt;17&lt;/ref-type&gt;&lt;contributors&gt;&lt;authors&gt;&lt;author&gt;Classen, T.&lt;/author&gt;&lt;author&gt;Warwas, S.&lt;/author&gt;&lt;author&gt;Jäger, M.&lt;/author&gt;&lt;author&gt;Landgraeber, S.&lt;/author&gt;&lt;/authors&gt;&lt;/contributors&gt;&lt;auth-address&gt;Department of Orthopaedics, University of Duisburg–Essen, Germany&lt;/auth-address&gt;&lt;titles&gt;&lt;title&gt;Two-year follow-up after advanced core decompression&lt;/title&gt;&lt;secondary-title&gt;Journal of Tissue Engineering and Regenerative Medicine&lt;/secondary-title&gt;&lt;/titles&gt;&lt;periodical&gt;&lt;full-title&gt;Journal of Tissue Engineering and Regenerative Medicine&lt;/full-title&gt;&lt;/periodical&gt;&lt;pages&gt;1308-1314&lt;/pages&gt;&lt;volume&gt;11&lt;/volume&gt;&lt;number&gt;4&lt;/number&gt;&lt;keywords&gt;&lt;keyword&gt;artificial bone graft&lt;/keyword&gt;&lt;keyword&gt;avascular necrosis&lt;/keyword&gt;&lt;keyword&gt;bone regeneration&lt;/keyword&gt;&lt;keyword&gt;core decompression&lt;/keyword&gt;&lt;keyword&gt;joint preservation&lt;/keyword&gt;&lt;keyword&gt;resorbable synthetic bone substitute&lt;/keyword&gt;&lt;/keywords&gt;&lt;dates&gt;&lt;year&gt;2017&lt;/year&gt;&lt;/dates&gt;&lt;work-type&gt;Article&lt;/work-type&gt;&lt;urls&gt;&lt;related-urls&gt;&lt;url&gt;https://www.scopus.com/inward/record.uri?eid=2-s2.0-85017271764&amp;amp;doi=10.1002%2fterm.2056&amp;amp;partnerID=40&amp;amp;md5=898502dc459e752876913f1db5c69543&lt;/url&gt;&lt;/related-urls&gt;&lt;/urls&gt;&lt;electronic-resource-num&gt;10.1002/term.2056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  <w:vAlign w:val="center"/>
          </w:tcPr>
          <w:p w14:paraId="08F18376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1158" w:type="dxa"/>
            <w:tcBorders>
              <w:left w:val="nil"/>
              <w:bottom w:val="nil"/>
              <w:right w:val="nil"/>
            </w:tcBorders>
            <w:vAlign w:val="center"/>
          </w:tcPr>
          <w:p w14:paraId="344CF273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278" w:type="dxa"/>
            <w:tcBorders>
              <w:left w:val="nil"/>
              <w:bottom w:val="nil"/>
              <w:right w:val="nil"/>
            </w:tcBorders>
            <w:vAlign w:val="center"/>
          </w:tcPr>
          <w:p w14:paraId="06FE028B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I+II+III:100%</w:t>
            </w: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  <w:vAlign w:val="center"/>
          </w:tcPr>
          <w:p w14:paraId="59B43D06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24" w:type="dxa"/>
            <w:tcBorders>
              <w:left w:val="nil"/>
              <w:bottom w:val="nil"/>
              <w:right w:val="nil"/>
            </w:tcBorders>
            <w:vAlign w:val="center"/>
          </w:tcPr>
          <w:p w14:paraId="729607A9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D86D9F" w:rsidDel="00E51EDA">
              <w:rPr>
                <w:rFonts w:ascii="Candara" w:hAnsi="Candara"/>
                <w:color w:val="000000"/>
                <w:lang w:val="en-US"/>
              </w:rPr>
              <w:t xml:space="preserve"> </w:t>
            </w:r>
            <w:r>
              <w:rPr>
                <w:rFonts w:ascii="Candara" w:hAnsi="Candara"/>
                <w:color w:val="000000"/>
                <w:lang w:val="en-US"/>
              </w:rPr>
              <w:t>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</w:tc>
        <w:tc>
          <w:tcPr>
            <w:tcW w:w="1546" w:type="dxa"/>
            <w:tcBorders>
              <w:left w:val="nil"/>
              <w:bottom w:val="nil"/>
              <w:right w:val="nil"/>
            </w:tcBorders>
            <w:vAlign w:val="center"/>
          </w:tcPr>
          <w:p w14:paraId="00B0E199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  <w:vAlign w:val="center"/>
          </w:tcPr>
          <w:p w14:paraId="1CCB6029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Steinberg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1: 89%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2: 67%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3: 53%</w:t>
            </w:r>
          </w:p>
          <w:p w14:paraId="4134B38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22" w:type="dxa"/>
            <w:tcBorders>
              <w:left w:val="nil"/>
              <w:bottom w:val="nil"/>
              <w:right w:val="nil"/>
            </w:tcBorders>
            <w:vAlign w:val="center"/>
          </w:tcPr>
          <w:p w14:paraId="1DD71A1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10.5 (33%)</w:t>
            </w:r>
          </w:p>
        </w:tc>
      </w:tr>
      <w:tr w:rsidR="0086548E" w:rsidRPr="00D86D9F" w14:paraId="117E56B8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59E6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Etemadifar 2014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&lt;EndNote&gt;&lt;Cite&gt;&lt;Author&gt;Etemadifar&lt;/Author&gt;&lt;Year&gt;2014&lt;/Year&gt;&lt;RecNum&gt;11&lt;/RecNum&gt;&lt;DisplayText&gt;[35]&lt;/DisplayText&gt;&lt;record&gt;&lt;rec-number&gt;11&lt;/rec-number&gt;&lt;foreign-keys&gt;&lt;key app="EN" db-id="xrsrdprrrs2999e9vprp5xfcttzxfrd99202" timestamp="1552759093"&gt;11&lt;/key&gt;&lt;/foreign-keys&gt;&lt;ref-type name="Journal Article"&gt;17&lt;/ref-type&gt;&lt;contributors&gt;&lt;authors&gt;&lt;author&gt;Etemadifar, M.&lt;/author&gt;&lt;author&gt;Kooskzari, M.&lt;/author&gt;&lt;author&gt;Khalilollah, N.&lt;/author&gt;&lt;author&gt;Ali, M. K.&lt;/author&gt;&lt;author&gt;Mahsa, B.&lt;/author&gt;&lt;/authors&gt;&lt;/contributors&gt;&lt;auth-address&gt;Associate Professor, Faculty of Medicine, Isfahan University of Medical Sciences, Isfahan, Iran.&amp;#xD;Orthopedics Resident, Faculty of Medicine, Isfahan University of Medical Sciences, Isfahan, Iran.&amp;#xD;Master&amp;apos;s, Epidemiology, Faculty of Medicine, Isfahan University of Medical Sciences, Isfahan, Iran.&amp;#xD;Cardiovascular Diseases Resident, Faculty of Medicine, Isfahan University of Medical Sciences, Isfahan, Iran.&lt;/auth-address&gt;&lt;titles&gt;&lt;title&gt;The results of core decompression treatment in patients with avascular necrosis of femoral head in patients at Isfahan City educational hospitals in 2010-2011&lt;/title&gt;&lt;secondary-title&gt;Adv Biomed Res&lt;/secondary-title&gt;&lt;alt-title&gt;Advanced biomedical research&lt;/alt-title&gt;&lt;/titles&gt;&lt;periodical&gt;&lt;full-title&gt;Adv Biomed Res&lt;/full-title&gt;&lt;abbr-1&gt;Advanced biomedical research&lt;/abbr-1&gt;&lt;/periodical&gt;&lt;alt-periodical&gt;&lt;full-title&gt;Adv Biomed Res&lt;/full-title&gt;&lt;abbr-1&gt;Advanced biomedical research&lt;/abbr-1&gt;&lt;/alt-periodical&gt;&lt;pages&gt;93&lt;/pages&gt;&lt;volume&gt;3&lt;/volume&gt;&lt;edition&gt;2014/05/07&lt;/edition&gt;&lt;keywords&gt;&lt;keyword&gt;Avascular necrosis of femoral head&lt;/keyword&gt;&lt;keyword&gt;core decompression surgery&lt;/keyword&gt;&lt;keyword&gt;corticosteroids&lt;/keyword&gt;&lt;/keywords&gt;&lt;dates&gt;&lt;year&gt;2014&lt;/year&gt;&lt;/dates&gt;&lt;isbn&gt;2277-9175 (Print)&amp;#xD;2277-9175&lt;/isbn&gt;&lt;accession-num&gt;24800182&lt;/accession-num&gt;&lt;urls&gt;&lt;/urls&gt;&lt;custom2&gt;PMC4007334&lt;/custom2&gt;&lt;electronic-resource-num&gt;10.4103/2277-9175.129363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AA57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B76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B92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36.4%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63.6%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C30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VAS</w:t>
            </w:r>
          </w:p>
          <w:p w14:paraId="4A83216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ROM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778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VAS-YES (100%)</w:t>
            </w:r>
          </w:p>
          <w:p w14:paraId="778A687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ROM – YES (100%)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6385C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no clinical deterioration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CB9C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Steinberg Pre-Op Sub-groups):</w:t>
            </w:r>
          </w:p>
          <w:p w14:paraId="635BDD43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87.5%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78.5</w:t>
            </w:r>
          </w:p>
          <w:p w14:paraId="5644390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IIB:13.6% %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3AF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</w:tr>
      <w:tr w:rsidR="0086548E" w:rsidRPr="00D86D9F" w14:paraId="42A0BF10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8D89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Hernigou 2018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&lt;EndNote&gt;&lt;Cite&gt;&lt;Author&gt;Hernigou&lt;/Author&gt;&lt;Year&gt;2018&lt;/Year&gt;&lt;RecNum&gt;15&lt;/RecNum&gt;&lt;DisplayText&gt;[40]&lt;/DisplayText&gt;&lt;record&gt;&lt;rec-number&gt;15&lt;/rec-number&gt;&lt;foreign-keys&gt;&lt;key app="EN" db-id="xrsrdprrrs2999e9vprp5xfcttzxfrd99202" timestamp="1552759375"&gt;15&lt;/key&gt;&lt;/foreign-keys&gt;&lt;ref-type name="Journal Article"&gt;17&lt;/ref-type&gt;&lt;contributors&gt;&lt;authors&gt;&lt;author&gt;Hernigou, P.&lt;/author&gt;&lt;author&gt;Dubory, A.&lt;/author&gt;&lt;author&gt;Homma, Y.&lt;/author&gt;&lt;author&gt;Guissou, I.&lt;/author&gt;&lt;author&gt;Lachaniette, C. H. F.&lt;/author&gt;&lt;author&gt;Chevallier, N.&lt;/author&gt;&lt;author&gt;Rouard, H.&lt;/author&gt;&lt;/authors&gt;&lt;/contributors&gt;&lt;titles&gt;&lt;title&gt;Cell therapy versus simultaneous contralateral decompression in symptomatic corticosteroid osteonecrosis: a thirty year follow-up prospective randomized study of one hundred and twenty five adult patients&lt;/title&gt;&lt;secondary-title&gt;International Orthopaedics&lt;/secondary-title&gt;&lt;/titles&gt;&lt;periodical&gt;&lt;full-title&gt;Int Orthop&lt;/full-title&gt;&lt;abbr-1&gt;International orthopaedics&lt;/abbr-1&gt;&lt;/periodical&gt;&lt;pages&gt;1639-1649&lt;/pages&gt;&lt;volume&gt;42&lt;/volume&gt;&lt;number&gt;7&lt;/number&gt;&lt;dates&gt;&lt;year&gt;2018&lt;/year&gt;&lt;pub-dates&gt;&lt;date&gt;Jul&lt;/date&gt;&lt;/pub-dates&gt;&lt;/dates&gt;&lt;isbn&gt;0341-2695&lt;/isbn&gt;&lt;accession-num&gt;WOS:000436405000029&lt;/accession-num&gt;&lt;urls&gt;&lt;related-urls&gt;&lt;url&gt;&amp;lt;Go to ISI&amp;gt;://WOS:000436405000029&lt;/url&gt;&lt;/related-urls&gt;&lt;/urls&gt;&lt;electronic-resource-num&gt;10.1007/s00264-018-3941-8&lt;/electronic-resource-num&gt;&lt;/record&gt;&lt;/Cite&gt;&lt;/EndNote&gt;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9F8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8DBCF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56A2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55.2%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 Stage II: 44.8%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CE0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WOMAC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D26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D86D9F" w:rsidDel="00E51EDA">
              <w:rPr>
                <w:rFonts w:ascii="Candara" w:hAnsi="Candara"/>
                <w:color w:val="000000"/>
                <w:lang w:val="en-US"/>
              </w:rPr>
              <w:t xml:space="preserve"> </w:t>
            </w:r>
            <w:r>
              <w:rPr>
                <w:rFonts w:ascii="Candara" w:hAnsi="Candara"/>
                <w:color w:val="000000"/>
                <w:lang w:val="en-US"/>
              </w:rPr>
              <w:t>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WOMAC-YES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E74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60 months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D6BAC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rtl/>
                <w:lang w:val="en-US" w:bidi="he-IL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28%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8953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(76%)</w:t>
            </w:r>
          </w:p>
        </w:tc>
      </w:tr>
      <w:tr w:rsidR="0086548E" w:rsidRPr="00D86D9F" w14:paraId="38071324" w14:textId="77777777" w:rsidTr="00415B74">
        <w:trPr>
          <w:trHeight w:val="46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E941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Israelite 2005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&lt;EndNote&gt;&lt;Cite&gt;&lt;Author&gt;Israelite&lt;/Author&gt;&lt;Year&gt;2005&lt;/Year&gt;&lt;RecNum&gt;17&lt;/RecNum&gt;&lt;DisplayText&gt;[42]&lt;/DisplayText&gt;&lt;record&gt;&lt;rec-number&gt;17&lt;/rec-number&gt;&lt;foreign-keys&gt;&lt;key app="EN" db-id="xrsrdprrrs2999e9vprp5xfcttzxfrd99202" timestamp="1552759399"&gt;17&lt;/key&gt;&lt;/foreign-keys&gt;&lt;ref-type name="Journal Article"&gt;17&lt;/ref-type&gt;&lt;contributors&gt;&lt;authors&gt;&lt;author&gt;Israelite, C.&lt;/author&gt;&lt;author&gt;Nelson, C. L.&lt;/author&gt;&lt;author&gt;Ziarani, C. F.&lt;/author&gt;&lt;author&gt;Abboud, J. A.&lt;/author&gt;&lt;author&gt;Landa, J.&lt;/author&gt;&lt;author&gt;Steinberg, M. E.&lt;/author&gt;&lt;/authors&gt;&lt;/contributors&gt;&lt;auth-address&gt;Department of Orthopaedic Surgery, University of Pennsylvania School of Medicine, Philadelphia, PA 19104, USA.&lt;/auth-address&gt;&lt;titles&gt;&lt;title&gt;Bilateral core decompression for osteonecrosis of the femoral head&lt;/title&gt;&lt;secondary-title&gt;Clin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research&lt;/abbr-1&gt;&lt;/alt-periodical&gt;&lt;pages&gt;285-90&lt;/pages&gt;&lt;volume&gt;441&lt;/volume&gt;&lt;edition&gt;2005/12/07&lt;/edition&gt;&lt;keywords&gt;&lt;keyword&gt;Adult&lt;/keyword&gt;&lt;keyword&gt;*Arthroplasty, Replacement, Hip&lt;/keyword&gt;&lt;keyword&gt;Decompression, Surgical/*methods&lt;/keyword&gt;&lt;keyword&gt;Female&lt;/keyword&gt;&lt;keyword&gt;Femur Head Necrosis/diagnostic imaging/*surgery&lt;/keyword&gt;&lt;keyword&gt;Follow-Up Studies&lt;/keyword&gt;&lt;keyword&gt;Hip Joint/diagnostic imaging/surgery&lt;/keyword&gt;&lt;keyword&gt;Humans&lt;/keyword&gt;&lt;keyword&gt;Male&lt;/keyword&gt;&lt;keyword&gt;Postoperative Complications&lt;/keyword&gt;&lt;keyword&gt;Radiography&lt;/keyword&gt;&lt;keyword&gt;Retrospective Studies&lt;/keyword&gt;&lt;keyword&gt;Treatment Outcome&lt;/keyword&gt;&lt;/keywords&gt;&lt;dates&gt;&lt;year&gt;2005&lt;/year&gt;&lt;pub-dates&gt;&lt;date&gt;Dec&lt;/date&gt;&lt;/pub-dates&gt;&lt;/dates&gt;&lt;isbn&gt;0009-921X (Print)&amp;#xD;0009-921x&lt;/isbn&gt;&lt;accession-num&gt;16331016&lt;/accession-num&gt;&lt;urls&gt;&lt;/urls&gt;&lt;remote-database-provider&gt;NLM&lt;/remote-database-provider&gt;&lt;language&gt;eng&lt;/language&gt;&lt;/record&gt;&lt;/Cite&gt;&lt;/EndNote&gt;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50B6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44E3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91987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22.5%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39%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4.5%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lastRenderedPageBreak/>
              <w:t>Stage IV: 33%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V: 1%</w:t>
            </w:r>
          </w:p>
          <w:p w14:paraId="51F5147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E79C3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lastRenderedPageBreak/>
              <w:t>HHS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1FC97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D86D9F" w:rsidDel="00E51EDA">
              <w:rPr>
                <w:rFonts w:ascii="Candara" w:hAnsi="Candara"/>
                <w:color w:val="000000"/>
                <w:lang w:val="en-US"/>
              </w:rPr>
              <w:t xml:space="preserve"> </w:t>
            </w:r>
            <w:r>
              <w:rPr>
                <w:rFonts w:ascii="Candara" w:hAnsi="Candara"/>
                <w:color w:val="000000"/>
                <w:lang w:val="en-US"/>
              </w:rPr>
              <w:t>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030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29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4D2A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2F3F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29 (38%)</w:t>
            </w:r>
          </w:p>
        </w:tc>
      </w:tr>
      <w:tr w:rsidR="0086548E" w:rsidRPr="00D86D9F" w14:paraId="0CD1CC7A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2AF1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Ito 2003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&lt;EndNote&gt;&lt;Cite&gt;&lt;Author&gt;Ito&lt;/Author&gt;&lt;Year&gt;2003&lt;/Year&gt;&lt;RecNum&gt;18&lt;/RecNum&gt;&lt;DisplayText&gt;[43]&lt;/DisplayText&gt;&lt;record&gt;&lt;rec-number&gt;18&lt;/rec-number&gt;&lt;foreign-keys&gt;&lt;key app="EN" db-id="xrsrdprrrs2999e9vprp5xfcttzxfrd99202" timestamp="1552759490"&gt;18&lt;/key&gt;&lt;/foreign-keys&gt;&lt;ref-type name="Journal Article"&gt;17&lt;/ref-type&gt;&lt;contributors&gt;&lt;authors&gt;&lt;author&gt;Ito, H.&lt;/author&gt;&lt;author&gt;Matsuno, T.&lt;/author&gt;&lt;author&gt;Omizu, N.&lt;/author&gt;&lt;author&gt;Aoki, Y.&lt;/author&gt;&lt;author&gt;Minami, A.&lt;/author&gt;&lt;/authors&gt;&lt;/contributors&gt;&lt;auth-address&gt;Department of Orthopaedic Surgery, Asahikawa Medical College, Midorigaoka Higashi, Japan.&lt;/auth-address&gt;&lt;titles&gt;&lt;title&gt;Mid-term prognosis of non-traumatic osteonecrosis of the femoral head&lt;/title&gt;&lt;secondary-title&gt;J Bone Joint Surg Br&lt;/secondary-title&gt;&lt;alt-title&gt;The Journal of bone and joint surgery. British volume&lt;/alt-title&gt;&lt;/titles&gt;&lt;periodical&gt;&lt;full-title&gt;J Bone Joint Surg Br&lt;/full-title&gt;&lt;abbr-1&gt;The Journal of bone and joint surgery. British volume&lt;/abbr-1&gt;&lt;/periodical&gt;&lt;alt-periodical&gt;&lt;full-title&gt;J Bone Joint Surg Br&lt;/full-title&gt;&lt;abbr-1&gt;The Journal of bone and joint surgery. British volume&lt;/abbr-1&gt;&lt;/alt-periodical&gt;&lt;pages&gt;796-801&lt;/pages&gt;&lt;volume&gt;85&lt;/volume&gt;&lt;number&gt;6&lt;/number&gt;&lt;edition&gt;2003/08/23&lt;/edition&gt;&lt;keywords&gt;&lt;keyword&gt;Adult&lt;/keyword&gt;&lt;keyword&gt;Disease Progression&lt;/keyword&gt;&lt;keyword&gt;Female&lt;/keyword&gt;&lt;keyword&gt;*Femur Head Necrosis/mortality/pathology/surgery&lt;/keyword&gt;&lt;keyword&gt;Follow-Up Studies&lt;/keyword&gt;&lt;keyword&gt;Humans&lt;/keyword&gt;&lt;keyword&gt;Magnetic Resonance Imaging&lt;/keyword&gt;&lt;keyword&gt;Male&lt;/keyword&gt;&lt;keyword&gt;Middle Aged&lt;/keyword&gt;&lt;keyword&gt;Proportional Hazards Models&lt;/keyword&gt;&lt;keyword&gt;Prospective Studies&lt;/keyword&gt;&lt;keyword&gt;Risk Factors&lt;/keyword&gt;&lt;keyword&gt;Survival Rate&lt;/keyword&gt;&lt;keyword&gt;Treatment Outcome&lt;/keyword&gt;&lt;/keywords&gt;&lt;dates&gt;&lt;year&gt;2003&lt;/year&gt;&lt;pub-dates&gt;&lt;date&gt;Aug&lt;/date&gt;&lt;/pub-dates&gt;&lt;/dates&gt;&lt;isbn&gt;0301-620X (Print)&amp;#xD;0301-620x&lt;/isbn&gt;&lt;accession-num&gt;12931794&lt;/accession-num&gt;&lt;urls&gt;&lt;/urls&gt;&lt;remote-database-provider&gt;NLM&lt;/remote-database-provider&gt;&lt;language&gt;eng&lt;/language&gt;&lt;/record&gt;&lt;/Cite&gt;&lt;/EndNote&gt;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A116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9881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108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A5C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IA: 10%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IB: 14.4%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IC:18.8%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6.6%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13.3%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IIC: 24.4%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IIIA: 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IIIB: 3.3%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IIIC: 8.8%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54A9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418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D86D9F" w:rsidDel="00E51EDA">
              <w:rPr>
                <w:rFonts w:ascii="Candara" w:hAnsi="Candara"/>
                <w:color w:val="000000"/>
                <w:lang w:val="en-US"/>
              </w:rPr>
              <w:t xml:space="preserve"> </w:t>
            </w:r>
            <w:r>
              <w:rPr>
                <w:rFonts w:ascii="Candara" w:hAnsi="Candara"/>
                <w:color w:val="000000"/>
                <w:lang w:val="en-US"/>
              </w:rPr>
              <w:t>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1331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108 months (62.2%)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09DE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 xml:space="preserve"> 33.3%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0CB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108 (38.8%)</w:t>
            </w:r>
          </w:p>
        </w:tc>
      </w:tr>
      <w:tr w:rsidR="0086548E" w:rsidRPr="00D86D9F" w14:paraId="364F23BC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268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Markel 1996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[12]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054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5483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CA8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0: 7.4%</w:t>
            </w:r>
          </w:p>
          <w:p w14:paraId="6D3E8BF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I: 12.9%</w:t>
            </w:r>
          </w:p>
          <w:p w14:paraId="138B607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IIA: 33.3%</w:t>
            </w:r>
          </w:p>
          <w:p w14:paraId="64FF720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IIB: 22.2%</w:t>
            </w:r>
          </w:p>
          <w:p w14:paraId="36C6E32B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IIC: 3.7%</w:t>
            </w:r>
          </w:p>
          <w:p w14:paraId="0705B3E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IIIA: 3.7%</w:t>
            </w:r>
          </w:p>
          <w:p w14:paraId="00D453A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IVA: 9.2%</w:t>
            </w:r>
          </w:p>
          <w:p w14:paraId="6C991ABB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IVB: 3.7%</w:t>
            </w:r>
          </w:p>
          <w:p w14:paraId="48A3709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IVC: 1.8%</w:t>
            </w:r>
          </w:p>
          <w:p w14:paraId="412260F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VA: 1.8%</w:t>
            </w:r>
          </w:p>
          <w:p w14:paraId="5EEF9C7B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FAF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BF3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0AAF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11 months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9A3B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(% out of Steinberg Pre-Op Sub-groups)</w:t>
            </w:r>
          </w:p>
          <w:p w14:paraId="5B3B13B3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0: 50%</w:t>
            </w:r>
          </w:p>
          <w:p w14:paraId="046FA0E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I: 42.8%</w:t>
            </w:r>
          </w:p>
          <w:p w14:paraId="497CA6D1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IIA: 27.7%</w:t>
            </w:r>
          </w:p>
          <w:p w14:paraId="4E188527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IIB: 50%</w:t>
            </w:r>
          </w:p>
          <w:p w14:paraId="1DB9123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IIC: 50%</w:t>
            </w:r>
          </w:p>
          <w:p w14:paraId="5FFCBB25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III: 50%</w:t>
            </w:r>
          </w:p>
          <w:p w14:paraId="7DA45B3F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IV: 12.5%</w:t>
            </w:r>
          </w:p>
          <w:p w14:paraId="254D73C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V: 0 %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595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11 (48.1%)</w:t>
            </w:r>
          </w:p>
        </w:tc>
      </w:tr>
      <w:tr w:rsidR="0086548E" w:rsidRPr="00D86D9F" w14:paraId="4CB70128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ABCB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Miao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&lt;EndNote&gt;&lt;Cite&gt;&lt;Author&gt;Miao&lt;/Author&gt;&lt;Year&gt;2015&lt;/Year&gt;&lt;RecNum&gt;26&lt;/RecNum&gt;&lt;DisplayText&gt;[53]&lt;/DisplayText&gt;&lt;record&gt;&lt;rec-number&gt;26&lt;/rec-number&gt;&lt;foreign-keys&gt;&lt;key app="EN" db-id="xrsrdprrrs2999e9vprp5xfcttzxfrd99202" timestamp="1552759706"&gt;26&lt;/key&gt;&lt;/foreign-keys&gt;&lt;ref-type name="Journal Article"&gt;17&lt;/ref-type&gt;&lt;contributors&gt;&lt;authors&gt;&lt;author&gt;Miao, H.&lt;/author&gt;&lt;author&gt;Ye, D.&lt;/author&gt;&lt;author&gt;Liang, W.&lt;/author&gt;&lt;author&gt;Yao, Y.&lt;/author&gt;&lt;/authors&gt;&lt;/contributors&gt;&lt;auth-address&gt;The Fourth Affiliated Hospital of Medical College, Jinan University, Guangzhou Institute of Traumatic Surgery, Guangzhou Red-Cross Hospital, Guangzhou, 510220, China.&lt;/auth-address&gt;&lt;titles&gt;&lt;title&gt;Effect of Osteonecrosis Intervention Rod Versus Core Decompression Using Multiple Small Drill Holes on Early Stages of Necrosis of the Femoral Head: A Prospective Study on a Series of 60 Patients with a Minimum 1-Year-Follow-Up&lt;/title&gt;&lt;secondary-title&gt;Open Orthop J&lt;/secondary-title&gt;&lt;alt-title&gt;The open orthopaedics journal&lt;/alt-title&gt;&lt;/titles&gt;&lt;periodical&gt;&lt;full-title&gt;Open Orthop J&lt;/full-title&gt;&lt;abbr-1&gt;The open orthopaedics journal&lt;/abbr-1&gt;&lt;/periodical&gt;&lt;alt-periodical&gt;&lt;full-title&gt;Open Orthop J&lt;/full-title&gt;&lt;abbr-1&gt;The open orthopaedics journal&lt;/abbr-1&gt;&lt;/alt-periodical&gt;&lt;pages&gt;179-84&lt;/pages&gt;&lt;volume&gt;9&lt;/volume&gt;&lt;edition&gt;2015/07/15&lt;/edition&gt;&lt;keywords&gt;&lt;keyword&gt;Core decompression&lt;/keyword&gt;&lt;keyword&gt;early stage&lt;/keyword&gt;&lt;keyword&gt;intervention rod&lt;/keyword&gt;&lt;keyword&gt;multiple small drill holes&lt;/keyword&gt;&lt;keyword&gt;osteonecrosis&lt;/keyword&gt;&lt;/keywords&gt;&lt;dates&gt;&lt;year&gt;2015&lt;/year&gt;&lt;/dates&gt;&lt;isbn&gt;1874-3250 (Print)&amp;#xD;1874-3250&lt;/isbn&gt;&lt;accession-num&gt;26157535&lt;/accession-num&gt;&lt;urls&gt;&lt;/urls&gt;&lt;custom2&gt;PMC4483536&lt;/custom2&gt;&lt;electronic-resource-num&gt;10.2174/1874325001509010179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57A2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C690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641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– 41.1%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– 58.9%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C10E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30F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E6FB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70B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76.4%- no progression</w:t>
            </w:r>
          </w:p>
          <w:p w14:paraId="2F6EDCA6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ABE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(23.5%)</w:t>
            </w:r>
          </w:p>
        </w:tc>
      </w:tr>
      <w:tr w:rsidR="0086548E" w:rsidRPr="00D86D9F" w14:paraId="46A2FB21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42A8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lastRenderedPageBreak/>
              <w:t>Simank 1999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PEVuZE5vdGU+PENpdGU+PEF1dGhvcj5TaW1hbms8L0F1dGhvcj48WWVhcj4xOTk5PC9ZZWFyPjxS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PEVuZE5vdGU+PENpdGU+PEF1dGhvcj5TaW1hbms8L0F1dGhvcj48WWVhcj4xOTk5PC9ZZWFyPjxS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81EF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9D5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110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de-DE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de-DE"/>
              </w:rPr>
              <w:t>Steinberg 0/ I/ II: 50%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de-DE"/>
              </w:rPr>
              <w:br/>
              <w:t>Steinberg III/ IV/ V:50%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1DC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Merle d'Aubigné-Postel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3C86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9820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ED59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Steinberg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Steinberg 0/ I/ II: 57%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Steinberg III/ IV/ V: 39%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Overall 52%- deterioration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1547D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 (31.9%)</w:t>
            </w:r>
          </w:p>
        </w:tc>
      </w:tr>
      <w:tr w:rsidR="0086548E" w:rsidRPr="00D86D9F" w14:paraId="0F34CF6E" w14:textId="77777777" w:rsidTr="00415B74">
        <w:trPr>
          <w:trHeight w:val="481"/>
        </w:trPr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8F1E8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Simank 2001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PEVuZE5vdGU+PENpdGU+PEF1dGhvcj5TaW1hbms8L0F1dGhvcj48WWVhcj4yMDAxPC9ZZWFyPjxS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PEVuZE5vdGU+PENpdGU+PEF1dGhvcj5TaW1hbms8L0F1dGhvcj48WWVhcj4yMDAxPC9ZZWFyPjxS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[13]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55814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00C86A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5597B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de-DE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de-DE"/>
              </w:rPr>
              <w:t>Steinberg stages 0/I/II:58.2%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de-DE"/>
              </w:rPr>
              <w:br/>
              <w:t xml:space="preserve"> Steinberg stages III/IV/ V: 41.8%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6AEC2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B119B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F4BF1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B10DEF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Overall survival rate – 56%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7031D6" w14:textId="77777777" w:rsidR="0086548E" w:rsidRPr="00A73A73" w:rsidRDefault="0086548E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 (44%)</w:t>
            </w:r>
          </w:p>
        </w:tc>
      </w:tr>
      <w:tr w:rsidR="0086548E" w:rsidRPr="00AB796E" w14:paraId="26CA8212" w14:textId="77777777" w:rsidTr="00415B74">
        <w:trPr>
          <w:trHeight w:val="481"/>
        </w:trPr>
        <w:tc>
          <w:tcPr>
            <w:tcW w:w="1479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65A7E" w14:textId="77777777" w:rsidR="0086548E" w:rsidRPr="00A73A73" w:rsidRDefault="0086548E" w:rsidP="00415B74">
            <w:pPr>
              <w:spacing w:line="276" w:lineRule="auto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Nr – number of hips; Avg – average; THA – total hip replacement; n/a – not available</w:t>
            </w:r>
            <w:r>
              <w:rPr>
                <w:rFonts w:ascii="Candara" w:hAnsi="Candara"/>
                <w:sz w:val="24"/>
                <w:szCs w:val="24"/>
                <w:lang w:val="en-US"/>
              </w:rPr>
              <w:t>; HHS – Harris Hip Score; VAS – visual analogue scale.</w:t>
            </w:r>
          </w:p>
        </w:tc>
      </w:tr>
    </w:tbl>
    <w:p w14:paraId="6A6701D3" w14:textId="77777777" w:rsidR="00B077D2" w:rsidRPr="0086548E" w:rsidRDefault="00B077D2" w:rsidP="0086548E"/>
    <w:sectPr w:rsidR="00B077D2" w:rsidRPr="0086548E" w:rsidSect="000B0A0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7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B0A07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7F95"/>
    <w:rsid w:val="001C14E8"/>
    <w:rsid w:val="001C4550"/>
    <w:rsid w:val="001E70DA"/>
    <w:rsid w:val="001F50D8"/>
    <w:rsid w:val="001F5AA4"/>
    <w:rsid w:val="001F62C4"/>
    <w:rsid w:val="00202B4B"/>
    <w:rsid w:val="00205A51"/>
    <w:rsid w:val="002113A1"/>
    <w:rsid w:val="002124CA"/>
    <w:rsid w:val="00221EA8"/>
    <w:rsid w:val="00242AD9"/>
    <w:rsid w:val="00251926"/>
    <w:rsid w:val="00255799"/>
    <w:rsid w:val="00295675"/>
    <w:rsid w:val="00295EC3"/>
    <w:rsid w:val="002A2E03"/>
    <w:rsid w:val="002A3C4F"/>
    <w:rsid w:val="002A4359"/>
    <w:rsid w:val="002A4E45"/>
    <w:rsid w:val="002B6B48"/>
    <w:rsid w:val="002C10D9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E9B"/>
    <w:rsid w:val="00405207"/>
    <w:rsid w:val="0040647C"/>
    <w:rsid w:val="0040799C"/>
    <w:rsid w:val="00412C32"/>
    <w:rsid w:val="00415B4D"/>
    <w:rsid w:val="00421E61"/>
    <w:rsid w:val="00423270"/>
    <w:rsid w:val="00425805"/>
    <w:rsid w:val="004525FA"/>
    <w:rsid w:val="00453DB7"/>
    <w:rsid w:val="004721C0"/>
    <w:rsid w:val="00472D71"/>
    <w:rsid w:val="0049585C"/>
    <w:rsid w:val="004B02D0"/>
    <w:rsid w:val="004B3E2A"/>
    <w:rsid w:val="004B7CAB"/>
    <w:rsid w:val="004C34CF"/>
    <w:rsid w:val="004C5924"/>
    <w:rsid w:val="004D43B1"/>
    <w:rsid w:val="004D6940"/>
    <w:rsid w:val="004D6AB3"/>
    <w:rsid w:val="004E15E5"/>
    <w:rsid w:val="004E4A55"/>
    <w:rsid w:val="004F1C4D"/>
    <w:rsid w:val="004F3FD0"/>
    <w:rsid w:val="004F75B3"/>
    <w:rsid w:val="0050599C"/>
    <w:rsid w:val="00507639"/>
    <w:rsid w:val="00510329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6140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52D"/>
    <w:rsid w:val="00735BEE"/>
    <w:rsid w:val="0073794E"/>
    <w:rsid w:val="0074293A"/>
    <w:rsid w:val="00761B56"/>
    <w:rsid w:val="007707C1"/>
    <w:rsid w:val="007707F5"/>
    <w:rsid w:val="00773FBB"/>
    <w:rsid w:val="007742CA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F20C8"/>
    <w:rsid w:val="008027C1"/>
    <w:rsid w:val="00804756"/>
    <w:rsid w:val="0080517A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6548E"/>
    <w:rsid w:val="0087012C"/>
    <w:rsid w:val="00897E1B"/>
    <w:rsid w:val="008A04CA"/>
    <w:rsid w:val="008A0533"/>
    <w:rsid w:val="008D028A"/>
    <w:rsid w:val="008D1E30"/>
    <w:rsid w:val="008D2143"/>
    <w:rsid w:val="008D5977"/>
    <w:rsid w:val="008D6DC5"/>
    <w:rsid w:val="008E0EBB"/>
    <w:rsid w:val="008E1C50"/>
    <w:rsid w:val="008E2E78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7E37"/>
    <w:rsid w:val="00AD3ADB"/>
    <w:rsid w:val="00AD42C6"/>
    <w:rsid w:val="00AD56F1"/>
    <w:rsid w:val="00AD7E50"/>
    <w:rsid w:val="00AF0E09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8189A"/>
    <w:rsid w:val="00B84233"/>
    <w:rsid w:val="00BA00DE"/>
    <w:rsid w:val="00BB30B9"/>
    <w:rsid w:val="00BB6260"/>
    <w:rsid w:val="00BC0A23"/>
    <w:rsid w:val="00BE1C0E"/>
    <w:rsid w:val="00BE5429"/>
    <w:rsid w:val="00BF06D0"/>
    <w:rsid w:val="00C0030D"/>
    <w:rsid w:val="00C0124B"/>
    <w:rsid w:val="00C17E9B"/>
    <w:rsid w:val="00C17FF9"/>
    <w:rsid w:val="00C217CA"/>
    <w:rsid w:val="00C26F55"/>
    <w:rsid w:val="00C323CF"/>
    <w:rsid w:val="00C3455F"/>
    <w:rsid w:val="00C34B6E"/>
    <w:rsid w:val="00C3625A"/>
    <w:rsid w:val="00C42EC2"/>
    <w:rsid w:val="00C44606"/>
    <w:rsid w:val="00C44CF5"/>
    <w:rsid w:val="00C53B2A"/>
    <w:rsid w:val="00C62DB1"/>
    <w:rsid w:val="00C71670"/>
    <w:rsid w:val="00C73F16"/>
    <w:rsid w:val="00C771EF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F086C"/>
    <w:rsid w:val="00D01ABC"/>
    <w:rsid w:val="00D054EF"/>
    <w:rsid w:val="00D339C7"/>
    <w:rsid w:val="00D467C0"/>
    <w:rsid w:val="00D557A0"/>
    <w:rsid w:val="00D66ADC"/>
    <w:rsid w:val="00D7171B"/>
    <w:rsid w:val="00DA6937"/>
    <w:rsid w:val="00DB21FE"/>
    <w:rsid w:val="00DE3147"/>
    <w:rsid w:val="00DE31FD"/>
    <w:rsid w:val="00DE5EAC"/>
    <w:rsid w:val="00E105F4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86FA3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018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C47A1E"/>
  <w14:defaultImageDpi w14:val="32767"/>
  <w15:chartTrackingRefBased/>
  <w15:docId w15:val="{8F83D340-8665-984F-A986-3526EC2A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70DA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asciiTheme="minorHAnsi" w:eastAsiaTheme="majorEastAsia" w:hAnsiTheme="minorHAnsi" w:cstheme="majorBidi"/>
      <w:b/>
      <w:bCs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asciiTheme="minorHAnsi" w:eastAsiaTheme="majorEastAsia" w:hAnsiTheme="min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asciiTheme="minorHAnsi" w:eastAsiaTheme="majorEastAsia" w:hAnsiTheme="minorHAnsi" w:cstheme="majorBidi"/>
      <w:b/>
      <w:iCs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0B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1968</Words>
  <Characters>11222</Characters>
  <Application>Microsoft Office Word</Application>
  <DocSecurity>0</DocSecurity>
  <Lines>93</Lines>
  <Paragraphs>26</Paragraphs>
  <ScaleCrop>false</ScaleCrop>
  <Company/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7</cp:revision>
  <dcterms:created xsi:type="dcterms:W3CDTF">2019-10-17T21:24:00Z</dcterms:created>
  <dcterms:modified xsi:type="dcterms:W3CDTF">2020-08-23T10:29:00Z</dcterms:modified>
</cp:coreProperties>
</file>