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F2" w:rsidRDefault="005019A3" w:rsidP="005019A3">
      <w:pPr>
        <w:spacing w:after="0" w:line="480" w:lineRule="auto"/>
        <w:rPr>
          <w:rFonts w:ascii="Times New Roman" w:hAnsi="Times New Roman"/>
          <w:b/>
          <w:lang w:val="en-US"/>
        </w:rPr>
      </w:pPr>
      <w:r w:rsidRPr="00405CA6">
        <w:rPr>
          <w:rFonts w:ascii="Times New Roman" w:hAnsi="Times New Roman"/>
          <w:b/>
          <w:lang w:val="en-US"/>
        </w:rPr>
        <w:t>Supplemental data file</w:t>
      </w:r>
    </w:p>
    <w:p w:rsidR="005019A3" w:rsidRPr="009338F2" w:rsidRDefault="005019A3" w:rsidP="009338F2">
      <w:pPr>
        <w:rPr>
          <w:lang w:val="en-US"/>
        </w:rPr>
      </w:pPr>
      <w:r w:rsidRPr="00405CA6">
        <w:rPr>
          <w:b/>
          <w:sz w:val="19"/>
          <w:szCs w:val="19"/>
          <w:lang w:val="en-GB"/>
        </w:rPr>
        <w:t>Literature search</w:t>
      </w: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  <w:r w:rsidRPr="00405CA6">
        <w:rPr>
          <w:b/>
          <w:sz w:val="19"/>
          <w:szCs w:val="19"/>
          <w:lang w:val="en-GB"/>
        </w:rPr>
        <w:t xml:space="preserve">PubMed 1 August 2019 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GB"/>
        </w:rPr>
      </w:pPr>
      <w:r w:rsidRPr="00405CA6">
        <w:rPr>
          <w:sz w:val="19"/>
          <w:szCs w:val="19"/>
          <w:lang w:val="en-GB"/>
        </w:rPr>
        <w:t>[Mesh] = Medical subject headings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GB"/>
        </w:rPr>
      </w:pPr>
      <w:r w:rsidRPr="00405CA6">
        <w:rPr>
          <w:sz w:val="19"/>
          <w:szCs w:val="19"/>
          <w:lang w:val="en-GB"/>
        </w:rPr>
        <w:t>[</w:t>
      </w:r>
      <w:proofErr w:type="spellStart"/>
      <w:r w:rsidRPr="00405CA6">
        <w:rPr>
          <w:sz w:val="19"/>
          <w:szCs w:val="19"/>
          <w:lang w:val="en-GB"/>
        </w:rPr>
        <w:t>tiab</w:t>
      </w:r>
      <w:proofErr w:type="spellEnd"/>
      <w:r w:rsidRPr="00405CA6">
        <w:rPr>
          <w:sz w:val="19"/>
          <w:szCs w:val="19"/>
          <w:lang w:val="en-GB"/>
        </w:rPr>
        <w:t>] = words in title or abstract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GB"/>
        </w:rPr>
      </w:pPr>
      <w:r w:rsidRPr="00405CA6">
        <w:rPr>
          <w:sz w:val="19"/>
          <w:szCs w:val="19"/>
          <w:lang w:val="en-GB"/>
        </w:rPr>
        <w:t>[</w:t>
      </w:r>
      <w:proofErr w:type="spellStart"/>
      <w:r w:rsidRPr="00405CA6">
        <w:rPr>
          <w:sz w:val="19"/>
          <w:szCs w:val="19"/>
          <w:lang w:val="en-GB"/>
        </w:rPr>
        <w:t>ot</w:t>
      </w:r>
      <w:proofErr w:type="spellEnd"/>
      <w:r w:rsidRPr="00405CA6">
        <w:rPr>
          <w:sz w:val="19"/>
          <w:szCs w:val="19"/>
          <w:lang w:val="en-GB"/>
        </w:rPr>
        <w:t>] = words in 'other terms'-field as author keywords</w:t>
      </w:r>
    </w:p>
    <w:tbl>
      <w:tblPr>
        <w:tblStyle w:val="Tabelraster"/>
        <w:tblW w:w="4950" w:type="pct"/>
        <w:tblInd w:w="0" w:type="dxa"/>
        <w:tblLook w:val="04A0" w:firstRow="1" w:lastRow="0" w:firstColumn="1" w:lastColumn="0" w:noHBand="0" w:noVBand="1"/>
      </w:tblPr>
      <w:tblGrid>
        <w:gridCol w:w="801"/>
        <w:gridCol w:w="11458"/>
        <w:gridCol w:w="1593"/>
      </w:tblGrid>
      <w:tr w:rsidR="005019A3" w:rsidRPr="00405CA6" w:rsidTr="00641E5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/>
                <w:sz w:val="18"/>
                <w:szCs w:val="18"/>
                <w:lang w:val="en-US" w:eastAsia="nl-NL"/>
              </w:rPr>
              <w:t>No.</w:t>
            </w:r>
          </w:p>
        </w:tc>
        <w:tc>
          <w:tcPr>
            <w:tcW w:w="4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/>
                <w:sz w:val="18"/>
                <w:szCs w:val="18"/>
                <w:lang w:val="en-US" w:eastAsia="nl-NL"/>
              </w:rPr>
              <w:t>Query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/>
                <w:sz w:val="18"/>
                <w:szCs w:val="18"/>
                <w:lang w:val="en-US" w:eastAsia="nl-NL"/>
              </w:rPr>
              <w:t>Results</w:t>
            </w:r>
          </w:p>
        </w:tc>
      </w:tr>
      <w:tr w:rsidR="005019A3" w:rsidRPr="00405CA6" w:rsidTr="00641E5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#1</w:t>
            </w:r>
          </w:p>
        </w:tc>
        <w:tc>
          <w:tcPr>
            <w:tcW w:w="4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 xml:space="preserve">Search 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"Morbidity"[Mesh] OR "Mortality"[Mesh] OR "mortality" [Subheading] OR "complications" [Subheading] OR "adverse effects" [Subheading] OR complication*[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((adverse[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side[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AND (effect[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effects[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event[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events[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reaction*[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])) OR complication*[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safety[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mortalit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tolerab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"adverse effects" [Subheading] OR complication*[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((adverse[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side[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AND (effect[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effects[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event[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events[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reaction*[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])) OR complication*[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safety[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mortalit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tolerab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tiab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5808214</w:t>
            </w:r>
          </w:p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</w:p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</w:p>
        </w:tc>
      </w:tr>
      <w:tr w:rsidR="005019A3" w:rsidRPr="00405CA6" w:rsidTr="00641E5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#2</w:t>
            </w:r>
          </w:p>
        </w:tc>
        <w:tc>
          <w:tcPr>
            <w:tcW w:w="4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 xml:space="preserve">Search 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"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CosmoDerm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" [Supplementary Concept] OR filler*[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soft tissue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augmentati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soft tissue contour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correcti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((injection*[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injectable*[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AND silicon*[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OR ((aesthetic*[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esthetic*[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dermal*[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AND (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microimplant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micro implant*[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])) OR aesthetic facial contour*[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esthetic facial contour*[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filler*[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soft tissue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augmentati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soft tissue contour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correcti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((injection*[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injectable*[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AND silicon*[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]) OR aesthetic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microimplant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] OR esthetic 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microimplant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aesthetic micro implant*[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esthetic micro implant*[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aesthetic facial contour*[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esthetic facial contour*[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((aesthetic*[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esthetic*[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dermal*[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 AND (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microimplant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 OR micro implant*[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ot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]))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4169</w:t>
            </w:r>
          </w:p>
        </w:tc>
      </w:tr>
      <w:tr w:rsidR="005019A3" w:rsidRPr="00405CA6" w:rsidTr="00641E5F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#3</w:t>
            </w:r>
          </w:p>
        </w:tc>
        <w:tc>
          <w:tcPr>
            <w:tcW w:w="4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 xml:space="preserve">Search 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(#1 AND #2)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2207</w:t>
            </w:r>
          </w:p>
        </w:tc>
      </w:tr>
    </w:tbl>
    <w:p w:rsidR="005019A3" w:rsidRPr="00405CA6" w:rsidRDefault="005019A3" w:rsidP="005019A3">
      <w:pPr>
        <w:spacing w:after="0" w:line="480" w:lineRule="auto"/>
        <w:rPr>
          <w:b/>
          <w:sz w:val="19"/>
          <w:szCs w:val="19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  <w:r w:rsidRPr="00405CA6">
        <w:rPr>
          <w:b/>
          <w:sz w:val="19"/>
          <w:szCs w:val="19"/>
          <w:lang w:val="en-GB"/>
        </w:rPr>
        <w:t>Embase.com 1 August  2019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GB"/>
        </w:rPr>
      </w:pPr>
      <w:r w:rsidRPr="00405CA6">
        <w:rPr>
          <w:sz w:val="19"/>
          <w:szCs w:val="19"/>
          <w:lang w:val="en-GB"/>
        </w:rPr>
        <w:t>/</w:t>
      </w:r>
      <w:proofErr w:type="spellStart"/>
      <w:r w:rsidRPr="00405CA6">
        <w:rPr>
          <w:sz w:val="19"/>
          <w:szCs w:val="19"/>
          <w:lang w:val="en-GB"/>
        </w:rPr>
        <w:t>exp</w:t>
      </w:r>
      <w:proofErr w:type="spellEnd"/>
      <w:r w:rsidRPr="00405CA6">
        <w:rPr>
          <w:sz w:val="19"/>
          <w:szCs w:val="19"/>
          <w:lang w:val="en-GB"/>
        </w:rPr>
        <w:t xml:space="preserve"> = </w:t>
      </w:r>
      <w:proofErr w:type="spellStart"/>
      <w:r w:rsidRPr="00405CA6">
        <w:rPr>
          <w:sz w:val="19"/>
          <w:szCs w:val="19"/>
          <w:lang w:val="en-GB"/>
        </w:rPr>
        <w:t>EMtree</w:t>
      </w:r>
      <w:proofErr w:type="spellEnd"/>
      <w:r w:rsidRPr="00405CA6">
        <w:rPr>
          <w:sz w:val="19"/>
          <w:szCs w:val="19"/>
          <w:lang w:val="en-GB"/>
        </w:rPr>
        <w:t xml:space="preserve"> keyword with explosion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GB"/>
        </w:rPr>
      </w:pPr>
      <w:r w:rsidRPr="00405CA6">
        <w:rPr>
          <w:sz w:val="19"/>
          <w:szCs w:val="19"/>
          <w:lang w:val="en-GB"/>
        </w:rPr>
        <w:t>:</w:t>
      </w:r>
      <w:proofErr w:type="spellStart"/>
      <w:r w:rsidRPr="00405CA6">
        <w:rPr>
          <w:sz w:val="19"/>
          <w:szCs w:val="19"/>
          <w:lang w:val="en-GB"/>
        </w:rPr>
        <w:t>ab,ti</w:t>
      </w:r>
      <w:proofErr w:type="spellEnd"/>
      <w:r w:rsidRPr="00405CA6">
        <w:rPr>
          <w:sz w:val="19"/>
          <w:szCs w:val="19"/>
          <w:lang w:val="en-GB"/>
        </w:rPr>
        <w:t xml:space="preserve"> = words in title or abstract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GB"/>
        </w:rPr>
      </w:pPr>
      <w:r w:rsidRPr="00405CA6">
        <w:rPr>
          <w:sz w:val="19"/>
          <w:szCs w:val="19"/>
          <w:lang w:val="en-GB"/>
        </w:rPr>
        <w:t>NEXT/x = words in that order, x places apart</w:t>
      </w:r>
    </w:p>
    <w:tbl>
      <w:tblPr>
        <w:tblStyle w:val="Tabelraster"/>
        <w:tblpPr w:leftFromText="141" w:rightFromText="141" w:vertAnchor="text" w:tblpXSpec="center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781"/>
        <w:gridCol w:w="11565"/>
        <w:gridCol w:w="1646"/>
      </w:tblGrid>
      <w:tr w:rsidR="005019A3" w:rsidRPr="00405CA6" w:rsidTr="00641E5F">
        <w:trPr>
          <w:trHeight w:val="1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/>
                <w:bCs/>
                <w:sz w:val="18"/>
                <w:szCs w:val="18"/>
                <w:lang w:val="en-US" w:eastAsia="nl-NL"/>
              </w:rPr>
              <w:t>No.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/>
                <w:bCs/>
                <w:sz w:val="18"/>
                <w:szCs w:val="18"/>
                <w:lang w:val="en-US" w:eastAsia="nl-NL"/>
              </w:rPr>
              <w:t>Query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/>
                <w:bCs/>
                <w:sz w:val="18"/>
                <w:szCs w:val="18"/>
                <w:lang w:val="en-US" w:eastAsia="nl-NL"/>
              </w:rPr>
              <w:t>Results</w:t>
            </w:r>
          </w:p>
        </w:tc>
      </w:tr>
      <w:tr w:rsidR="005019A3" w:rsidRPr="00405CA6" w:rsidTr="00641E5F">
        <w:trPr>
          <w:trHeight w:val="26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#1 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'injectable implant'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/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exp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filler*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'soft tissue'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NEAR/3 </w:t>
            </w:r>
            <w:proofErr w:type="spellStart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augmentati</w:t>
            </w:r>
            <w:proofErr w:type="spellEnd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'soft tissue contour'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NEAR/3 </w:t>
            </w:r>
            <w:proofErr w:type="spellStart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correcti</w:t>
            </w:r>
            <w:proofErr w:type="spellEnd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injection*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injectable*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) NEAR/3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silicon*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aesthetic*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esthetic*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dermal*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 NEAR/3 (</w:t>
            </w:r>
            <w:proofErr w:type="spellStart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microimplant</w:t>
            </w:r>
            <w:proofErr w:type="spellEnd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'micro implant'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'micro implants'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'aesthetic facial'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NEAR/3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contour*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'esthetic facial'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NEAR/3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contour*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ti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4678</w:t>
            </w:r>
          </w:p>
        </w:tc>
      </w:tr>
      <w:tr w:rsidR="005019A3" w:rsidRPr="00405CA6" w:rsidTr="00641E5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#2 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'morbidity'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/de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'mortality'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/de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'surgical mortality'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/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exp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'complication'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/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exp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'side effect'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/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exp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'safety'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/de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complication*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ab,ti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((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adverse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side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 NEAR/4 (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effect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effects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event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events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reaction*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)):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ab,ti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proofErr w:type="spellStart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safety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:ab,ti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proofErr w:type="spellStart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mortalit</w:t>
            </w:r>
            <w:proofErr w:type="spellEnd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ab,ti</w:t>
            </w:r>
            <w:proofErr w:type="spellEnd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OR </w:t>
            </w:r>
            <w:proofErr w:type="spellStart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tolerab</w:t>
            </w:r>
            <w:proofErr w:type="spellEnd"/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*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:</w:t>
            </w:r>
            <w:proofErr w:type="spellStart"/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ab,ti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4185379</w:t>
            </w:r>
          </w:p>
        </w:tc>
      </w:tr>
      <w:tr w:rsidR="005019A3" w:rsidRPr="00405CA6" w:rsidTr="00641E5F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>#3 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#1</w:t>
            </w:r>
            <w:r w:rsidRPr="00405CA6">
              <w:rPr>
                <w:rFonts w:ascii="Helvetica Neue" w:hAnsi="Helvetica Neue" w:cs="Arial"/>
                <w:bCs/>
                <w:sz w:val="18"/>
                <w:szCs w:val="18"/>
                <w:lang w:val="en-US" w:eastAsia="nl-NL"/>
              </w:rPr>
              <w:t xml:space="preserve"> AND </w:t>
            </w: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#2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Arial"/>
                <w:sz w:val="18"/>
                <w:szCs w:val="18"/>
                <w:lang w:val="en-US" w:eastAsia="nl-NL"/>
              </w:rPr>
              <w:t>1807</w:t>
            </w:r>
          </w:p>
        </w:tc>
      </w:tr>
    </w:tbl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  <w:r w:rsidRPr="00405CA6">
        <w:rPr>
          <w:b/>
          <w:sz w:val="19"/>
          <w:szCs w:val="19"/>
          <w:lang w:val="en-GB"/>
        </w:rPr>
        <w:t>Wiley/Cochrane Library 1 August  2019</w:t>
      </w:r>
    </w:p>
    <w:p w:rsidR="005019A3" w:rsidRPr="00405CA6" w:rsidRDefault="005019A3" w:rsidP="005019A3">
      <w:pPr>
        <w:spacing w:after="0" w:line="480" w:lineRule="auto"/>
        <w:rPr>
          <w:b/>
          <w:sz w:val="19"/>
          <w:szCs w:val="19"/>
          <w:lang w:val="en-GB"/>
        </w:rPr>
      </w:pPr>
      <w:proofErr w:type="spellStart"/>
      <w:r w:rsidRPr="00405CA6">
        <w:rPr>
          <w:sz w:val="19"/>
          <w:szCs w:val="19"/>
          <w:lang w:val="en-GB"/>
        </w:rPr>
        <w:t>ti,ab,kw</w:t>
      </w:r>
      <w:proofErr w:type="spellEnd"/>
      <w:r w:rsidRPr="00405CA6">
        <w:rPr>
          <w:sz w:val="19"/>
          <w:szCs w:val="19"/>
          <w:lang w:val="en-GB"/>
        </w:rPr>
        <w:t xml:space="preserve"> = words in title, abstract or keyword</w:t>
      </w:r>
    </w:p>
    <w:tbl>
      <w:tblPr>
        <w:tblStyle w:val="Tabelraster"/>
        <w:tblpPr w:leftFromText="141" w:rightFromText="141" w:vertAnchor="text" w:tblpX="38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19"/>
        <w:gridCol w:w="7688"/>
        <w:gridCol w:w="1094"/>
      </w:tblGrid>
      <w:tr w:rsidR="005019A3" w:rsidRPr="00405CA6" w:rsidTr="00641E5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b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b/>
                <w:sz w:val="18"/>
                <w:szCs w:val="18"/>
                <w:lang w:val="en-US" w:eastAsia="nl-NL"/>
              </w:rPr>
              <w:t>No.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b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b/>
                <w:sz w:val="18"/>
                <w:szCs w:val="18"/>
                <w:lang w:val="en-US" w:eastAsia="nl-NL"/>
              </w:rPr>
              <w:t>Query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b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b/>
                <w:sz w:val="18"/>
                <w:szCs w:val="18"/>
                <w:lang w:val="en-US" w:eastAsia="nl-NL"/>
              </w:rPr>
              <w:t>Results</w:t>
            </w:r>
          </w:p>
        </w:tc>
      </w:tr>
      <w:tr w:rsidR="005019A3" w:rsidRPr="00405CA6" w:rsidTr="00641E5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#1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filler* or ("soft tissue" and 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augmentati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*) or ("soft tissue" and contour and 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correcti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*) or ((injection* or injectable*) and silicon*) or ((aesthetic* or esthetic* or dermal*) and (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microimplant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* or "micro implant" or "micro implants")) or ((aesthetic or esthetic) and facial and contour*):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ti,ab,kw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  (Word variations have been searched)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810</w:t>
            </w:r>
          </w:p>
        </w:tc>
      </w:tr>
      <w:tr w:rsidR="005019A3" w:rsidRPr="00405CA6" w:rsidTr="00641E5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lastRenderedPageBreak/>
              <w:t>#2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complication* or ((adverse or side) and (effect or effects or event or events or reaction*)) or safety or 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mortalit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* or 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tolerab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*:</w:t>
            </w:r>
            <w:proofErr w:type="spellStart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ti,ab,kw</w:t>
            </w:r>
            <w:proofErr w:type="spellEnd"/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  (Word variations have been searched)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329566</w:t>
            </w:r>
          </w:p>
        </w:tc>
      </w:tr>
      <w:tr w:rsidR="005019A3" w:rsidRPr="00405CA6" w:rsidTr="00641E5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#3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 xml:space="preserve">#1 and #2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Tekstzonderopmaak"/>
              <w:spacing w:line="276" w:lineRule="auto"/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</w:pPr>
            <w:r w:rsidRPr="00405CA6">
              <w:rPr>
                <w:rFonts w:ascii="Helvetica Neue" w:hAnsi="Helvetica Neue" w:cs="Courier New"/>
                <w:sz w:val="18"/>
                <w:szCs w:val="18"/>
                <w:lang w:val="en-US" w:eastAsia="nl-NL"/>
              </w:rPr>
              <w:t>315</w:t>
            </w:r>
          </w:p>
        </w:tc>
      </w:tr>
    </w:tbl>
    <w:p w:rsidR="005019A3" w:rsidRPr="00405CA6" w:rsidRDefault="005019A3" w:rsidP="005019A3"/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rPr>
          <w:lang w:val="en-GB"/>
        </w:rPr>
      </w:pPr>
    </w:p>
    <w:p w:rsidR="005019A3" w:rsidRPr="00405CA6" w:rsidRDefault="005019A3" w:rsidP="005019A3">
      <w:pPr>
        <w:spacing w:after="0"/>
        <w:rPr>
          <w:lang w:val="en-GB"/>
        </w:rPr>
        <w:sectPr w:rsidR="005019A3" w:rsidRPr="00405CA6" w:rsidSect="00CF6AA5">
          <w:pgSz w:w="16838" w:h="11906" w:orient="landscape"/>
          <w:pgMar w:top="1418" w:right="1418" w:bottom="1418" w:left="1418" w:header="709" w:footer="709" w:gutter="0"/>
          <w:pgNumType w:start="47"/>
          <w:cols w:space="708"/>
        </w:sectPr>
      </w:pPr>
    </w:p>
    <w:p w:rsidR="005019A3" w:rsidRPr="00405CA6" w:rsidRDefault="00D90FF1" w:rsidP="005019A3">
      <w:pPr>
        <w:spacing w:after="0"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6</w:t>
      </w:r>
      <w:r w:rsidR="005019A3" w:rsidRPr="00405CA6">
        <w:rPr>
          <w:rFonts w:ascii="Times New Roman" w:hAnsi="Times New Roman"/>
          <w:b/>
          <w:lang w:val="en-US"/>
        </w:rPr>
        <w:t>.</w:t>
      </w:r>
      <w:r w:rsidR="005019A3" w:rsidRPr="00405CA6">
        <w:rPr>
          <w:rFonts w:ascii="Times New Roman" w:hAnsi="Times New Roman"/>
          <w:lang w:val="en-US"/>
        </w:rPr>
        <w:t xml:space="preserve"> Human studies, local and systemic immunological factors </w:t>
      </w:r>
      <w:r w:rsidR="005019A3" w:rsidRPr="00405CA6">
        <w:rPr>
          <w:rFonts w:ascii="Times New Roman" w:hAnsi="Times New Roman"/>
          <w:bCs/>
          <w:lang w:val="en-US"/>
        </w:rPr>
        <w:t xml:space="preserve">found in </w:t>
      </w:r>
      <w:r w:rsidR="00A035DB" w:rsidRPr="00A035DB">
        <w:rPr>
          <w:rFonts w:ascii="Times New Roman" w:hAnsi="Times New Roman"/>
          <w:bCs/>
          <w:color w:val="FF0000"/>
          <w:lang w:val="en-US"/>
        </w:rPr>
        <w:t>dermal implant</w:t>
      </w:r>
      <w:r w:rsidR="005019A3" w:rsidRPr="00A035DB">
        <w:rPr>
          <w:rFonts w:ascii="Times New Roman" w:hAnsi="Times New Roman"/>
          <w:bCs/>
          <w:color w:val="FF0000"/>
          <w:lang w:val="en-US"/>
        </w:rPr>
        <w:t xml:space="preserve"> </w:t>
      </w:r>
      <w:r w:rsidR="005019A3" w:rsidRPr="00405CA6">
        <w:rPr>
          <w:rFonts w:ascii="Times New Roman" w:hAnsi="Times New Roman"/>
          <w:bCs/>
          <w:lang w:val="en-US"/>
        </w:rPr>
        <w:t xml:space="preserve">material or adjacent tissue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05"/>
        <w:gridCol w:w="426"/>
        <w:gridCol w:w="1277"/>
        <w:gridCol w:w="1276"/>
        <w:gridCol w:w="1417"/>
        <w:gridCol w:w="1560"/>
        <w:gridCol w:w="1275"/>
        <w:gridCol w:w="1810"/>
        <w:gridCol w:w="2268"/>
        <w:gridCol w:w="1276"/>
      </w:tblGrid>
      <w:tr w:rsidR="005019A3" w:rsidRPr="00405CA6" w:rsidTr="00641E5F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Primary indication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Type of complication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 xml:space="preserve">Follow-up, injection duration </w:t>
            </w:r>
          </w:p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 xml:space="preserve">Mean (range)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Immunological detection method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 xml:space="preserve">Immunological factor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Results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Conclusion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 xml:space="preserve">Author, </w:t>
            </w:r>
          </w:p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year of publication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No groups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Intermediate or late onset side effects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65 months (6-114 months)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Laboratory testing +unknown histopathologic examination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Histopathologic examination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Fibrinogen/ CRP (7/7 increase), LDH (5/7 increase), ACE (4/7 increase), Complement pathway proteins 3 and 4 (decrease 3/7), Antinuclear antibodies (5/7 positive), AAENA (5/5 negative), SPRE (6/7 elevated), T-helper/t-cytotoxic ratio (2/3 elevated)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According to our results,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tracrolimus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seems to be an effective drug in the medical management of late-onset, inflammatory, immune-mediated adverse effects related to SFI that are refractory to usual therapy, that is,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nonresponders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>, even when they have been administered together.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Alijotas-Reig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J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>et al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. 2012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33*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7 days - 3 years (mean 14 days for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Aquamid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>), others 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Light microscope + HE-stain, periodic acid-Schiff-stain, and Gram-stain.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Histopathologic examination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Heavy foreign body reactions were present in most biopsies.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Both intermediate and long-term adverse reactions are caused by a bacterial low-grade infection, and inherent characteristics of the implant determine the development of associated fibrosis.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Christensen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L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2005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Granuloma's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Light microscope, polarized light microscope + HE-stain. Electron microscope for energy dispersive x-ray elemental microanalysis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Filler lesions consisted of granulomatous inflammation with epithelioid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histocytes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and giant cells. Also, a high concentration of calcium and phosphorous was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Granulomatous inflammation can be a foreign body-reaction after injection with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Radiesse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Daley, T </w:t>
            </w:r>
          </w:p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>et al.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 2012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Complication groups: acute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(&lt;6 months) vs chronic (&gt;6 months)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GB" w:eastAsia="nl-NL"/>
              </w:rPr>
            </w:pPr>
            <w:r w:rsidRPr="00405CA6">
              <w:rPr>
                <w:rFonts w:cs="Arial"/>
                <w:sz w:val="19"/>
                <w:szCs w:val="19"/>
                <w:lang w:val="en-GB" w:eastAsia="nl-NL"/>
              </w:rPr>
              <w:lastRenderedPageBreak/>
              <w:t xml:space="preserve">96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Acute/late complications/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abscess/ hardened nodules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Unknown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Inflammatory characteristics were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found in filler lesions, as well as PMMA microspheres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 xml:space="preserve">Complications are related to an inflammatory process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that, in the late phase, produces hardened nodules.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lastRenderedPageBreak/>
              <w:t xml:space="preserve">de Melo </w:t>
            </w: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Carpaneda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>, E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lastRenderedPageBreak/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2012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38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Indurated plaque/nodular lesion/ inflammatory mass/ atrophic lesion/skin discoloration/ ulceration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6-25 months 14.6 months (6-25 months)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Polarized light microscope + HE-stain, 'special stains'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s-E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None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4 types of histologic patterns of filler complications were found next to foreign body granuloma: chronic inflammation, fibrosis, fat necrosis and panniculitis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Various histological reactions to dermal fillers exist.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>El-</w:t>
            </w: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Khalawany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M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2015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12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Submucosal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/ </w:t>
            </w:r>
            <w:proofErr w:type="spellStart"/>
            <w:r w:rsidRPr="00405CA6">
              <w:rPr>
                <w:bCs/>
                <w:sz w:val="19"/>
                <w:szCs w:val="19"/>
              </w:rPr>
              <w:t>nodules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/ </w:t>
            </w:r>
            <w:proofErr w:type="spellStart"/>
            <w:r w:rsidRPr="00405CA6">
              <w:rPr>
                <w:bCs/>
                <w:sz w:val="19"/>
                <w:szCs w:val="19"/>
              </w:rPr>
              <w:t>swelling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immunoperoxidase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staining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CD68,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cytokeratins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AE1,AE2 and S-100 protein expression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Morphologic patterns are distinguished by filler type. Four different histopathologic responses could be differentiated: nodule without foreign body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reaction, nodule with  chronic inflammation, granuloma with epithelioid histiocytic and multinucleated giant cell reaction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Variations in morphology and host response to dermal fillers are unique for each substance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Eversole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R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2013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7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Esthetic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(n=6), </w:t>
            </w:r>
            <w:proofErr w:type="spellStart"/>
            <w:r w:rsidRPr="00405CA6">
              <w:rPr>
                <w:bCs/>
                <w:sz w:val="19"/>
                <w:szCs w:val="19"/>
              </w:rPr>
              <w:t>traumatic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(n=1)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Granuloma's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Light microscope + HE-</w:t>
            </w:r>
            <w:proofErr w:type="spellStart"/>
            <w:r w:rsidRPr="00405CA6">
              <w:rPr>
                <w:bCs/>
                <w:sz w:val="19"/>
                <w:szCs w:val="19"/>
              </w:rPr>
              <w:t>stain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Fibrosis/</w:t>
            </w:r>
            <w:proofErr w:type="spellStart"/>
            <w:r w:rsidRPr="00405CA6">
              <w:rPr>
                <w:bCs/>
                <w:sz w:val="19"/>
                <w:szCs w:val="19"/>
              </w:rPr>
              <w:t>histocytes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and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lymphocytes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autoSpaceDE w:val="0"/>
              <w:autoSpaceDN w:val="0"/>
              <w:adjustRightInd w:val="0"/>
              <w:spacing w:after="0" w:line="480" w:lineRule="auto"/>
              <w:rPr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sz w:val="19"/>
                <w:szCs w:val="19"/>
                <w:lang w:eastAsia="nl-NL"/>
              </w:rPr>
              <w:t>Unknown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Ficarra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G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2012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Facial lipoatrophy (n=4), esthetic (n=15)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</w:rPr>
              <w:t>(Non)</w:t>
            </w:r>
            <w:proofErr w:type="spellStart"/>
            <w:r w:rsidRPr="00405CA6">
              <w:rPr>
                <w:bCs/>
                <w:sz w:val="19"/>
                <w:szCs w:val="19"/>
              </w:rPr>
              <w:t>inflammatory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nodules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, </w:t>
            </w:r>
            <w:proofErr w:type="spellStart"/>
            <w:r w:rsidRPr="00405CA6">
              <w:rPr>
                <w:bCs/>
                <w:sz w:val="19"/>
                <w:szCs w:val="19"/>
              </w:rPr>
              <w:t>abscess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HE-stain. Detection of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plasmacytoid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dendritic cells using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immunohistochemical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staining.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CD123, Anti-CD11c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No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pDCs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detected in 8 of 10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polyalkylimide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gel, in 1 of 2 polyacrylamide gel, and the 5 liquid injectable silicone biopsies. All 4 HEMA/EMA biopsies contained collections of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pDCs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in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 xml:space="preserve">lymphocytic infiltrates close to filler particles and adjacent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sarcoidal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granulomas.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Plasmacytoid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dendritic cells may contribute to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sarcoidal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granulomas associated with injected GEMA/EMA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Kadouch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JA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2015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11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Cosmetic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Granuloma's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 w:eastAsia="nl-NL"/>
              </w:rPr>
            </w:pPr>
            <w:r w:rsidRPr="00405CA6">
              <w:rPr>
                <w:sz w:val="19"/>
                <w:szCs w:val="19"/>
                <w:lang w:val="en-US" w:eastAsia="nl-NL"/>
              </w:rPr>
              <w:t xml:space="preserve">Three kinds of classic foreign-body </w:t>
            </w:r>
            <w:proofErr w:type="spellStart"/>
            <w:r w:rsidRPr="00405CA6">
              <w:rPr>
                <w:sz w:val="19"/>
                <w:szCs w:val="19"/>
                <w:lang w:val="en-US" w:eastAsia="nl-NL"/>
              </w:rPr>
              <w:t>granulomatype</w:t>
            </w:r>
            <w:proofErr w:type="spellEnd"/>
            <w:r w:rsidRPr="00405CA6">
              <w:rPr>
                <w:sz w:val="19"/>
                <w:szCs w:val="19"/>
                <w:lang w:val="en-US" w:eastAsia="nl-NL"/>
              </w:rPr>
              <w:t xml:space="preserve"> (featuring numerous giant cells around foreign bodies) were distinguished. A cystic and </w:t>
            </w:r>
            <w:proofErr w:type="spellStart"/>
            <w:r w:rsidRPr="00405CA6">
              <w:rPr>
                <w:sz w:val="19"/>
                <w:szCs w:val="19"/>
                <w:lang w:val="en-US" w:eastAsia="nl-NL"/>
              </w:rPr>
              <w:t>macrophagic</w:t>
            </w:r>
            <w:proofErr w:type="spellEnd"/>
            <w:r w:rsidRPr="00405CA6">
              <w:rPr>
                <w:sz w:val="19"/>
                <w:szCs w:val="19"/>
                <w:lang w:val="en-US" w:eastAsia="nl-NL"/>
              </w:rPr>
              <w:t xml:space="preserve"> granuloma type was found, characterized by extracellular </w:t>
            </w:r>
            <w:proofErr w:type="spellStart"/>
            <w:r w:rsidRPr="00405CA6">
              <w:rPr>
                <w:sz w:val="19"/>
                <w:szCs w:val="19"/>
                <w:lang w:val="en-US" w:eastAsia="nl-NL"/>
              </w:rPr>
              <w:t>microcysts</w:t>
            </w:r>
            <w:proofErr w:type="spellEnd"/>
            <w:r w:rsidRPr="00405CA6">
              <w:rPr>
                <w:sz w:val="19"/>
                <w:szCs w:val="19"/>
                <w:lang w:val="en-US" w:eastAsia="nl-NL"/>
              </w:rPr>
              <w:t xml:space="preserve">, surrounded by a mainly mononuclear infiltrate of </w:t>
            </w:r>
            <w:r w:rsidRPr="00405CA6">
              <w:rPr>
                <w:sz w:val="19"/>
                <w:szCs w:val="19"/>
                <w:lang w:val="en-US" w:eastAsia="nl-NL"/>
              </w:rPr>
              <w:lastRenderedPageBreak/>
              <w:t>vacuolated macrophages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The morphologic aspect of the foreign particles allow to identify the injected product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Lombardi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T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2004</w:t>
            </w:r>
          </w:p>
        </w:tc>
      </w:tr>
      <w:tr w:rsidR="005019A3" w:rsidRPr="00405CA6" w:rsidTr="00641E5F">
        <w:trPr>
          <w:trHeight w:val="2513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Redness, pruritus, painful swelling and nettle-type rash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Up to 4.5 months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Lymphocyte transforming test, intradermal test and serum test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autoSpaceDE w:val="0"/>
              <w:autoSpaceDN w:val="0"/>
              <w:adjustRightInd w:val="0"/>
              <w:spacing w:after="0" w:line="480" w:lineRule="auto"/>
              <w:rPr>
                <w:sz w:val="19"/>
                <w:szCs w:val="19"/>
                <w:lang w:val="en-US" w:eastAsia="nl-NL"/>
              </w:rPr>
            </w:pPr>
            <w:r w:rsidRPr="00405CA6">
              <w:rPr>
                <w:sz w:val="19"/>
                <w:szCs w:val="19"/>
                <w:lang w:val="en-US" w:eastAsia="nl-NL"/>
              </w:rPr>
              <w:t>The skin tests</w:t>
            </w:r>
          </w:p>
          <w:p w:rsidR="005019A3" w:rsidRPr="00405CA6" w:rsidRDefault="005019A3" w:rsidP="00641E5F">
            <w:pPr>
              <w:autoSpaceDE w:val="0"/>
              <w:autoSpaceDN w:val="0"/>
              <w:adjustRightInd w:val="0"/>
              <w:spacing w:after="0" w:line="480" w:lineRule="auto"/>
              <w:rPr>
                <w:sz w:val="19"/>
                <w:szCs w:val="19"/>
                <w:lang w:val="en-US" w:eastAsia="nl-NL"/>
              </w:rPr>
            </w:pPr>
            <w:r w:rsidRPr="00405CA6">
              <w:rPr>
                <w:sz w:val="19"/>
                <w:szCs w:val="19"/>
                <w:lang w:val="en-US" w:eastAsia="nl-NL"/>
              </w:rPr>
              <w:t xml:space="preserve"> were positive for one or the other or both of the injectable hyaluronic acid preparations. The different biopsies have shown for some a chronic inflammatory reaction, even 11 months after the treatment or a severe granulomatous reaction to foreign bodies. Serum analysis revealed positive </w:t>
            </w:r>
            <w:r w:rsidRPr="00405CA6">
              <w:rPr>
                <w:sz w:val="19"/>
                <w:szCs w:val="19"/>
                <w:lang w:val="en-US" w:eastAsia="nl-NL"/>
              </w:rPr>
              <w:lastRenderedPageBreak/>
              <w:t xml:space="preserve">antibodies against </w:t>
            </w:r>
            <w:proofErr w:type="spellStart"/>
            <w:r w:rsidRPr="00405CA6">
              <w:rPr>
                <w:sz w:val="19"/>
                <w:szCs w:val="19"/>
                <w:lang w:val="en-US" w:eastAsia="nl-NL"/>
              </w:rPr>
              <w:t>Restylane</w:t>
            </w:r>
            <w:proofErr w:type="spellEnd"/>
            <w:r w:rsidRPr="00405CA6">
              <w:rPr>
                <w:sz w:val="19"/>
                <w:szCs w:val="19"/>
                <w:lang w:val="en-US" w:eastAsia="nl-NL"/>
              </w:rPr>
              <w:t xml:space="preserve"> and/or </w:t>
            </w:r>
            <w:proofErr w:type="spellStart"/>
            <w:r w:rsidRPr="00405CA6">
              <w:rPr>
                <w:sz w:val="19"/>
                <w:szCs w:val="19"/>
                <w:lang w:val="en-US" w:eastAsia="nl-NL"/>
              </w:rPr>
              <w:t>Hylaform</w:t>
            </w:r>
            <w:proofErr w:type="spellEnd"/>
            <w:r w:rsidRPr="00405CA6">
              <w:rPr>
                <w:sz w:val="19"/>
                <w:szCs w:val="19"/>
                <w:lang w:val="en-US" w:eastAsia="nl-NL"/>
              </w:rPr>
              <w:t xml:space="preserve"> and even IgG and E anti-hyaluronic acid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I have 8 patients with adverse reactions to injectable hyaluronic acid, which after several tests, may be allergic to those products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Micheels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P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2001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1. Consistent with hyaluronic acid 2. Consistent with calcium hydroxyapatite 3. Consistent with Poly-L-lactic acid 4. Consistent with polyacrylamide gel 5. </w:t>
            </w:r>
            <w:r w:rsidRPr="00405CA6">
              <w:rPr>
                <w:bCs/>
                <w:sz w:val="19"/>
                <w:szCs w:val="19"/>
              </w:rPr>
              <w:t xml:space="preserve">Consistent </w:t>
            </w:r>
            <w:proofErr w:type="spellStart"/>
            <w:r w:rsidRPr="00405CA6">
              <w:rPr>
                <w:bCs/>
                <w:sz w:val="19"/>
                <w:szCs w:val="19"/>
              </w:rPr>
              <w:t>with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liquid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Granuloma's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Microscope + HE-stain, infrared spectrometer, Raman spectrometer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With the help of spectrometric analysis, we were able to correlate the histopathologic presentations with the specific</w:t>
            </w:r>
          </w:p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type of dermal filler used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Different histopathologic presentations of dermal filler foreign body reactions can be correlated with the specific type of dermal filler used.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US" w:eastAsia="nl-NL"/>
              </w:rPr>
              <w:t>Owosho</w:t>
            </w:r>
            <w:proofErr w:type="spellEnd"/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, A </w:t>
            </w: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>2014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Granuloma's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HE-</w:t>
            </w:r>
            <w:proofErr w:type="spellStart"/>
            <w:r w:rsidRPr="00405CA6">
              <w:rPr>
                <w:bCs/>
                <w:sz w:val="19"/>
                <w:szCs w:val="19"/>
              </w:rPr>
              <w:t>stain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Bioplastique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granuloma presents with irregularly shaped cystic spaces of varying size containing jagged, translucent, no birefringent foreign bodies.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Artecoll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granuloma shows numerous round vacuoles nearly identical in size and shape enclosing round and sharply circumscribed, translucent,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nonbirefringent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foreign bodies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The distinctive histopathologic findings of each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microimplant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will lead to the correct diagnosis.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Rudolph, C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1999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25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Granuloma's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 6.5 months (2- 36 months)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Polarized light microscope + HE-stain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CD163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The regularly sized mauve-to-gray or beige spherules of CHA measured 20 to 40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μm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. The ovoid, rice-shaped, or spindle-shaped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refractile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structures of PLA measured 50 to 150 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μm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in length and 15 to 35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μm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in width. The granulomas associated with PLA may contain asteroid bodies.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CHA and PLA produce granulomatous inflammation with distinct and readily recognized features.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Shahrabi-Farahani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S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2014</w:t>
            </w:r>
          </w:p>
        </w:tc>
      </w:tr>
      <w:tr w:rsidR="005019A3" w:rsidRPr="00405CA6" w:rsidTr="00641E5F">
        <w:trPr>
          <w:trHeight w:val="80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10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Inflammatory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nodules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 xml:space="preserve">Up </w:t>
            </w:r>
            <w:proofErr w:type="spellStart"/>
            <w:r w:rsidRPr="00405CA6">
              <w:rPr>
                <w:bCs/>
                <w:sz w:val="19"/>
                <w:szCs w:val="19"/>
              </w:rPr>
              <w:t>to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8 </w:t>
            </w:r>
            <w:proofErr w:type="spellStart"/>
            <w:r w:rsidRPr="00405CA6">
              <w:rPr>
                <w:bCs/>
                <w:sz w:val="19"/>
                <w:szCs w:val="19"/>
              </w:rP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 xml:space="preserve">Microscope, </w:t>
            </w:r>
            <w:proofErr w:type="spellStart"/>
            <w:r w:rsidRPr="00405CA6">
              <w:rPr>
                <w:bCs/>
                <w:sz w:val="19"/>
                <w:szCs w:val="19"/>
              </w:rPr>
              <w:t>electron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microscope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None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Multinucleated foreign-body giant cells were found. Epithelioid cells,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macrophages, plasma cells, and a more or less sparse lymphocytic infiltrate were found surrounding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 xml:space="preserve">Inflammatory nodules due to adverse reactions to permanent fillers containing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microparticles</w:t>
            </w:r>
            <w:proofErr w:type="spellEnd"/>
          </w:p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with a hydrophobic surface were treated with good results with a regimen of allopurinol and</w:t>
            </w:r>
          </w:p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intralesional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injections with a mixture of fluorouracil and low-dose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triamcinolon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lastRenderedPageBreak/>
              <w:t>Wiest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L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2009</w:t>
            </w:r>
          </w:p>
        </w:tc>
      </w:tr>
    </w:tbl>
    <w:p w:rsidR="005019A3" w:rsidRPr="00405CA6" w:rsidRDefault="005019A3" w:rsidP="005019A3">
      <w:pPr>
        <w:spacing w:after="0" w:line="480" w:lineRule="auto"/>
        <w:rPr>
          <w:rFonts w:ascii="Times New Roman" w:hAnsi="Times New Roman"/>
          <w:szCs w:val="20"/>
          <w:lang w:val="en-GB"/>
        </w:rPr>
      </w:pPr>
      <w:r w:rsidRPr="00405CA6">
        <w:rPr>
          <w:rFonts w:ascii="Times New Roman" w:hAnsi="Times New Roman"/>
          <w:szCs w:val="20"/>
          <w:lang w:val="en-GB"/>
        </w:rPr>
        <w:t>*Biopsies</w:t>
      </w: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20"/>
          <w:szCs w:val="20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D90FF1" w:rsidP="005019A3">
      <w:pPr>
        <w:spacing w:after="0"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7</w:t>
      </w:r>
      <w:r w:rsidR="005019A3" w:rsidRPr="00405CA6">
        <w:rPr>
          <w:rFonts w:ascii="Times New Roman" w:hAnsi="Times New Roman"/>
          <w:b/>
          <w:lang w:val="en-US"/>
        </w:rPr>
        <w:t xml:space="preserve">. </w:t>
      </w:r>
      <w:r w:rsidR="005019A3" w:rsidRPr="00405CA6">
        <w:rPr>
          <w:rFonts w:ascii="Times New Roman" w:hAnsi="Times New Roman"/>
          <w:lang w:val="en-US"/>
        </w:rPr>
        <w:t xml:space="preserve">Human and animal studies, bacterial contamination found in </w:t>
      </w:r>
      <w:bookmarkStart w:id="0" w:name="_GoBack"/>
      <w:r w:rsidR="00A035DB" w:rsidRPr="00A035DB">
        <w:rPr>
          <w:rFonts w:ascii="Times New Roman" w:hAnsi="Times New Roman"/>
          <w:bCs/>
          <w:color w:val="FF0000"/>
          <w:lang w:val="en-US"/>
        </w:rPr>
        <w:t>dermal implant</w:t>
      </w:r>
      <w:r w:rsidR="005019A3" w:rsidRPr="00A035DB">
        <w:rPr>
          <w:rFonts w:ascii="Times New Roman" w:hAnsi="Times New Roman"/>
          <w:bCs/>
          <w:color w:val="FF0000"/>
          <w:lang w:val="en-US"/>
        </w:rPr>
        <w:t xml:space="preserve"> </w:t>
      </w:r>
      <w:bookmarkEnd w:id="0"/>
      <w:r w:rsidR="005019A3" w:rsidRPr="00405CA6">
        <w:rPr>
          <w:rFonts w:ascii="Times New Roman" w:hAnsi="Times New Roman"/>
          <w:bCs/>
          <w:lang w:val="en-US"/>
        </w:rPr>
        <w:t>material or adjacent tissue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7"/>
        <w:gridCol w:w="455"/>
        <w:gridCol w:w="1417"/>
        <w:gridCol w:w="1418"/>
        <w:gridCol w:w="1559"/>
        <w:gridCol w:w="1559"/>
        <w:gridCol w:w="2553"/>
        <w:gridCol w:w="2268"/>
        <w:gridCol w:w="1134"/>
      </w:tblGrid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Groups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Primary indication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Type of complication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Follow-up/ implant duration</w:t>
            </w:r>
            <w:r w:rsidRPr="00405CA6">
              <w:rPr>
                <w:b/>
                <w:sz w:val="19"/>
                <w:szCs w:val="19"/>
                <w:lang w:val="en-US"/>
              </w:rPr>
              <w:br/>
              <w:t>Mean (range)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Microbiological detection method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Results</w:t>
            </w:r>
            <w:r w:rsidRPr="00405CA6">
              <w:rPr>
                <w:b/>
                <w:sz w:val="19"/>
                <w:szCs w:val="19"/>
                <w:lang w:val="en-US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Conclusion</w:t>
            </w:r>
            <w:r w:rsidRPr="00405CA6">
              <w:rPr>
                <w:b/>
                <w:sz w:val="19"/>
                <w:szCs w:val="19"/>
                <w:lang w:val="en-US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Author, year of publication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No groups 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Intermediate or late onset side effects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65 months (6-114 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microorganisms were observed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 regarding microbiology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Alijotas-Reig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J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>et al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. 2012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r w:rsidRPr="00405CA6">
              <w:rPr>
                <w:sz w:val="19"/>
                <w:szCs w:val="19"/>
              </w:rPr>
              <w:t xml:space="preserve">No </w:t>
            </w:r>
            <w:proofErr w:type="spellStart"/>
            <w:r w:rsidRPr="00405CA6">
              <w:rPr>
                <w:sz w:val="19"/>
                <w:szCs w:val="19"/>
              </w:rPr>
              <w:t>groups</w:t>
            </w:r>
            <w:proofErr w:type="spellEnd"/>
            <w:r w:rsidRPr="00405CA6">
              <w:rPr>
                <w:sz w:val="19"/>
                <w:szCs w:val="19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r w:rsidRPr="00405CA6">
              <w:rPr>
                <w:sz w:val="19"/>
                <w:szCs w:val="19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  <w:r w:rsidRPr="00405CA6">
              <w:rPr>
                <w:sz w:val="19"/>
                <w:szCs w:val="19"/>
              </w:rPr>
              <w:t xml:space="preserve"> (5 </w:t>
            </w:r>
            <w:proofErr w:type="spellStart"/>
            <w:r w:rsidRPr="00405CA6">
              <w:rPr>
                <w:sz w:val="19"/>
                <w:szCs w:val="19"/>
              </w:rPr>
              <w:t>months</w:t>
            </w:r>
            <w:proofErr w:type="spellEnd"/>
            <w:r w:rsidRPr="00405CA6">
              <w:rPr>
                <w:sz w:val="19"/>
                <w:szCs w:val="19"/>
              </w:rPr>
              <w:t xml:space="preserve"> - 2.5 </w:t>
            </w:r>
            <w:proofErr w:type="spellStart"/>
            <w:r w:rsidRPr="00405CA6">
              <w:rPr>
                <w:sz w:val="19"/>
                <w:szCs w:val="19"/>
              </w:rPr>
              <w:t>years</w:t>
            </w:r>
            <w:proofErr w:type="spellEnd"/>
            <w:r w:rsidRPr="00405CA6">
              <w:rPr>
                <w:sz w:val="19"/>
                <w:szCs w:val="19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Light microscope + epi-fluorescence microscope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Bacteria were found in filler lesions, lying in clusters. The vast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majority of bacteria were cocci. We also performed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PNA FISH with a PNA probe targeting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coagulasenegative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staphylococci, because these bacteria have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been found to be common in infections with solid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>implants,6 but only one of the biopsies was positive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for these bacteria.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 xml:space="preserve">Extreme care must be taken when injecting a permanent filler.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Profylactic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antibiotics are recommended.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GB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GB" w:eastAsia="nl-NL"/>
              </w:rPr>
              <w:t>Bjarnsholt</w:t>
            </w:r>
            <w:proofErr w:type="spellEnd"/>
            <w:r w:rsidRPr="00405CA6">
              <w:rPr>
                <w:rFonts w:cs="Arial"/>
                <w:sz w:val="19"/>
                <w:szCs w:val="19"/>
                <w:lang w:val="en-GB" w:eastAsia="nl-NL"/>
              </w:rPr>
              <w:t xml:space="preserve">, T </w:t>
            </w:r>
            <w:r w:rsidRPr="00405CA6">
              <w:rPr>
                <w:rFonts w:cs="Arial"/>
                <w:i/>
                <w:sz w:val="19"/>
                <w:szCs w:val="19"/>
                <w:lang w:val="en-GB"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val="en-GB" w:eastAsia="nl-NL"/>
              </w:rPr>
              <w:t>2009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Grade 1 (n=13), grade 2 (n=19), grade 3 (n=21), grade 4 (n=6), control (n=28)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Unknown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492 days (9-2161 days)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Confocal laser scanning microscopy, FISH-analyses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A significant increase in the incidence of Staphylococcus epidermidis was detected in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the control group (P=0.000) compared to the study group. The study group showed a significantly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higher incidence of Staphylococcus aureus (P=0.005),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Klebsiella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pneumoniae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(P=0.006),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sz w:val="19"/>
                <w:szCs w:val="19"/>
                <w:lang w:val="en-US"/>
              </w:rPr>
              <w:t>Klebsiella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oxytoca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(P=0.048), and Staphylococcus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haemolyticus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(P=0.048) compared to the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control group.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The bacterial flora on the skin differed in patients with LBI from the control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group. The control group’s bacterial skin flora was dominated by S. epidermidis. Patients with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LBI had a bacterial skin flora dominated by potentially pathogenic bacteria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Christensen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L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>et al.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 2013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No groups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33*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7 days - 3 years (mean 14 days for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Aquamid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>), others 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Culture swab and PCR/DNA cloning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Yes in all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Aquamid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patients, in 1 out of 2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Dermalive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patients, none of the New-Fill patients.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Both intermediate and long-term adverse reactions are caused by a bacterial low-grade infection, and inherent characteristics of the implant determine the development of associated fibrosis.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Christensen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L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2005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Esthetic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Low-grade inflammation or abscess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38 months 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(1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mo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>- 10 years)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Cultures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A3" w:rsidRPr="00405CA6" w:rsidRDefault="005019A3" w:rsidP="00641E5F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inorHAnsi" w:hAnsiTheme="minorHAnsi"/>
                <w:sz w:val="19"/>
                <w:szCs w:val="19"/>
                <w:lang w:val="en-US"/>
              </w:rPr>
            </w:pPr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 xml:space="preserve">Positive cultures identified Staphylococcus aureus (n = 13) as the predominant pathogen, followed by </w:t>
            </w:r>
            <w:proofErr w:type="spellStart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>Enterobacter</w:t>
            </w:r>
            <w:proofErr w:type="spellEnd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>aerogenes</w:t>
            </w:r>
            <w:proofErr w:type="spellEnd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 xml:space="preserve"> (n = 2), Streptococcus </w:t>
            </w:r>
            <w:proofErr w:type="spellStart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>sanguinis</w:t>
            </w:r>
            <w:proofErr w:type="spellEnd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 xml:space="preserve"> (n = 1), Pseudomonas aeruginosa (n = 1), Escherichia coli (n = 1), and Streptococcus </w:t>
            </w:r>
            <w:proofErr w:type="spellStart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>agalactiae</w:t>
            </w:r>
            <w:proofErr w:type="spellEnd"/>
            <w:r w:rsidRPr="00405CA6">
              <w:rPr>
                <w:rFonts w:asciiTheme="minorHAnsi" w:hAnsiTheme="minorHAnsi"/>
                <w:sz w:val="19"/>
                <w:szCs w:val="19"/>
                <w:lang w:val="en-US"/>
              </w:rPr>
              <w:t xml:space="preserve"> (n = 1).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A3" w:rsidRPr="00405CA6" w:rsidRDefault="005019A3" w:rsidP="00641E5F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inorHAnsi" w:hAnsiTheme="minorHAnsi" w:cs="AdvPSSAB-R"/>
                <w:sz w:val="19"/>
                <w:szCs w:val="19"/>
                <w:lang w:val="en-US"/>
              </w:rPr>
            </w:pPr>
            <w:r w:rsidRPr="00405CA6">
              <w:rPr>
                <w:rFonts w:asciiTheme="minorHAnsi" w:hAnsiTheme="minorHAnsi" w:cs="AdvPSSAB-R"/>
                <w:sz w:val="19"/>
                <w:szCs w:val="19"/>
                <w:lang w:val="en-US"/>
              </w:rPr>
              <w:t>The possibility of bact</w:t>
            </w:r>
            <w:r w:rsidRPr="00405CA6">
              <w:rPr>
                <w:rFonts w:cs="AdvPSSAB-R"/>
                <w:sz w:val="19"/>
                <w:szCs w:val="19"/>
                <w:lang w:val="en-US"/>
              </w:rPr>
              <w:t xml:space="preserve">erial contamination of a filler </w:t>
            </w:r>
            <w:r w:rsidRPr="00405CA6">
              <w:rPr>
                <w:rFonts w:asciiTheme="minorHAnsi" w:hAnsiTheme="minorHAnsi" w:cs="AdvPSSAB-R"/>
                <w:sz w:val="19"/>
                <w:szCs w:val="19"/>
                <w:lang w:val="en-US"/>
              </w:rPr>
              <w:t>depot during an inv</w:t>
            </w:r>
            <w:r w:rsidRPr="00405CA6">
              <w:rPr>
                <w:rFonts w:cs="AdvPSSAB-R"/>
                <w:sz w:val="19"/>
                <w:szCs w:val="19"/>
                <w:lang w:val="en-US"/>
              </w:rPr>
              <w:t xml:space="preserve">asive treatment poses a problem </w:t>
            </w:r>
            <w:r w:rsidRPr="00405CA6">
              <w:rPr>
                <w:rFonts w:asciiTheme="minorHAnsi" w:hAnsiTheme="minorHAnsi" w:cs="AdvPSSAB-R"/>
                <w:sz w:val="19"/>
                <w:szCs w:val="19"/>
                <w:lang w:val="en-US"/>
              </w:rPr>
              <w:t>for the use of permanent fillers.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US" w:eastAsia="nl-NL"/>
              </w:rPr>
              <w:t>Kadouch</w:t>
            </w:r>
            <w:proofErr w:type="spellEnd"/>
            <w:r w:rsidRPr="00405CA6">
              <w:rPr>
                <w:rFonts w:cs="Arial"/>
                <w:sz w:val="19"/>
                <w:szCs w:val="19"/>
                <w:lang w:val="en-US" w:eastAsia="nl-NL"/>
              </w:rPr>
              <w:t>, J</w:t>
            </w: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 xml:space="preserve"> et al. 2013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val="en-US" w:eastAsia="nl-NL"/>
              </w:rPr>
            </w:pP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 xml:space="preserve">1: Complication group (n= 10 patients, n= 40 swabs), 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2: Healthy control group (n=17 patients, n= 51 swabs)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Esthetic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Late bacterial infections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5.2 months 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(1-18 months)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Culture swab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Columbia/ mannitol salt/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MacConkey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>/ chocolate/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Schaedler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agar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A significant increase in the incidence of Staphylococcus epidermidis was detected in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the control group (P=0.000) compared to the study group. The study group showed a significantly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higher incidence of Staphylococcus aureus (P=0.005),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Klebsiella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pneumoniae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(P=0.006),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sz w:val="19"/>
                <w:szCs w:val="19"/>
                <w:lang w:val="en-US"/>
              </w:rPr>
              <w:t>Klebsiella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oxytoca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(P=0.048), and Staphylococcus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haemolyticus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(P=0.048) compared to the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control group.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The bacterial flora on the skin differed in patients with LBI from the control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group. The control group’s bacterial skin flora was dominated by S. epidermidis. Patients with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LBI had a bacterial skin flora dominated by potentially pathogenic bacteria.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US" w:eastAsia="nl-NL"/>
              </w:rPr>
              <w:t>Netsvyetayeva</w:t>
            </w:r>
            <w:proofErr w:type="spellEnd"/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, I </w:t>
            </w: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>et al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>. 2018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No groups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Culture and PCR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Microbiome analysis detected a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 xml:space="preserve">predominance of Pseudomonas, Staphylococcus, and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Propionibacterium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as present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in these samples.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>Biofilm appears to be associated with high numbers in clinical samples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>of patients presenting with chronic granulomatous inflammation.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US" w:eastAsia="nl-NL"/>
              </w:rPr>
              <w:lastRenderedPageBreak/>
              <w:t>Saththianathan</w:t>
            </w:r>
            <w:proofErr w:type="spellEnd"/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, M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>2017</w:t>
            </w:r>
          </w:p>
        </w:tc>
      </w:tr>
      <w:tr w:rsidR="005019A3" w:rsidRPr="00405CA6" w:rsidTr="00641E5F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No groups 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Up to 8 years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No microorganisms were observed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 regarding microbiology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Wiest, L 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 xml:space="preserve">et al. 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>2009</w:t>
            </w:r>
          </w:p>
        </w:tc>
      </w:tr>
    </w:tbl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5019A3" w:rsidP="005019A3">
      <w:pPr>
        <w:tabs>
          <w:tab w:val="left" w:pos="5852"/>
        </w:tabs>
        <w:spacing w:after="0" w:line="480" w:lineRule="auto"/>
        <w:rPr>
          <w:rFonts w:ascii="Times New Roman" w:hAnsi="Times New Roman"/>
          <w:b/>
          <w:lang w:val="en-US"/>
        </w:rPr>
      </w:pPr>
    </w:p>
    <w:p w:rsidR="005019A3" w:rsidRPr="00405CA6" w:rsidRDefault="00D90FF1" w:rsidP="005019A3">
      <w:pPr>
        <w:spacing w:after="0"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8</w:t>
      </w:r>
      <w:r w:rsidR="005019A3" w:rsidRPr="00405CA6">
        <w:rPr>
          <w:rFonts w:ascii="Times New Roman" w:hAnsi="Times New Roman"/>
          <w:b/>
          <w:lang w:val="en-US"/>
        </w:rPr>
        <w:t xml:space="preserve">a. </w:t>
      </w:r>
      <w:r w:rsidR="005019A3" w:rsidRPr="00405CA6">
        <w:rPr>
          <w:rFonts w:ascii="Times New Roman" w:hAnsi="Times New Roman"/>
          <w:lang w:val="en-US"/>
        </w:rPr>
        <w:t xml:space="preserve">Human and animal studies, anti-inflammatory therapy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4"/>
        <w:gridCol w:w="539"/>
        <w:gridCol w:w="1559"/>
        <w:gridCol w:w="1196"/>
        <w:gridCol w:w="1276"/>
        <w:gridCol w:w="2206"/>
        <w:gridCol w:w="2978"/>
        <w:gridCol w:w="1730"/>
        <w:gridCol w:w="992"/>
      </w:tblGrid>
      <w:tr w:rsidR="005019A3" w:rsidRPr="00405CA6" w:rsidTr="00641E5F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 xml:space="preserve">Groups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Primary indication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Type of complication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Follow-up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Mean (range)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 xml:space="preserve">Anti-inflammatory drug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Results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Conclusion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Author, year of publication</w:t>
            </w:r>
          </w:p>
        </w:tc>
      </w:tr>
      <w:tr w:rsidR="005019A3" w:rsidRPr="00405CA6" w:rsidTr="00641E5F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No groups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GB" w:eastAsia="nl-NL"/>
              </w:rPr>
            </w:pPr>
            <w:r w:rsidRPr="00405CA6">
              <w:rPr>
                <w:rFonts w:cs="Arial"/>
                <w:sz w:val="19"/>
                <w:szCs w:val="19"/>
                <w:lang w:val="en-GB" w:eastAsia="nl-NL"/>
              </w:rPr>
              <w:t xml:space="preserve">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Intermediate or late onset side effects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65 months (6-114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mo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>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Tacrolumus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(up to 0.08/0.1 mg/kg)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Clinical response was good and achieved promptly, usually within 1 to 2 weeks.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According to our results,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tracrolimus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seems to be an effective drug in the medical management of late-onset, inflammatory, immune-mediated adverse effects related to SFI that are refractory to usual therapy, that is,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nonresponders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, even when they have been </w:t>
            </w:r>
            <w:r w:rsidRPr="00405CA6">
              <w:rPr>
                <w:bCs/>
                <w:sz w:val="19"/>
                <w:szCs w:val="19"/>
                <w:lang w:val="en-US"/>
              </w:rPr>
              <w:lastRenderedPageBreak/>
              <w:t>administered together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lastRenderedPageBreak/>
              <w:t>Alijotas-Reig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J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>et al</w:t>
            </w:r>
            <w:r w:rsidRPr="00405CA6">
              <w:rPr>
                <w:rFonts w:cs="Arial"/>
                <w:sz w:val="19"/>
                <w:szCs w:val="19"/>
                <w:lang w:eastAsia="nl-NL"/>
              </w:rPr>
              <w:t>. 2012</w:t>
            </w:r>
          </w:p>
        </w:tc>
      </w:tr>
      <w:tr w:rsidR="005019A3" w:rsidRPr="00405CA6" w:rsidTr="00641E5F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Complication groups: acute (&lt;6 months) vs chronic (&gt;6 months)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GB" w:eastAsia="nl-NL"/>
              </w:rPr>
            </w:pPr>
            <w:r w:rsidRPr="00405CA6">
              <w:rPr>
                <w:rFonts w:cs="Arial"/>
                <w:sz w:val="19"/>
                <w:szCs w:val="19"/>
                <w:lang w:val="en-GB" w:eastAsia="nl-NL"/>
              </w:rPr>
              <w:t xml:space="preserve">96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Acute/late complications/ abscess/ hardened nodules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Unknown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s-ES"/>
              </w:rPr>
            </w:pPr>
            <w:r w:rsidRPr="00405CA6">
              <w:rPr>
                <w:bCs/>
                <w:sz w:val="19"/>
                <w:szCs w:val="19"/>
                <w:lang w:val="es-ES"/>
              </w:rPr>
              <w:t xml:space="preserve">Local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corticosteroid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injection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s-E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These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patients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reported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an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initial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recovery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with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</w:t>
            </w:r>
            <w:proofErr w:type="spellEnd"/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s-E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softening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of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compromised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region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but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after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a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few</w:t>
            </w:r>
            <w:proofErr w:type="spellEnd"/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s-E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months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nodule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became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harder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and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skin of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region</w:t>
            </w:r>
            <w:proofErr w:type="spellEnd"/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s-E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where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the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product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had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been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injected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turned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whitish</w:t>
            </w:r>
            <w:proofErr w:type="spellEnd"/>
            <w:r w:rsidRPr="00405CA6">
              <w:rPr>
                <w:bCs/>
                <w:sz w:val="19"/>
                <w:szCs w:val="19"/>
                <w:lang w:val="es-ES"/>
              </w:rPr>
              <w:t xml:space="preserve"> and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s-ES"/>
              </w:rPr>
            </w:pPr>
            <w:proofErr w:type="spellStart"/>
            <w:r w:rsidRPr="00405CA6">
              <w:rPr>
                <w:bCs/>
                <w:sz w:val="19"/>
                <w:szCs w:val="19"/>
                <w:lang w:val="es-ES"/>
              </w:rPr>
              <w:t>depressed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Complications are related to an inflammatory process that, in the late phase, produces hardened nodules.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de Melo </w:t>
            </w: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Carpaneda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>, E et al.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>2012</w:t>
            </w:r>
          </w:p>
        </w:tc>
      </w:tr>
      <w:tr w:rsidR="005019A3" w:rsidRPr="00405CA6" w:rsidTr="00641E5F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1: prophylactic AB treatment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8 mice + 8 control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2: AB treatment post-surgery  8 mice + 8 control.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 xml:space="preserve">3: Triamcinolone treatment post-surgery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8 mice + 8 control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GB" w:eastAsia="nl-NL"/>
              </w:rPr>
            </w:pPr>
            <w:r w:rsidRPr="00405CA6">
              <w:rPr>
                <w:rFonts w:cs="Arial"/>
                <w:sz w:val="19"/>
                <w:szCs w:val="19"/>
                <w:lang w:val="en-GB" w:eastAsia="nl-NL"/>
              </w:rPr>
              <w:lastRenderedPageBreak/>
              <w:t xml:space="preserve">48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Experiment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r w:rsidRPr="00405CA6">
              <w:rPr>
                <w:bCs/>
                <w:sz w:val="19"/>
                <w:szCs w:val="19"/>
              </w:rPr>
              <w:t xml:space="preserve">0 </w:t>
            </w:r>
            <w:proofErr w:type="spellStart"/>
            <w:r w:rsidRPr="00405CA6">
              <w:rPr>
                <w:bCs/>
                <w:sz w:val="19"/>
                <w:szCs w:val="19"/>
              </w:rPr>
              <w:t>hours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- 7 </w:t>
            </w:r>
            <w:proofErr w:type="spellStart"/>
            <w:r w:rsidRPr="00405CA6">
              <w:rPr>
                <w:bCs/>
                <w:sz w:val="19"/>
                <w:szCs w:val="19"/>
              </w:rPr>
              <w:t>days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Triamcinolone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Acetonide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Evaluation of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>treatment strategies showed that once the bacteria had settled (into biofilms) within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the gels, even successive treatments with high concentrations of relevant antibiotics/ corticosteroids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</w:rPr>
            </w:pPr>
            <w:proofErr w:type="spellStart"/>
            <w:r w:rsidRPr="00405CA6">
              <w:rPr>
                <w:bCs/>
                <w:sz w:val="19"/>
                <w:szCs w:val="19"/>
              </w:rPr>
              <w:t>were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not</w:t>
            </w:r>
            <w:proofErr w:type="spellEnd"/>
            <w:r w:rsidRPr="00405CA6">
              <w:rPr>
                <w:bCs/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bCs/>
                <w:sz w:val="19"/>
                <w:szCs w:val="19"/>
              </w:rPr>
              <w:t>effective</w:t>
            </w:r>
            <w:proofErr w:type="spellEnd"/>
            <w:r w:rsidRPr="00405CA6">
              <w:rPr>
                <w:bCs/>
                <w:sz w:val="19"/>
                <w:szCs w:val="19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Cs/>
                <w:sz w:val="19"/>
                <w:szCs w:val="19"/>
                <w:lang w:val="en-US"/>
              </w:rPr>
            </w:pPr>
            <w:r w:rsidRPr="00405CA6">
              <w:rPr>
                <w:bCs/>
                <w:sz w:val="19"/>
                <w:szCs w:val="19"/>
                <w:lang w:val="en-US"/>
              </w:rPr>
              <w:t xml:space="preserve">Treatment with AB and/or steroids do not have effects. However, </w:t>
            </w:r>
            <w:proofErr w:type="spellStart"/>
            <w:r w:rsidRPr="00405CA6">
              <w:rPr>
                <w:bCs/>
                <w:sz w:val="19"/>
                <w:szCs w:val="19"/>
                <w:lang w:val="en-US"/>
              </w:rPr>
              <w:t>profylactic</w:t>
            </w:r>
            <w:proofErr w:type="spellEnd"/>
            <w:r w:rsidRPr="00405CA6">
              <w:rPr>
                <w:bCs/>
                <w:sz w:val="19"/>
                <w:szCs w:val="19"/>
                <w:lang w:val="en-US"/>
              </w:rPr>
              <w:t xml:space="preserve"> use seems to have effect.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i/>
                <w:sz w:val="19"/>
                <w:szCs w:val="19"/>
                <w:lang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eastAsia="nl-NL"/>
              </w:rPr>
              <w:t>Alhede</w:t>
            </w:r>
            <w:proofErr w:type="spellEnd"/>
            <w:r w:rsidRPr="00405CA6">
              <w:rPr>
                <w:rFonts w:cs="Arial"/>
                <w:sz w:val="19"/>
                <w:szCs w:val="19"/>
                <w:lang w:eastAsia="nl-NL"/>
              </w:rPr>
              <w:t xml:space="preserve">, M </w:t>
            </w:r>
            <w:r w:rsidRPr="00405CA6">
              <w:rPr>
                <w:rFonts w:cs="Arial"/>
                <w:i/>
                <w:sz w:val="19"/>
                <w:szCs w:val="19"/>
                <w:lang w:eastAsia="nl-NL"/>
              </w:rPr>
              <w:t>et al.</w:t>
            </w:r>
          </w:p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eastAsia="nl-NL"/>
              </w:rPr>
            </w:pPr>
            <w:r w:rsidRPr="00405CA6">
              <w:rPr>
                <w:rFonts w:cs="Arial"/>
                <w:sz w:val="19"/>
                <w:szCs w:val="19"/>
                <w:lang w:eastAsia="nl-NL"/>
              </w:rPr>
              <w:t>2014</w:t>
            </w:r>
          </w:p>
        </w:tc>
      </w:tr>
    </w:tbl>
    <w:p w:rsidR="005019A3" w:rsidRPr="00405CA6" w:rsidRDefault="005019A3" w:rsidP="005019A3">
      <w:pPr>
        <w:spacing w:after="0" w:line="480" w:lineRule="auto"/>
        <w:rPr>
          <w:rFonts w:ascii="Times New Roman" w:hAnsi="Times New Roman"/>
        </w:rPr>
      </w:pPr>
      <w:r w:rsidRPr="00405CA6">
        <w:rPr>
          <w:rFonts w:ascii="Times New Roman" w:hAnsi="Times New Roman"/>
        </w:rPr>
        <w:t>*Biopsies</w:t>
      </w: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5019A3" w:rsidP="005019A3">
      <w:pPr>
        <w:spacing w:after="0" w:line="480" w:lineRule="auto"/>
        <w:rPr>
          <w:rFonts w:ascii="Times New Roman" w:hAnsi="Times New Roman"/>
          <w:b/>
        </w:rPr>
      </w:pPr>
    </w:p>
    <w:p w:rsidR="005019A3" w:rsidRPr="00405CA6" w:rsidRDefault="00D90FF1" w:rsidP="005019A3">
      <w:pPr>
        <w:tabs>
          <w:tab w:val="left" w:pos="5852"/>
        </w:tabs>
        <w:spacing w:after="0" w:line="480" w:lineRule="auto"/>
        <w:rPr>
          <w:sz w:val="19"/>
          <w:szCs w:val="19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8</w:t>
      </w:r>
      <w:r w:rsidR="005019A3" w:rsidRPr="00405CA6">
        <w:rPr>
          <w:rFonts w:ascii="Times New Roman" w:hAnsi="Times New Roman"/>
          <w:b/>
          <w:lang w:val="en-US"/>
        </w:rPr>
        <w:t xml:space="preserve">b. </w:t>
      </w:r>
      <w:r w:rsidR="005019A3" w:rsidRPr="00405CA6">
        <w:rPr>
          <w:rFonts w:ascii="Times New Roman" w:hAnsi="Times New Roman"/>
          <w:lang w:val="en-US"/>
        </w:rPr>
        <w:t>Human and animal studies, type of systemic antibiotics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2"/>
        <w:gridCol w:w="680"/>
        <w:gridCol w:w="1275"/>
        <w:gridCol w:w="2267"/>
        <w:gridCol w:w="2267"/>
        <w:gridCol w:w="1558"/>
        <w:gridCol w:w="2437"/>
        <w:gridCol w:w="1281"/>
        <w:gridCol w:w="1134"/>
      </w:tblGrid>
      <w:tr w:rsidR="005019A3" w:rsidRPr="00405CA6" w:rsidTr="00641E5F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Groups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Primary indication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Type of complication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Antibiotics/ antimicrobial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Follow-up</w:t>
            </w:r>
            <w:r w:rsidRPr="00405CA6">
              <w:rPr>
                <w:b/>
                <w:sz w:val="19"/>
                <w:szCs w:val="19"/>
                <w:lang w:val="en-US"/>
              </w:rPr>
              <w:br/>
              <w:t xml:space="preserve">Mean (range)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Results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Conclusion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b/>
                <w:sz w:val="19"/>
                <w:szCs w:val="19"/>
                <w:lang w:val="en-US"/>
              </w:rPr>
            </w:pPr>
            <w:r w:rsidRPr="00405CA6">
              <w:rPr>
                <w:b/>
                <w:sz w:val="19"/>
                <w:szCs w:val="19"/>
                <w:lang w:val="en-US"/>
              </w:rPr>
              <w:t>Author, year of publication</w:t>
            </w:r>
          </w:p>
        </w:tc>
      </w:tr>
      <w:tr w:rsidR="005019A3" w:rsidRPr="00405CA6" w:rsidTr="00641E5F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</w:rPr>
              <w:t xml:space="preserve">No </w:t>
            </w:r>
            <w:proofErr w:type="spellStart"/>
            <w:r w:rsidRPr="00405CA6">
              <w:rPr>
                <w:sz w:val="19"/>
                <w:szCs w:val="19"/>
              </w:rPr>
              <w:t>groups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r w:rsidRPr="00405CA6">
              <w:rPr>
                <w:sz w:val="19"/>
                <w:szCs w:val="19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penicillin</w:t>
            </w:r>
            <w:proofErr w:type="spellEnd"/>
            <w:r w:rsidRPr="00405CA6">
              <w:rPr>
                <w:sz w:val="19"/>
                <w:szCs w:val="19"/>
              </w:rPr>
              <w:t xml:space="preserve">, </w:t>
            </w:r>
            <w:proofErr w:type="spellStart"/>
            <w:r w:rsidRPr="00405CA6">
              <w:rPr>
                <w:sz w:val="19"/>
                <w:szCs w:val="19"/>
              </w:rPr>
              <w:t>fluoroquinolone</w:t>
            </w:r>
            <w:proofErr w:type="spellEnd"/>
            <w:r w:rsidRPr="00405CA6">
              <w:rPr>
                <w:sz w:val="19"/>
                <w:szCs w:val="19"/>
              </w:rPr>
              <w:t xml:space="preserve">, </w:t>
            </w:r>
            <w:proofErr w:type="spellStart"/>
            <w:r w:rsidRPr="00405CA6">
              <w:rPr>
                <w:sz w:val="19"/>
                <w:szCs w:val="19"/>
              </w:rPr>
              <w:t>cephalosporin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  <w:r w:rsidRPr="00405CA6">
              <w:rPr>
                <w:sz w:val="19"/>
                <w:szCs w:val="19"/>
              </w:rPr>
              <w:t xml:space="preserve"> (5 </w:t>
            </w:r>
            <w:proofErr w:type="spellStart"/>
            <w:r w:rsidRPr="00405CA6">
              <w:rPr>
                <w:sz w:val="19"/>
                <w:szCs w:val="19"/>
              </w:rPr>
              <w:t>months</w:t>
            </w:r>
            <w:proofErr w:type="spellEnd"/>
            <w:r w:rsidRPr="00405CA6">
              <w:rPr>
                <w:sz w:val="19"/>
                <w:szCs w:val="19"/>
              </w:rPr>
              <w:t xml:space="preserve"> - 2.5 </w:t>
            </w:r>
            <w:proofErr w:type="spellStart"/>
            <w:r w:rsidRPr="00405CA6">
              <w:rPr>
                <w:sz w:val="19"/>
                <w:szCs w:val="19"/>
              </w:rPr>
              <w:t>years</w:t>
            </w:r>
            <w:proofErr w:type="spellEnd"/>
            <w:r w:rsidRPr="00405CA6">
              <w:rPr>
                <w:sz w:val="19"/>
                <w:szCs w:val="19"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Unknown regarding antibiotics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Extreme care must be taken when injecting a permanent filler.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Profylactic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antibiotics are recommended.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GB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GB" w:eastAsia="nl-NL"/>
              </w:rPr>
              <w:t>Bjarnsholt</w:t>
            </w:r>
            <w:proofErr w:type="spellEnd"/>
            <w:r w:rsidRPr="00405CA6">
              <w:rPr>
                <w:rFonts w:cs="Arial"/>
                <w:sz w:val="19"/>
                <w:szCs w:val="19"/>
                <w:lang w:val="en-GB" w:eastAsia="nl-NL"/>
              </w:rPr>
              <w:t xml:space="preserve">, T </w:t>
            </w:r>
            <w:r w:rsidRPr="00405CA6">
              <w:rPr>
                <w:rFonts w:cs="Arial"/>
                <w:i/>
                <w:sz w:val="19"/>
                <w:szCs w:val="19"/>
                <w:lang w:val="en-GB" w:eastAsia="nl-NL"/>
              </w:rPr>
              <w:t>et al.</w:t>
            </w:r>
            <w:r w:rsidRPr="00405CA6">
              <w:rPr>
                <w:rFonts w:cs="Arial"/>
                <w:sz w:val="19"/>
                <w:szCs w:val="19"/>
                <w:lang w:val="en-GB" w:eastAsia="nl-NL"/>
              </w:rPr>
              <w:t xml:space="preserve"> 2009</w:t>
            </w:r>
          </w:p>
        </w:tc>
      </w:tr>
      <w:tr w:rsidR="005019A3" w:rsidRPr="00405CA6" w:rsidTr="00641E5F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Group 1: AB first option (n=5). Group 2: AB second option (n=12). </w:t>
            </w:r>
          </w:p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r w:rsidRPr="00405CA6">
              <w:rPr>
                <w:sz w:val="19"/>
                <w:szCs w:val="19"/>
              </w:rPr>
              <w:t xml:space="preserve">Group 3: </w:t>
            </w:r>
            <w:proofErr w:type="spellStart"/>
            <w:r w:rsidRPr="00405CA6">
              <w:rPr>
                <w:sz w:val="19"/>
                <w:szCs w:val="19"/>
              </w:rPr>
              <w:t>other</w:t>
            </w:r>
            <w:proofErr w:type="spellEnd"/>
            <w:r w:rsidRPr="00405CA6">
              <w:rPr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sz w:val="19"/>
                <w:szCs w:val="19"/>
              </w:rPr>
              <w:t>treatments</w:t>
            </w:r>
            <w:proofErr w:type="spellEnd"/>
            <w:r w:rsidRPr="00405CA6">
              <w:rPr>
                <w:sz w:val="19"/>
                <w:szCs w:val="19"/>
              </w:rPr>
              <w:t xml:space="preserve"> (n=5)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r w:rsidRPr="00405CA6">
              <w:rPr>
                <w:sz w:val="19"/>
                <w:szCs w:val="19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proofErr w:type="spellStart"/>
            <w:r w:rsidRPr="00405CA6">
              <w:rPr>
                <w:sz w:val="19"/>
                <w:szCs w:val="19"/>
              </w:rPr>
              <w:t>Unknown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</w:rPr>
            </w:pPr>
            <w:r w:rsidRPr="00405CA6">
              <w:rPr>
                <w:sz w:val="19"/>
                <w:szCs w:val="19"/>
              </w:rPr>
              <w:t xml:space="preserve">Late </w:t>
            </w:r>
            <w:proofErr w:type="spellStart"/>
            <w:r w:rsidRPr="00405CA6">
              <w:rPr>
                <w:sz w:val="19"/>
                <w:szCs w:val="19"/>
              </w:rPr>
              <w:t>bacterial</w:t>
            </w:r>
            <w:proofErr w:type="spellEnd"/>
            <w:r w:rsidRPr="00405CA6">
              <w:rPr>
                <w:sz w:val="19"/>
                <w:szCs w:val="19"/>
              </w:rPr>
              <w:t xml:space="preserve"> </w:t>
            </w:r>
            <w:proofErr w:type="spellStart"/>
            <w:r w:rsidRPr="00405CA6">
              <w:rPr>
                <w:sz w:val="19"/>
                <w:szCs w:val="19"/>
              </w:rPr>
              <w:t>infections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sz w:val="19"/>
                <w:szCs w:val="19"/>
                <w:lang w:val="en-US"/>
              </w:rPr>
              <w:t>Moxifloxacin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(2x400 mg per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os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) and clarithromycin (2x500 mg per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os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3.59 months (1-18 </w:t>
            </w:r>
            <w:proofErr w:type="spellStart"/>
            <w:r w:rsidRPr="00405CA6">
              <w:rPr>
                <w:sz w:val="19"/>
                <w:szCs w:val="19"/>
                <w:lang w:val="en-US"/>
              </w:rPr>
              <w:t>monts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Of the 17 patients cured with the AB scheme, 5 were cured after application of the scheme as the first therapeutic option, whereas for 12 it was applied only after </w:t>
            </w:r>
            <w:r w:rsidRPr="00405CA6">
              <w:rPr>
                <w:sz w:val="19"/>
                <w:szCs w:val="19"/>
                <w:lang w:val="en-US"/>
              </w:rPr>
              <w:lastRenderedPageBreak/>
              <w:t>unsuccessful treatment with other schemes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lastRenderedPageBreak/>
              <w:t xml:space="preserve">The AB scheme is recommended as the first therapeutic option for treating LBI </w:t>
            </w:r>
            <w:r w:rsidRPr="00405CA6">
              <w:rPr>
                <w:sz w:val="19"/>
                <w:szCs w:val="19"/>
                <w:lang w:val="en-US"/>
              </w:rPr>
              <w:lastRenderedPageBreak/>
              <w:t>complications related to soft-tissue fillers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US" w:eastAsia="nl-NL"/>
              </w:rPr>
              <w:lastRenderedPageBreak/>
              <w:t>Marusza</w:t>
            </w:r>
            <w:proofErr w:type="spellEnd"/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, W </w:t>
            </w: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>et al.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 2019</w:t>
            </w:r>
          </w:p>
        </w:tc>
      </w:tr>
      <w:tr w:rsidR="005019A3" w:rsidRPr="00405CA6" w:rsidTr="00641E5F">
        <w:trPr>
          <w:trHeight w:val="20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1: prophylactic AB treatment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8 mice + 8 control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2: AB treatment post-surgery  8 mice + 8 control.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3: Triamcinolone treatment post-surgery 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8 mice + 8 control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 xml:space="preserve">Experimental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n/a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Tobramycin or rifampicin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0 hours- 7 days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Evaluation of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treatment strategies showed that once the bacteria had settled (into biofilms) within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the gels, even successive treatments with high concentrations of relevant antibiotics</w:t>
            </w:r>
          </w:p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proofErr w:type="spellStart"/>
            <w:r w:rsidRPr="00405CA6">
              <w:rPr>
                <w:sz w:val="19"/>
                <w:szCs w:val="19"/>
                <w:lang w:val="en-US"/>
              </w:rPr>
              <w:t>were</w:t>
            </w:r>
            <w:proofErr w:type="spellEnd"/>
            <w:r w:rsidRPr="00405CA6">
              <w:rPr>
                <w:sz w:val="19"/>
                <w:szCs w:val="19"/>
                <w:lang w:val="en-US"/>
              </w:rPr>
              <w:t xml:space="preserve"> not effective.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9A3" w:rsidRPr="00405CA6" w:rsidRDefault="005019A3" w:rsidP="00641E5F">
            <w:pPr>
              <w:pStyle w:val="Geenafstand1"/>
              <w:spacing w:line="480" w:lineRule="auto"/>
              <w:rPr>
                <w:sz w:val="19"/>
                <w:szCs w:val="19"/>
                <w:lang w:val="en-US"/>
              </w:rPr>
            </w:pPr>
            <w:r w:rsidRPr="00405CA6">
              <w:rPr>
                <w:sz w:val="19"/>
                <w:szCs w:val="19"/>
                <w:lang w:val="en-US"/>
              </w:rPr>
              <w:t>Treatment with AB and/or steroids do not have effects. However, prophylactic use seems to have effect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19A3" w:rsidRPr="00405CA6" w:rsidRDefault="005019A3" w:rsidP="00641E5F">
            <w:pPr>
              <w:spacing w:after="0" w:line="480" w:lineRule="auto"/>
              <w:rPr>
                <w:rFonts w:cs="Arial"/>
                <w:sz w:val="19"/>
                <w:szCs w:val="19"/>
                <w:lang w:val="en-US" w:eastAsia="nl-NL"/>
              </w:rPr>
            </w:pPr>
            <w:proofErr w:type="spellStart"/>
            <w:r w:rsidRPr="00405CA6">
              <w:rPr>
                <w:rFonts w:cs="Arial"/>
                <w:sz w:val="19"/>
                <w:szCs w:val="19"/>
                <w:lang w:val="en-US" w:eastAsia="nl-NL"/>
              </w:rPr>
              <w:t>Alhede</w:t>
            </w:r>
            <w:proofErr w:type="spellEnd"/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, M </w:t>
            </w:r>
            <w:r w:rsidRPr="00405CA6">
              <w:rPr>
                <w:rFonts w:cs="Arial"/>
                <w:i/>
                <w:sz w:val="19"/>
                <w:szCs w:val="19"/>
                <w:lang w:val="en-US" w:eastAsia="nl-NL"/>
              </w:rPr>
              <w:t>et al.</w:t>
            </w:r>
            <w:r w:rsidRPr="00405CA6">
              <w:rPr>
                <w:rFonts w:cs="Arial"/>
                <w:sz w:val="19"/>
                <w:szCs w:val="19"/>
                <w:lang w:val="en-US" w:eastAsia="nl-NL"/>
              </w:rPr>
              <w:t xml:space="preserve"> 2014</w:t>
            </w:r>
          </w:p>
        </w:tc>
      </w:tr>
    </w:tbl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5019A3" w:rsidRPr="00405CA6" w:rsidRDefault="005019A3" w:rsidP="005019A3">
      <w:pPr>
        <w:spacing w:after="0" w:line="480" w:lineRule="auto"/>
        <w:rPr>
          <w:sz w:val="19"/>
          <w:szCs w:val="19"/>
          <w:lang w:val="en-US"/>
        </w:rPr>
      </w:pPr>
    </w:p>
    <w:p w:rsidR="00701CB5" w:rsidRDefault="00701CB5"/>
    <w:sectPr w:rsidR="00701CB5" w:rsidSect="005019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dvPSSAB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0F31"/>
    <w:multiLevelType w:val="hybridMultilevel"/>
    <w:tmpl w:val="880CA9C6"/>
    <w:lvl w:ilvl="0" w:tplc="F83845C2">
      <w:start w:val="1"/>
      <w:numFmt w:val="bullet"/>
      <w:lvlText w:val="-"/>
      <w:lvlJc w:val="left"/>
      <w:pPr>
        <w:ind w:left="720" w:hanging="360"/>
      </w:pPr>
      <w:rPr>
        <w:rFonts w:ascii="Arial" w:eastAsia="MS Minngs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6B58"/>
    <w:multiLevelType w:val="hybridMultilevel"/>
    <w:tmpl w:val="C8608D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D47907"/>
    <w:multiLevelType w:val="hybridMultilevel"/>
    <w:tmpl w:val="BEECF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A3"/>
    <w:rsid w:val="000564F1"/>
    <w:rsid w:val="00095E98"/>
    <w:rsid w:val="004D5727"/>
    <w:rsid w:val="005019A3"/>
    <w:rsid w:val="00701CB5"/>
    <w:rsid w:val="009338F2"/>
    <w:rsid w:val="00A035DB"/>
    <w:rsid w:val="00D9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BE47"/>
  <w15:chartTrackingRefBased/>
  <w15:docId w15:val="{A88E6EF7-66C8-4BF7-BEF7-66811AF9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19A3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019A3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019A3"/>
    <w:rPr>
      <w:rFonts w:ascii="Consolas" w:hAnsi="Consolas" w:cs="Consolas"/>
      <w:sz w:val="21"/>
      <w:szCs w:val="21"/>
    </w:rPr>
  </w:style>
  <w:style w:type="paragraph" w:customStyle="1" w:styleId="Geenafstand1">
    <w:name w:val="Geen afstand1"/>
    <w:uiPriority w:val="99"/>
    <w:semiHidden/>
    <w:rsid w:val="005019A3"/>
    <w:pPr>
      <w:spacing w:after="0" w:line="240" w:lineRule="auto"/>
    </w:pPr>
    <w:rPr>
      <w:rFonts w:ascii="Calibri" w:eastAsia="Calibri" w:hAnsi="Calibri" w:cs="Times New Roman"/>
    </w:rPr>
  </w:style>
  <w:style w:type="table" w:styleId="Tabelraster">
    <w:name w:val="Table Grid"/>
    <w:basedOn w:val="Standaardtabel"/>
    <w:uiPriority w:val="59"/>
    <w:rsid w:val="005019A3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9338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2815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Bachour, Y. (Yara)</dc:creator>
  <cp:keywords/>
  <dc:description/>
  <cp:lastModifiedBy>Bachour, Y. (Yara)</cp:lastModifiedBy>
  <cp:revision>7</cp:revision>
  <dcterms:created xsi:type="dcterms:W3CDTF">2020-07-03T00:44:00Z</dcterms:created>
  <dcterms:modified xsi:type="dcterms:W3CDTF">2020-11-30T17:51:00Z</dcterms:modified>
</cp:coreProperties>
</file>