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DCBF2" w14:textId="6C8BBBED" w:rsidR="0021455B" w:rsidRPr="0020708C" w:rsidRDefault="0021455B" w:rsidP="00712D7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0708C">
        <w:rPr>
          <w:rFonts w:ascii="Times New Roman" w:hAnsi="Times New Roman" w:cs="Times New Roman" w:hint="eastAsia"/>
          <w:b/>
          <w:bCs/>
          <w:sz w:val="26"/>
          <w:szCs w:val="26"/>
        </w:rPr>
        <w:t>Supplemental Appendix</w:t>
      </w:r>
    </w:p>
    <w:p w14:paraId="170C8309" w14:textId="05D57502" w:rsidR="0021455B" w:rsidRPr="0020708C" w:rsidRDefault="0021455B" w:rsidP="00712D7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08C">
        <w:rPr>
          <w:rFonts w:ascii="Times New Roman" w:hAnsi="Times New Roman" w:cs="Times New Roman"/>
          <w:b/>
          <w:bCs/>
          <w:sz w:val="24"/>
          <w:szCs w:val="24"/>
        </w:rPr>
        <w:t>Advances of hyaluronic acid nasal injection techniques and Complications: a systematic review</w:t>
      </w:r>
    </w:p>
    <w:p w14:paraId="74CFD22A" w14:textId="77777777" w:rsidR="00712D74" w:rsidRPr="0020708C" w:rsidRDefault="00712D74" w:rsidP="00712D7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3F2979F" w14:textId="35722370" w:rsidR="0021455B" w:rsidRPr="0020708C" w:rsidRDefault="0021455B" w:rsidP="00712D7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0708C">
        <w:rPr>
          <w:rFonts w:ascii="Times New Roman" w:hAnsi="Times New Roman" w:cs="Times New Roman" w:hint="eastAsia"/>
          <w:b/>
          <w:bCs/>
          <w:sz w:val="26"/>
          <w:szCs w:val="26"/>
        </w:rPr>
        <w:t>Contents</w:t>
      </w: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val="zh-CN"/>
        </w:rPr>
        <w:id w:val="83274529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p w14:paraId="522BA9C9" w14:textId="32652547" w:rsidR="0021455B" w:rsidRPr="0020708C" w:rsidRDefault="0021455B" w:rsidP="00712D74">
          <w:pPr>
            <w:pStyle w:val="TOCHeading"/>
            <w:spacing w:before="0"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20708C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Supplementary Tables</w:t>
          </w:r>
        </w:p>
        <w:p w14:paraId="25425CE7" w14:textId="73347E2E" w:rsidR="0021455B" w:rsidRPr="0020708C" w:rsidRDefault="00712D74" w:rsidP="00712D74">
          <w:pPr>
            <w:pStyle w:val="TOC2"/>
            <w:spacing w:line="360" w:lineRule="auto"/>
            <w:ind w:left="216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0708C">
            <w:rPr>
              <w:rFonts w:ascii="Times New Roman" w:hAnsi="Times New Roman"/>
              <w:b/>
              <w:bCs/>
              <w:sz w:val="24"/>
              <w:szCs w:val="24"/>
            </w:rPr>
            <w:t xml:space="preserve">Supplementary Table 1. Excluded-Studies appendix </w:t>
          </w:r>
          <w:r w:rsidR="0021455B" w:rsidRPr="0020708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21455B" w:rsidRPr="0020708C">
            <w:rPr>
              <w:rFonts w:ascii="Times New Roman" w:hAnsi="Times New Roman"/>
              <w:sz w:val="24"/>
              <w:szCs w:val="24"/>
            </w:rPr>
            <w:t>2</w:t>
          </w:r>
        </w:p>
        <w:p w14:paraId="3F98C2F6" w14:textId="0BA238C9" w:rsidR="0021455B" w:rsidRPr="0020708C" w:rsidRDefault="00712D74" w:rsidP="00712D74">
          <w:pPr>
            <w:pStyle w:val="TOC2"/>
            <w:spacing w:line="360" w:lineRule="auto"/>
            <w:ind w:left="216"/>
            <w:rPr>
              <w:rFonts w:ascii="Times New Roman" w:hAnsi="Times New Roman"/>
              <w:sz w:val="24"/>
              <w:szCs w:val="24"/>
            </w:rPr>
          </w:pPr>
          <w:r w:rsidRPr="0020708C">
            <w:rPr>
              <w:rFonts w:ascii="Times New Roman" w:hAnsi="Times New Roman"/>
              <w:b/>
              <w:bCs/>
              <w:sz w:val="24"/>
              <w:szCs w:val="24"/>
            </w:rPr>
            <w:t xml:space="preserve">Supplementary Table 2. Demerit points for risk of bias of the included studies </w:t>
          </w:r>
          <w:r w:rsidR="0021455B" w:rsidRPr="0020708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20708C">
            <w:rPr>
              <w:rFonts w:ascii="Times New Roman" w:hAnsi="Times New Roman" w:hint="eastAsia"/>
              <w:sz w:val="24"/>
              <w:szCs w:val="24"/>
            </w:rPr>
            <w:t>3</w:t>
          </w:r>
        </w:p>
        <w:p w14:paraId="6AD430D4" w14:textId="34A1F328" w:rsidR="0021455B" w:rsidRPr="0020708C" w:rsidRDefault="00712D74" w:rsidP="00712D74">
          <w:pPr>
            <w:pStyle w:val="TOC3"/>
            <w:spacing w:line="360" w:lineRule="auto"/>
            <w:ind w:left="0" w:firstLineChars="100" w:firstLine="241"/>
            <w:rPr>
              <w:rFonts w:ascii="Times New Roman" w:hAnsi="Times New Roman"/>
              <w:sz w:val="24"/>
              <w:szCs w:val="24"/>
            </w:rPr>
          </w:pPr>
          <w:r w:rsidRPr="0020708C">
            <w:rPr>
              <w:rFonts w:ascii="Times New Roman" w:hAnsi="Times New Roman"/>
              <w:b/>
              <w:bCs/>
              <w:sz w:val="24"/>
              <w:szCs w:val="24"/>
            </w:rPr>
            <w:t xml:space="preserve">Supplementary Table 3. Complications reported in case reports </w:t>
          </w:r>
          <w:r w:rsidR="0021455B" w:rsidRPr="0020708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9D0DA0" w:rsidRPr="0020708C">
            <w:rPr>
              <w:rFonts w:ascii="Times New Roman" w:hAnsi="Times New Roman" w:hint="eastAsia"/>
              <w:sz w:val="24"/>
              <w:szCs w:val="24"/>
            </w:rPr>
            <w:t>5</w:t>
          </w:r>
        </w:p>
      </w:sdtContent>
    </w:sdt>
    <w:p w14:paraId="30989507" w14:textId="77777777" w:rsidR="00712D74" w:rsidRPr="0020708C" w:rsidRDefault="00712D74">
      <w:pPr>
        <w:widowControl/>
        <w:jc w:val="left"/>
        <w:rPr>
          <w:rFonts w:ascii="Times New Roman" w:hAnsi="Times New Roman" w:cs="Times New Roman"/>
          <w:b/>
          <w:bCs/>
        </w:rPr>
      </w:pPr>
      <w:r w:rsidRPr="0020708C">
        <w:rPr>
          <w:rFonts w:ascii="Times New Roman" w:hAnsi="Times New Roman" w:cs="Times New Roman"/>
          <w:b/>
          <w:bCs/>
        </w:rPr>
        <w:br w:type="page"/>
      </w:r>
    </w:p>
    <w:p w14:paraId="54C6BCF1" w14:textId="0E5D692D" w:rsidR="0046309B" w:rsidRPr="0020708C" w:rsidRDefault="0046309B" w:rsidP="0046309B">
      <w:pPr>
        <w:rPr>
          <w:rFonts w:ascii="Times New Roman" w:hAnsi="Times New Roman" w:cs="Times New Roman"/>
          <w:b/>
          <w:bCs/>
        </w:rPr>
      </w:pPr>
      <w:r w:rsidRPr="0020708C">
        <w:rPr>
          <w:rFonts w:ascii="Times New Roman" w:hAnsi="Times New Roman" w:cs="Times New Roman" w:hint="eastAsia"/>
          <w:b/>
          <w:bCs/>
        </w:rPr>
        <w:lastRenderedPageBreak/>
        <w:t>Supplement</w:t>
      </w:r>
      <w:r w:rsidR="0021455B" w:rsidRPr="0020708C">
        <w:rPr>
          <w:rFonts w:ascii="Times New Roman" w:hAnsi="Times New Roman" w:cs="Times New Roman" w:hint="eastAsia"/>
          <w:b/>
          <w:bCs/>
        </w:rPr>
        <w:t>ary</w:t>
      </w:r>
      <w:r w:rsidRPr="0020708C">
        <w:rPr>
          <w:rFonts w:ascii="Times New Roman" w:hAnsi="Times New Roman" w:cs="Times New Roman" w:hint="eastAsia"/>
          <w:b/>
          <w:bCs/>
        </w:rPr>
        <w:t xml:space="preserve"> </w:t>
      </w:r>
      <w:r w:rsidRPr="0020708C">
        <w:rPr>
          <w:rFonts w:ascii="Times New Roman" w:hAnsi="Times New Roman" w:cs="Times New Roman"/>
          <w:b/>
          <w:bCs/>
        </w:rPr>
        <w:t>Table</w:t>
      </w:r>
      <w:r w:rsidRPr="0020708C">
        <w:rPr>
          <w:rFonts w:ascii="Times New Roman" w:hAnsi="Times New Roman" w:cs="Times New Roman" w:hint="eastAsia"/>
          <w:b/>
          <w:bCs/>
        </w:rPr>
        <w:t xml:space="preserve"> 1. </w:t>
      </w:r>
      <w:r w:rsidRPr="0020708C">
        <w:rPr>
          <w:rFonts w:ascii="Times New Roman" w:hAnsi="Times New Roman" w:cs="Times New Roman"/>
          <w:b/>
          <w:bCs/>
        </w:rPr>
        <w:t>Excluded-Studies appendix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235"/>
        <w:gridCol w:w="991"/>
        <w:gridCol w:w="2551"/>
        <w:gridCol w:w="1562"/>
        <w:gridCol w:w="3343"/>
      </w:tblGrid>
      <w:tr w:rsidR="0020708C" w:rsidRPr="0020708C" w14:paraId="0564902E" w14:textId="77777777" w:rsidTr="00520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0D3137" w14:textId="53A98FE1" w:rsidR="00097D0D" w:rsidRPr="0020708C" w:rsidRDefault="00097D0D" w:rsidP="00520BE8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 w:hint="eastAsia"/>
              </w:rPr>
              <w:t>Author</w:t>
            </w:r>
          </w:p>
        </w:tc>
        <w:tc>
          <w:tcPr>
            <w:tcW w:w="464" w:type="pct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25E917" w14:textId="7F5A5B42" w:rsidR="00097D0D" w:rsidRPr="0020708C" w:rsidRDefault="00097D0D" w:rsidP="00520B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 w:hint="eastAsia"/>
              </w:rPr>
              <w:t>Year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6BF697" w14:textId="24F07C67" w:rsidR="00097D0D" w:rsidRPr="0020708C" w:rsidRDefault="00097D0D" w:rsidP="00520B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 w:hint="eastAsia"/>
              </w:rPr>
              <w:t>Title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DFD386" w14:textId="57171033" w:rsidR="00097D0D" w:rsidRPr="0020708C" w:rsidRDefault="00097D0D" w:rsidP="00520B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 w:hint="eastAsia"/>
              </w:rPr>
              <w:t>Type of work</w:t>
            </w:r>
          </w:p>
        </w:tc>
        <w:tc>
          <w:tcPr>
            <w:tcW w:w="1565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40C29F42" w14:textId="73CC3522" w:rsidR="00097D0D" w:rsidRPr="0020708C" w:rsidRDefault="00097D0D" w:rsidP="00520B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</w:rPr>
              <w:t>Excluded</w:t>
            </w:r>
            <w:r w:rsidRPr="0020708C">
              <w:rPr>
                <w:rFonts w:ascii="Times New Roman" w:hAnsi="Times New Roman" w:cs="Times New Roman" w:hint="eastAsia"/>
              </w:rPr>
              <w:t xml:space="preserve"> reasons</w:t>
            </w:r>
          </w:p>
        </w:tc>
      </w:tr>
      <w:tr w:rsidR="0020708C" w:rsidRPr="0020708C" w14:paraId="6A18ECB9" w14:textId="77777777" w:rsidTr="00520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7DFBE915" w14:textId="025FC252" w:rsidR="00097D0D" w:rsidRPr="0020708C" w:rsidRDefault="0092522D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Bravo BSF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 xml:space="preserve"> et al.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29C98F" w14:textId="3C91C327" w:rsidR="00097D0D" w:rsidRPr="0020708C" w:rsidRDefault="0092522D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2024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264167" w14:textId="442BD2F6" w:rsidR="00097D0D" w:rsidRPr="0020708C" w:rsidRDefault="0092522D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Nasal</w:t>
            </w:r>
            <w:r w:rsidRPr="0020708C">
              <w:rPr>
                <w:rFonts w:ascii="Times New Roman" w:hAnsi="Times New Roman" w:cs="Times New Roman" w:hint="eastAsia"/>
              </w:rPr>
              <w:t xml:space="preserve"> </w:t>
            </w:r>
            <w:r w:rsidRPr="0020708C">
              <w:rPr>
                <w:rFonts w:ascii="Times New Roman" w:hAnsi="Times New Roman" w:cs="Times New Roman"/>
              </w:rPr>
              <w:t>filling guided by high frequency</w:t>
            </w:r>
            <w:r w:rsidRPr="0020708C">
              <w:rPr>
                <w:rFonts w:ascii="Times New Roman" w:hAnsi="Times New Roman" w:cs="Times New Roman" w:hint="eastAsia"/>
              </w:rPr>
              <w:t xml:space="preserve"> </w:t>
            </w:r>
            <w:r w:rsidRPr="0020708C">
              <w:rPr>
                <w:rFonts w:ascii="Times New Roman" w:hAnsi="Times New Roman" w:cs="Times New Roman"/>
              </w:rPr>
              <w:t>ultrasound: Reducing risks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A7C6B6" w14:textId="730FD78E" w:rsidR="00097D0D" w:rsidRPr="0020708C" w:rsidRDefault="0092522D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1565" w:type="pct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1F7F1A19" w14:textId="6A7EF5AC" w:rsidR="00097D0D" w:rsidRPr="0020708C" w:rsidRDefault="00C70AFE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Overfocus on vascular-related complications</w:t>
            </w:r>
            <w:r w:rsidRPr="0020708C">
              <w:rPr>
                <w:rFonts w:ascii="Times New Roman" w:hAnsi="Times New Roman" w:cs="Times New Roman" w:hint="eastAsia"/>
              </w:rPr>
              <w:t xml:space="preserve"> </w:t>
            </w:r>
            <w:r w:rsidRPr="0020708C">
              <w:rPr>
                <w:rFonts w:ascii="Times New Roman" w:hAnsi="Times New Roman" w:cs="Times New Roman"/>
              </w:rPr>
              <w:t>and lack of information on other complications</w:t>
            </w:r>
          </w:p>
        </w:tc>
      </w:tr>
      <w:tr w:rsidR="0020708C" w:rsidRPr="0020708C" w14:paraId="5C165B0B" w14:textId="77777777" w:rsidTr="00520BE8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  <w:right w:val="nil"/>
            </w:tcBorders>
            <w:vAlign w:val="center"/>
          </w:tcPr>
          <w:p w14:paraId="593E6586" w14:textId="2C42E659" w:rsidR="00097D0D" w:rsidRPr="0020708C" w:rsidRDefault="00C70AFE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Calvisi, Lucia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 xml:space="preserve"> et al.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AA3C" w14:textId="700EEB8B" w:rsidR="00097D0D" w:rsidRPr="0020708C" w:rsidRDefault="00C70AFE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2022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4907E" w14:textId="445B13CA" w:rsidR="00097D0D" w:rsidRPr="0020708C" w:rsidRDefault="00C70AFE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0708C">
              <w:rPr>
                <w:rFonts w:ascii="Times New Roman" w:hAnsi="Times New Roman" w:cs="Times New Roman"/>
              </w:rPr>
              <w:t>Nonsurgical reshaping of the nose, chin, and jawline: A retrospective analysis using experience-based eligibility criteria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23AA" w14:textId="7AFC82C6" w:rsidR="00097D0D" w:rsidRPr="0020708C" w:rsidRDefault="00C70AFE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retrospective</w:t>
            </w:r>
          </w:p>
        </w:tc>
        <w:tc>
          <w:tcPr>
            <w:tcW w:w="1565" w:type="pct"/>
            <w:tcBorders>
              <w:top w:val="nil"/>
              <w:left w:val="nil"/>
              <w:bottom w:val="nil"/>
            </w:tcBorders>
            <w:vAlign w:val="center"/>
          </w:tcPr>
          <w:p w14:paraId="59FD0E31" w14:textId="677ABBAE" w:rsidR="00097D0D" w:rsidRPr="0020708C" w:rsidRDefault="00C70AFE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0708C">
              <w:rPr>
                <w:rFonts w:ascii="Times New Roman" w:hAnsi="Times New Roman" w:cs="Times New Roman" w:hint="eastAsia"/>
              </w:rPr>
              <w:t>U</w:t>
            </w:r>
            <w:r w:rsidRPr="0020708C">
              <w:rPr>
                <w:rFonts w:ascii="Times New Roman" w:hAnsi="Times New Roman" w:cs="Times New Roman"/>
              </w:rPr>
              <w:t>nable to distinguish whether the complication is nasal or elsewhere</w:t>
            </w:r>
          </w:p>
        </w:tc>
      </w:tr>
      <w:tr w:rsidR="0020708C" w:rsidRPr="0020708C" w14:paraId="4B8C679B" w14:textId="77777777" w:rsidTr="00520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  <w:right w:val="nil"/>
            </w:tcBorders>
            <w:vAlign w:val="center"/>
          </w:tcPr>
          <w:p w14:paraId="29A3F575" w14:textId="47C5EB92" w:rsidR="00097D0D" w:rsidRPr="0020708C" w:rsidRDefault="00C70AFE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Han, Xuefeng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 xml:space="preserve"> et al.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5DE0" w14:textId="7629A21E" w:rsidR="00097D0D" w:rsidRPr="0020708C" w:rsidRDefault="00C70AFE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2015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A2214" w14:textId="1EB1412D" w:rsidR="00097D0D" w:rsidRPr="0020708C" w:rsidRDefault="00C70AFE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Multiplane hyaluronic acid (EME) in female Chinese rhinoplasty using blunt and sharp needle technique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A52F4" w14:textId="4E974BB0" w:rsidR="00097D0D" w:rsidRPr="0020708C" w:rsidRDefault="00C70AFE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retrospective</w:t>
            </w:r>
          </w:p>
        </w:tc>
        <w:tc>
          <w:tcPr>
            <w:tcW w:w="1565" w:type="pct"/>
            <w:tcBorders>
              <w:top w:val="nil"/>
              <w:left w:val="nil"/>
              <w:bottom w:val="nil"/>
            </w:tcBorders>
            <w:vAlign w:val="center"/>
          </w:tcPr>
          <w:p w14:paraId="6ECD0D84" w14:textId="5866C7CC" w:rsidR="00097D0D" w:rsidRPr="0020708C" w:rsidRDefault="007A3B22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Lack of reporting of mild complications</w:t>
            </w:r>
          </w:p>
        </w:tc>
      </w:tr>
      <w:tr w:rsidR="0020708C" w:rsidRPr="0020708C" w14:paraId="5EDDF699" w14:textId="77777777" w:rsidTr="00520BE8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  <w:right w:val="nil"/>
            </w:tcBorders>
            <w:vAlign w:val="center"/>
          </w:tcPr>
          <w:p w14:paraId="0FAF17F8" w14:textId="444AD00D" w:rsidR="00097D0D" w:rsidRPr="0020708C" w:rsidRDefault="007A3B22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Helmy, Yasser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73473" w14:textId="1F6F3A36" w:rsidR="00097D0D" w:rsidRPr="0020708C" w:rsidRDefault="007A3B22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2018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3F1D3" w14:textId="6982F6C7" w:rsidR="00097D0D" w:rsidRPr="0020708C" w:rsidRDefault="007A3B22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Non-surgical rhinoplasty using filler, Botox, and thread remodeling: Retro analysis of 332 cases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10186" w14:textId="23602C12" w:rsidR="00097D0D" w:rsidRPr="0020708C" w:rsidRDefault="007A3B22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retrospective</w:t>
            </w:r>
          </w:p>
        </w:tc>
        <w:tc>
          <w:tcPr>
            <w:tcW w:w="1565" w:type="pct"/>
            <w:tcBorders>
              <w:top w:val="nil"/>
              <w:left w:val="nil"/>
              <w:bottom w:val="nil"/>
            </w:tcBorders>
            <w:vAlign w:val="center"/>
          </w:tcPr>
          <w:p w14:paraId="35642B4D" w14:textId="3247FFCE" w:rsidR="00097D0D" w:rsidRPr="0020708C" w:rsidRDefault="007A3B22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Inadequate description of injection techniques</w:t>
            </w:r>
          </w:p>
        </w:tc>
      </w:tr>
      <w:tr w:rsidR="0020708C" w:rsidRPr="0020708C" w14:paraId="65D60714" w14:textId="77777777" w:rsidTr="00520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  <w:right w:val="nil"/>
            </w:tcBorders>
            <w:vAlign w:val="center"/>
          </w:tcPr>
          <w:p w14:paraId="4647AC07" w14:textId="0F32CA56" w:rsidR="00097D0D" w:rsidRPr="0020708C" w:rsidRDefault="007A3B22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Nguyen, T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>.</w:t>
            </w:r>
            <w:r w:rsidRPr="0020708C">
              <w:rPr>
                <w:rFonts w:ascii="Times New Roman" w:hAnsi="Times New Roman" w:cs="Times New Roman"/>
                <w:b w:val="0"/>
                <w:bCs w:val="0"/>
              </w:rPr>
              <w:t>A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>. et al.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6348" w14:textId="3BB40E46" w:rsidR="00097D0D" w:rsidRPr="0020708C" w:rsidRDefault="007A3B22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2020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99B8" w14:textId="18AD9531" w:rsidR="00097D0D" w:rsidRPr="0020708C" w:rsidRDefault="007A3B22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Specific complications associated with non-surgical rhinoplasty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1C81" w14:textId="6F637EB3" w:rsidR="00097D0D" w:rsidRPr="0020708C" w:rsidRDefault="007A3B22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review</w:t>
            </w:r>
          </w:p>
        </w:tc>
        <w:tc>
          <w:tcPr>
            <w:tcW w:w="1565" w:type="pct"/>
            <w:tcBorders>
              <w:top w:val="nil"/>
              <w:left w:val="nil"/>
              <w:bottom w:val="nil"/>
            </w:tcBorders>
            <w:vAlign w:val="center"/>
          </w:tcPr>
          <w:p w14:paraId="12807A07" w14:textId="0873375A" w:rsidR="00097D0D" w:rsidRPr="0020708C" w:rsidRDefault="007A3B22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 xml:space="preserve">Inconsistency in type of </w:t>
            </w:r>
            <w:r w:rsidRPr="0020708C">
              <w:rPr>
                <w:rFonts w:ascii="Times New Roman" w:hAnsi="Times New Roman" w:cs="Times New Roman" w:hint="eastAsia"/>
              </w:rPr>
              <w:t>work</w:t>
            </w:r>
          </w:p>
        </w:tc>
      </w:tr>
      <w:tr w:rsidR="0020708C" w:rsidRPr="0020708C" w14:paraId="1EA7C536" w14:textId="77777777" w:rsidTr="00520BE8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  <w:right w:val="nil"/>
            </w:tcBorders>
            <w:vAlign w:val="center"/>
          </w:tcPr>
          <w:p w14:paraId="6D14E2CE" w14:textId="5035AA6B" w:rsidR="00097D0D" w:rsidRPr="0020708C" w:rsidRDefault="0082308D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Robati, Reza M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 xml:space="preserve"> et al.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DF73D" w14:textId="0E32012B" w:rsidR="00097D0D" w:rsidRPr="0020708C" w:rsidRDefault="0082308D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2018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C97C" w14:textId="707BF8B5" w:rsidR="00097D0D" w:rsidRPr="0020708C" w:rsidRDefault="0082308D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The Risk of Skin Necrosis Following Hyaluronic Acid Filler Injection in Patients With a History of Cosmetic Rhinoplasty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86A39" w14:textId="04A25E3D" w:rsidR="00097D0D" w:rsidRPr="0020708C" w:rsidRDefault="0082308D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retrospective</w:t>
            </w:r>
          </w:p>
        </w:tc>
        <w:tc>
          <w:tcPr>
            <w:tcW w:w="1565" w:type="pct"/>
            <w:tcBorders>
              <w:top w:val="nil"/>
              <w:left w:val="nil"/>
              <w:bottom w:val="nil"/>
            </w:tcBorders>
            <w:vAlign w:val="center"/>
          </w:tcPr>
          <w:p w14:paraId="459FCDD2" w14:textId="7798B519" w:rsidR="00097D0D" w:rsidRPr="0020708C" w:rsidRDefault="0082308D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0708C">
              <w:rPr>
                <w:rFonts w:ascii="Times New Roman" w:hAnsi="Times New Roman" w:cs="Times New Roman"/>
              </w:rPr>
              <w:t>Inadequate description of injection techniques</w:t>
            </w:r>
          </w:p>
        </w:tc>
      </w:tr>
      <w:tr w:rsidR="0020708C" w:rsidRPr="0020708C" w14:paraId="44D58FFF" w14:textId="77777777" w:rsidTr="00520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  <w:right w:val="nil"/>
            </w:tcBorders>
            <w:vAlign w:val="center"/>
          </w:tcPr>
          <w:p w14:paraId="64E112C6" w14:textId="43B9F6E9" w:rsidR="00250361" w:rsidRPr="0020708C" w:rsidRDefault="00AE7D95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Alessio Redaelli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A3502" w14:textId="2E16A53E" w:rsidR="00250361" w:rsidRPr="0020708C" w:rsidRDefault="00AE7D95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2008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069F7" w14:textId="08FA929F" w:rsidR="00250361" w:rsidRPr="0020708C" w:rsidRDefault="00AE7D95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Medical rhinoplasty with hyaluronic acid and botulinum toxin A: a very simple and quite effective technique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F335" w14:textId="31F459DF" w:rsidR="00250361" w:rsidRPr="0020708C" w:rsidRDefault="00AE7D95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retrospective</w:t>
            </w:r>
          </w:p>
        </w:tc>
        <w:tc>
          <w:tcPr>
            <w:tcW w:w="1565" w:type="pct"/>
            <w:tcBorders>
              <w:top w:val="nil"/>
              <w:left w:val="nil"/>
              <w:bottom w:val="nil"/>
            </w:tcBorders>
            <w:vAlign w:val="center"/>
          </w:tcPr>
          <w:p w14:paraId="2508273A" w14:textId="1AECB0C7" w:rsidR="00250361" w:rsidRPr="0020708C" w:rsidRDefault="00AE7D95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 xml:space="preserve">Involving fillers other than </w:t>
            </w:r>
            <w:r w:rsidRPr="0020708C">
              <w:rPr>
                <w:rFonts w:ascii="Times New Roman" w:hAnsi="Times New Roman" w:cs="Times New Roman"/>
              </w:rPr>
              <w:t>hyaluronic acid</w:t>
            </w:r>
          </w:p>
        </w:tc>
      </w:tr>
      <w:tr w:rsidR="0020708C" w:rsidRPr="0020708C" w14:paraId="54A2EE3A" w14:textId="77777777" w:rsidTr="00520BE8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  <w:right w:val="nil"/>
            </w:tcBorders>
            <w:vAlign w:val="center"/>
          </w:tcPr>
          <w:p w14:paraId="14331DF1" w14:textId="581FB2BE" w:rsidR="00520BE8" w:rsidRPr="0020708C" w:rsidRDefault="00520BE8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F Braccini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 xml:space="preserve"> et al.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6A4A" w14:textId="4936E424" w:rsidR="00520BE8" w:rsidRPr="0020708C" w:rsidRDefault="00520BE8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2008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A5426" w14:textId="2A50011C" w:rsidR="00520BE8" w:rsidRPr="0020708C" w:rsidRDefault="00520BE8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Medical rhinoplasty: rationale for atraumatic nasal modelling using botulinum toxin and fillers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B29A6" w14:textId="36DA8849" w:rsidR="00520BE8" w:rsidRPr="0020708C" w:rsidRDefault="00520BE8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retrospective</w:t>
            </w:r>
          </w:p>
        </w:tc>
        <w:tc>
          <w:tcPr>
            <w:tcW w:w="1565" w:type="pct"/>
            <w:tcBorders>
              <w:top w:val="nil"/>
              <w:left w:val="nil"/>
              <w:bottom w:val="nil"/>
            </w:tcBorders>
            <w:vAlign w:val="center"/>
          </w:tcPr>
          <w:p w14:paraId="184971E4" w14:textId="63CBED59" w:rsidR="00520BE8" w:rsidRPr="0020708C" w:rsidRDefault="00520BE8" w:rsidP="00520B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0708C">
              <w:rPr>
                <w:rFonts w:ascii="Times New Roman" w:hAnsi="Times New Roman" w:cs="Times New Roman" w:hint="eastAsia"/>
              </w:rPr>
              <w:t xml:space="preserve">Involving fillers other than </w:t>
            </w:r>
            <w:r w:rsidRPr="0020708C">
              <w:rPr>
                <w:rFonts w:ascii="Times New Roman" w:hAnsi="Times New Roman" w:cs="Times New Roman"/>
              </w:rPr>
              <w:t>hyaluronic acid</w:t>
            </w:r>
          </w:p>
        </w:tc>
      </w:tr>
      <w:tr w:rsidR="0020708C" w:rsidRPr="0020708C" w14:paraId="75E2E340" w14:textId="77777777" w:rsidTr="00520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3FAF208" w14:textId="67948CDC" w:rsidR="00520BE8" w:rsidRPr="0020708C" w:rsidRDefault="00520BE8" w:rsidP="00520BE8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</w:rPr>
              <w:t>HJ Zhang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</w:rPr>
              <w:t xml:space="preserve"> et al.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242427" w14:textId="7DBEF6A8" w:rsidR="00520BE8" w:rsidRPr="0020708C" w:rsidRDefault="00520BE8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2017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E8BD7B0" w14:textId="32BFBDBE" w:rsidR="00520BE8" w:rsidRPr="0020708C" w:rsidRDefault="00520BE8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Clinical application and observation of injectable modified sodium hyaluronate gel filler for facial cosmetic surgery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DE6DF5" w14:textId="1D7D02E9" w:rsidR="00520BE8" w:rsidRPr="0020708C" w:rsidRDefault="00520BE8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 w:hint="eastAsia"/>
              </w:rPr>
              <w:t>retrospective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12CFC96" w14:textId="3F690C72" w:rsidR="00520BE8" w:rsidRPr="0020708C" w:rsidRDefault="00520BE8" w:rsidP="00520B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0708C">
              <w:rPr>
                <w:rFonts w:ascii="Times New Roman" w:hAnsi="Times New Roman" w:cs="Times New Roman" w:hint="eastAsia"/>
              </w:rPr>
              <w:t>U</w:t>
            </w:r>
            <w:r w:rsidRPr="0020708C">
              <w:rPr>
                <w:rFonts w:ascii="Times New Roman" w:hAnsi="Times New Roman" w:cs="Times New Roman"/>
              </w:rPr>
              <w:t>nable to distinguish whether the complication is nasal or elsewhere</w:t>
            </w:r>
          </w:p>
        </w:tc>
      </w:tr>
    </w:tbl>
    <w:p w14:paraId="26B39673" w14:textId="77777777" w:rsidR="0046309B" w:rsidRPr="0020708C" w:rsidRDefault="0046309B">
      <w:pPr>
        <w:rPr>
          <w:rFonts w:ascii="Times New Roman" w:hAnsi="Times New Roman" w:cs="Times New Roman"/>
          <w:b/>
          <w:bCs/>
        </w:rPr>
      </w:pPr>
    </w:p>
    <w:p w14:paraId="7E816D4D" w14:textId="77777777" w:rsidR="007C1257" w:rsidRPr="0020708C" w:rsidRDefault="007C1257">
      <w:pPr>
        <w:rPr>
          <w:rFonts w:ascii="Times New Roman" w:hAnsi="Times New Roman" w:cs="Times New Roman"/>
          <w:b/>
          <w:bCs/>
        </w:rPr>
      </w:pPr>
    </w:p>
    <w:p w14:paraId="49805EE4" w14:textId="77777777" w:rsidR="007C1257" w:rsidRPr="0020708C" w:rsidRDefault="007C1257">
      <w:pPr>
        <w:rPr>
          <w:rFonts w:ascii="Times New Roman" w:hAnsi="Times New Roman" w:cs="Times New Roman"/>
          <w:b/>
          <w:bCs/>
        </w:rPr>
      </w:pPr>
    </w:p>
    <w:p w14:paraId="4669E05F" w14:textId="77777777" w:rsidR="00712D74" w:rsidRPr="0020708C" w:rsidRDefault="00712D74">
      <w:pPr>
        <w:rPr>
          <w:rFonts w:ascii="Times New Roman" w:hAnsi="Times New Roman" w:cs="Times New Roman"/>
          <w:b/>
          <w:bCs/>
        </w:rPr>
      </w:pPr>
    </w:p>
    <w:p w14:paraId="6490BCCA" w14:textId="6D53E44A" w:rsidR="00341C6E" w:rsidRPr="0020708C" w:rsidRDefault="00586487">
      <w:pPr>
        <w:rPr>
          <w:rFonts w:ascii="Times New Roman" w:hAnsi="Times New Roman" w:cs="Times New Roman"/>
          <w:b/>
          <w:bCs/>
        </w:rPr>
      </w:pPr>
      <w:r w:rsidRPr="0020708C">
        <w:rPr>
          <w:rFonts w:ascii="Times New Roman" w:hAnsi="Times New Roman" w:cs="Times New Roman"/>
          <w:b/>
          <w:bCs/>
        </w:rPr>
        <w:lastRenderedPageBreak/>
        <w:t>Supplement</w:t>
      </w:r>
      <w:r w:rsidR="0021455B" w:rsidRPr="0020708C">
        <w:rPr>
          <w:rFonts w:ascii="Times New Roman" w:hAnsi="Times New Roman" w:cs="Times New Roman" w:hint="eastAsia"/>
          <w:b/>
          <w:bCs/>
        </w:rPr>
        <w:t>ary</w:t>
      </w:r>
      <w:r w:rsidRPr="0020708C">
        <w:rPr>
          <w:rFonts w:ascii="Times New Roman" w:hAnsi="Times New Roman" w:cs="Times New Roman"/>
          <w:b/>
          <w:bCs/>
        </w:rPr>
        <w:t xml:space="preserve"> </w:t>
      </w:r>
      <w:r w:rsidR="006B329A" w:rsidRPr="0020708C">
        <w:rPr>
          <w:rFonts w:ascii="Times New Roman" w:hAnsi="Times New Roman" w:cs="Times New Roman"/>
          <w:b/>
          <w:bCs/>
        </w:rPr>
        <w:t>Table</w:t>
      </w:r>
      <w:r w:rsidRPr="0020708C">
        <w:rPr>
          <w:rFonts w:ascii="Times New Roman" w:hAnsi="Times New Roman" w:cs="Times New Roman"/>
          <w:b/>
          <w:bCs/>
        </w:rPr>
        <w:t xml:space="preserve"> </w:t>
      </w:r>
      <w:r w:rsidR="0046309B" w:rsidRPr="0020708C">
        <w:rPr>
          <w:rFonts w:ascii="Times New Roman" w:hAnsi="Times New Roman" w:cs="Times New Roman" w:hint="eastAsia"/>
          <w:b/>
          <w:bCs/>
        </w:rPr>
        <w:t>2</w:t>
      </w:r>
      <w:r w:rsidR="006B329A" w:rsidRPr="0020708C">
        <w:rPr>
          <w:rFonts w:ascii="Times New Roman" w:hAnsi="Times New Roman" w:cs="Times New Roman" w:hint="eastAsia"/>
          <w:b/>
          <w:bCs/>
        </w:rPr>
        <w:t>. D</w:t>
      </w:r>
      <w:r w:rsidR="006B329A" w:rsidRPr="0020708C">
        <w:rPr>
          <w:rFonts w:ascii="Times New Roman" w:hAnsi="Times New Roman" w:cs="Times New Roman"/>
          <w:b/>
          <w:bCs/>
        </w:rPr>
        <w:t>emerit points</w:t>
      </w:r>
      <w:r w:rsidR="006B329A" w:rsidRPr="0020708C">
        <w:rPr>
          <w:rFonts w:ascii="Times New Roman" w:hAnsi="Times New Roman" w:cs="Times New Roman" w:hint="eastAsia"/>
          <w:b/>
          <w:bCs/>
        </w:rPr>
        <w:t xml:space="preserve"> for risk of bias of the included studies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20708C" w:rsidRPr="0020708C" w14:paraId="370B0120" w14:textId="77777777" w:rsidTr="00925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8" w:space="0" w:color="auto"/>
              <w:bottom w:val="single" w:sz="8" w:space="0" w:color="auto"/>
            </w:tcBorders>
          </w:tcPr>
          <w:p w14:paraId="5184E6CF" w14:textId="6174C581" w:rsidR="00586487" w:rsidRPr="0020708C" w:rsidRDefault="00586487">
            <w:pPr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2500" w:type="pct"/>
            <w:tcBorders>
              <w:top w:val="single" w:sz="8" w:space="0" w:color="auto"/>
              <w:bottom w:val="single" w:sz="8" w:space="0" w:color="auto"/>
            </w:tcBorders>
          </w:tcPr>
          <w:p w14:paraId="7297725B" w14:textId="75E86474" w:rsidR="00586487" w:rsidRPr="0020708C" w:rsidRDefault="005864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Rating explanation</w:t>
            </w:r>
          </w:p>
        </w:tc>
      </w:tr>
      <w:tr w:rsidR="0020708C" w:rsidRPr="0020708C" w14:paraId="69D7D469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tcBorders>
              <w:top w:val="single" w:sz="8" w:space="0" w:color="auto"/>
            </w:tcBorders>
            <w:vAlign w:val="center"/>
          </w:tcPr>
          <w:p w14:paraId="3B2F24F2" w14:textId="23B5BA4C" w:rsidR="00FF22D8" w:rsidRPr="0020708C" w:rsidRDefault="00FF22D8" w:rsidP="00FF2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vertAlign w:val="superscript"/>
              </w:rPr>
              <w:t>*</w:t>
            </w: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Li, Dong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; 2022</w:t>
            </w:r>
          </w:p>
        </w:tc>
        <w:tc>
          <w:tcPr>
            <w:tcW w:w="2500" w:type="pct"/>
            <w:tcBorders>
              <w:top w:val="single" w:sz="8" w:space="0" w:color="auto"/>
              <w:bottom w:val="nil"/>
            </w:tcBorders>
          </w:tcPr>
          <w:p w14:paraId="1AA93EB8" w14:textId="078C4F8F" w:rsidR="00FF22D8" w:rsidRPr="0020708C" w:rsidRDefault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election bias: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The allocation sequence was hidden and randomized, but the baseline was slightly uneven between groups</w:t>
            </w:r>
            <w:r w:rsidR="001E5233" w:rsidRPr="00207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708C" w:rsidRPr="0020708C" w14:paraId="565FC090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</w:tcPr>
          <w:p w14:paraId="0D435620" w14:textId="77777777" w:rsidR="00FF22D8" w:rsidRPr="0020708C" w:rsidRDefault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6B4BCF62" w14:textId="0A2049C1" w:rsidR="00FF22D8" w:rsidRPr="0020708C" w:rsidRDefault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Performance bias: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Not sure about blinding, but results are relatively unaffected by blinding</w:t>
            </w:r>
          </w:p>
        </w:tc>
      </w:tr>
      <w:tr w:rsidR="0020708C" w:rsidRPr="0020708C" w14:paraId="129D8E8F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</w:tcPr>
          <w:p w14:paraId="51E4C719" w14:textId="77777777" w:rsidR="00FF22D8" w:rsidRPr="0020708C" w:rsidRDefault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50B6DF33" w14:textId="2055796F" w:rsidR="00FF22D8" w:rsidRPr="0020708C" w:rsidRDefault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Detecting bias: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Blinding has little effect on outcome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assessment</w:t>
            </w:r>
          </w:p>
        </w:tc>
      </w:tr>
      <w:tr w:rsidR="0020708C" w:rsidRPr="0020708C" w14:paraId="0DC76C91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</w:tcPr>
          <w:p w14:paraId="2B0BE2F6" w14:textId="77777777" w:rsidR="00FF22D8" w:rsidRPr="0020708C" w:rsidRDefault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020ED329" w14:textId="7CA6C29A" w:rsidR="00FF22D8" w:rsidRPr="0020708C" w:rsidRDefault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ttrition bias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Between-group differences in the proportion of missing data</w:t>
            </w:r>
            <w:r w:rsidR="001E5233" w:rsidRPr="00207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708C" w:rsidRPr="0020708C" w14:paraId="43EBD10B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tcBorders>
              <w:bottom w:val="nil"/>
            </w:tcBorders>
          </w:tcPr>
          <w:p w14:paraId="077B678B" w14:textId="77777777" w:rsidR="00FF22D8" w:rsidRPr="0020708C" w:rsidRDefault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243FF020" w14:textId="4847BF95" w:rsidR="00FF22D8" w:rsidRPr="0020708C" w:rsidRDefault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Reporting bias: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All pre-asserted endings of concern have been reported.</w:t>
            </w:r>
          </w:p>
        </w:tc>
      </w:tr>
      <w:tr w:rsidR="0020708C" w:rsidRPr="0020708C" w14:paraId="5CD0208A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tcBorders>
              <w:top w:val="nil"/>
            </w:tcBorders>
            <w:vAlign w:val="center"/>
          </w:tcPr>
          <w:p w14:paraId="01CDEA01" w14:textId="063C0E05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  <w:r w:rsidRPr="0020708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vertAlign w:val="superscript"/>
              </w:rPr>
              <w:t>*</w:t>
            </w: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Wang, Xiaojun</w:t>
            </w:r>
            <w:r w:rsidRPr="0020708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; 2022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5396D758" w14:textId="0B1A8751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election bias: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The allocation sequence was hidden and randomized</w:t>
            </w:r>
            <w:r w:rsidR="001E5233" w:rsidRPr="00207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708C" w:rsidRPr="0020708C" w14:paraId="5C2830E1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</w:tcPr>
          <w:p w14:paraId="1B7D96D7" w14:textId="68364D30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3C10660F" w14:textId="6843A13D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Performance bias: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Lack of blinding</w:t>
            </w:r>
          </w:p>
        </w:tc>
      </w:tr>
      <w:tr w:rsidR="0020708C" w:rsidRPr="0020708C" w14:paraId="1D971BBF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</w:tcPr>
          <w:p w14:paraId="5340CE80" w14:textId="3E5DCD61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783ED5A5" w14:textId="2C3E2CA6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Detecting bias: </w:t>
            </w:r>
            <w:r w:rsidR="001E5233" w:rsidRPr="0020708C">
              <w:rPr>
                <w:rFonts w:ascii="Times New Roman" w:hAnsi="Times New Roman" w:cs="Times New Roman"/>
                <w:sz w:val="20"/>
                <w:szCs w:val="20"/>
              </w:rPr>
              <w:t>Conducted by a blinded, independent evaluator</w:t>
            </w:r>
          </w:p>
        </w:tc>
      </w:tr>
      <w:tr w:rsidR="0020708C" w:rsidRPr="0020708C" w14:paraId="0483F9DC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</w:tcPr>
          <w:p w14:paraId="778AB13C" w14:textId="6A3B1F27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</w:pP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1EBE45AE" w14:textId="058D7F33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ttrition bias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</w:t>
            </w:r>
            <w:r w:rsidR="001E5233" w:rsidRPr="0020708C">
              <w:rPr>
                <w:rFonts w:ascii="Times New Roman" w:hAnsi="Times New Roman" w:cs="Times New Roman"/>
                <w:sz w:val="20"/>
                <w:szCs w:val="20"/>
              </w:rPr>
              <w:t>Existence of missed visits during follow-up</w:t>
            </w:r>
          </w:p>
        </w:tc>
      </w:tr>
      <w:tr w:rsidR="0020708C" w:rsidRPr="0020708C" w14:paraId="4D539ABA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tcBorders>
              <w:bottom w:val="single" w:sz="4" w:space="0" w:color="auto"/>
            </w:tcBorders>
          </w:tcPr>
          <w:p w14:paraId="3F920038" w14:textId="183689ED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14:paraId="5F1F42D4" w14:textId="722A27D7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Reporting bias: </w:t>
            </w:r>
            <w:r w:rsidR="001E5233" w:rsidRPr="0020708C">
              <w:rPr>
                <w:rFonts w:ascii="Times New Roman" w:hAnsi="Times New Roman" w:cs="Times New Roman"/>
                <w:sz w:val="20"/>
                <w:szCs w:val="20"/>
              </w:rPr>
              <w:t>All pre-asserted endings of concern have been reported.</w:t>
            </w:r>
          </w:p>
        </w:tc>
      </w:tr>
      <w:tr w:rsidR="0020708C" w:rsidRPr="0020708C" w14:paraId="5D3B1B7B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bottom w:val="nil"/>
            </w:tcBorders>
          </w:tcPr>
          <w:p w14:paraId="2C02382F" w14:textId="0A3A9477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Liapakis, I. E.; 2013</w:t>
            </w:r>
          </w:p>
        </w:tc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14:paraId="6C32357E" w14:textId="09495C64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75F57EF3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il"/>
            </w:tcBorders>
          </w:tcPr>
          <w:p w14:paraId="3C36EA0A" w14:textId="3FA70100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Segreto, Francesco; 2019</w:t>
            </w:r>
          </w:p>
        </w:tc>
        <w:tc>
          <w:tcPr>
            <w:tcW w:w="2500" w:type="pct"/>
            <w:tcBorders>
              <w:bottom w:val="nil"/>
            </w:tcBorders>
          </w:tcPr>
          <w:p w14:paraId="21BD4B11" w14:textId="54B92C12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33C72D6A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66141DD2" w14:textId="639586B1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Turk, Cemre Busra; 2024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2CC8F0B5" w14:textId="192AD702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020BC5EA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7B26174B" w14:textId="2E505186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Yordanov, Y P; 2019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7F5885A3" w14:textId="1B871A75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3B7260DC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18B453B0" w14:textId="7F5CCD14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Romeo F; 2023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58FB4AD3" w14:textId="290EACDC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6C4C114B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2DFABA74" w14:textId="32E199D4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Jung GS; 2019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06CFC884" w14:textId="44500F32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Less than six months of follow-up with possible complications not observed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7025A963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079644DE" w14:textId="6F8A4E96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Josipovic LN; 2021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2ADCB558" w14:textId="4CCDB384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6680A9B1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02799B8F" w14:textId="46277713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Bektas, Gamze; 2020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0E51784C" w14:textId="4CDD32E1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211F4984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617FB4B9" w14:textId="6B48111A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Bertossi, Dario; 2021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7B450009" w14:textId="5CF5B090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 xml:space="preserve">High proportion of subjective indicators or the main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79FB5946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3C2CAFC1" w14:textId="0538A9B2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Chen, B; 2020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195F598E" w14:textId="58836172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2EB60C92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008D3AF0" w14:textId="65E50A5B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Giammarioli, Giulio; 2023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451AC2F5" w14:textId="433E4A26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1E065ABC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3D29BA61" w14:textId="6D331C39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Harb, A; 2024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04DFEFFC" w14:textId="78FC8EA3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Less than six months of follow-up with possible complications not observed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More than 10% of patients lost to follow-up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05684B7C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6E2EC7B9" w14:textId="2A3E3FB6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Harb, A; 2020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13B0EC5C" w14:textId="790FC0CE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Less than six months of follow-up with possible complications not observed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More than 10% of patients lost to follow-up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0FEEA001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30089944" w14:textId="57EE0655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Jalali, Arash</w:t>
            </w: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；</w:t>
            </w: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2024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54EC7FC6" w14:textId="2135978B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Less than six months of follow-up with possible complications not observed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6ED3B4C8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662B5941" w14:textId="394ACC1E" w:rsidR="00FF22D8" w:rsidRPr="0020708C" w:rsidRDefault="00FF22D8" w:rsidP="00FF22D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Liew, Steven; 2016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280BFC1D" w14:textId="1F3442FF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7AFA0CF2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60AB3018" w14:textId="65CF8B6F" w:rsidR="00FF22D8" w:rsidRPr="0020708C" w:rsidRDefault="00FF22D8" w:rsidP="00FF22D8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Nikolis, Andreas; 2023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2260E9E7" w14:textId="32FAF0DA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6213FDD4" w14:textId="77777777" w:rsidTr="00925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nil"/>
            </w:tcBorders>
          </w:tcPr>
          <w:p w14:paraId="42AB8595" w14:textId="7B9198CF" w:rsidR="00FF22D8" w:rsidRPr="0020708C" w:rsidRDefault="00FF22D8" w:rsidP="00FF22D8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Rauso, Raffaele; 2017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14:paraId="49306EB5" w14:textId="066C1EC8" w:rsidR="00FF22D8" w:rsidRPr="0020708C" w:rsidRDefault="00FF22D8" w:rsidP="00FF2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Less than six months of follow-up with possible complications not observed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  <w:tr w:rsidR="0020708C" w:rsidRPr="0020708C" w14:paraId="4A86B059" w14:textId="77777777" w:rsidTr="00925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bottom w:val="single" w:sz="8" w:space="0" w:color="auto"/>
            </w:tcBorders>
          </w:tcPr>
          <w:p w14:paraId="6176B258" w14:textId="7D85CD2E" w:rsidR="00FF22D8" w:rsidRPr="0020708C" w:rsidRDefault="00FF22D8" w:rsidP="00FF22D8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Santorelli, Adriano; 2020</w:t>
            </w:r>
          </w:p>
        </w:tc>
        <w:tc>
          <w:tcPr>
            <w:tcW w:w="2500" w:type="pct"/>
            <w:tcBorders>
              <w:top w:val="nil"/>
              <w:bottom w:val="single" w:sz="8" w:space="0" w:color="auto"/>
            </w:tcBorders>
          </w:tcPr>
          <w:p w14:paraId="21A4CE2F" w14:textId="14A0620F" w:rsidR="00FF22D8" w:rsidRPr="0020708C" w:rsidRDefault="00FF22D8" w:rsidP="00FF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High proportion of subjective indicators or the main measurement is subjective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(-1); </w:t>
            </w:r>
            <w:r w:rsidRPr="0020708C">
              <w:rPr>
                <w:rFonts w:ascii="Times New Roman" w:hAnsi="Times New Roman" w:cs="Times New Roman"/>
                <w:sz w:val="20"/>
                <w:szCs w:val="20"/>
              </w:rPr>
              <w:t>No consideration of confounding factors</w:t>
            </w:r>
            <w:r w:rsidRPr="0020708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(-1)</w:t>
            </w:r>
          </w:p>
        </w:tc>
      </w:tr>
    </w:tbl>
    <w:p w14:paraId="6272FDC1" w14:textId="24F7A6E9" w:rsidR="009D0DA0" w:rsidRPr="0020708C" w:rsidRDefault="00DC4848" w:rsidP="009D0DA0">
      <w:pPr>
        <w:rPr>
          <w:rFonts w:ascii="Times New Roman" w:hAnsi="Times New Roman" w:cs="Times New Roman"/>
          <w:sz w:val="20"/>
          <w:szCs w:val="20"/>
        </w:rPr>
      </w:pPr>
      <w:r w:rsidRPr="0020708C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*</w:t>
      </w:r>
      <w:r w:rsidRPr="0020708C">
        <w:rPr>
          <w:rFonts w:ascii="Times New Roman" w:hAnsi="Times New Roman" w:cs="Times New Roman" w:hint="eastAsia"/>
          <w:sz w:val="20"/>
          <w:szCs w:val="20"/>
        </w:rPr>
        <w:t xml:space="preserve">These studies are RCTs. </w:t>
      </w:r>
      <w:r w:rsidRPr="0020708C">
        <w:rPr>
          <w:rFonts w:ascii="Times New Roman" w:hAnsi="Times New Roman" w:cs="Times New Roman"/>
          <w:sz w:val="20"/>
          <w:szCs w:val="20"/>
        </w:rPr>
        <w:t>T</w:t>
      </w:r>
      <w:r w:rsidRPr="0020708C">
        <w:rPr>
          <w:rFonts w:ascii="Times New Roman" w:hAnsi="Times New Roman" w:cs="Times New Roman" w:hint="eastAsia"/>
          <w:sz w:val="20"/>
          <w:szCs w:val="20"/>
        </w:rPr>
        <w:t>he quality evaluation for RCTs used</w:t>
      </w:r>
      <w:r w:rsidRPr="0020708C">
        <w:rPr>
          <w:rFonts w:ascii="Times New Roman" w:hAnsi="Times New Roman" w:cs="Times New Roman"/>
          <w:sz w:val="20"/>
          <w:szCs w:val="20"/>
        </w:rPr>
        <w:t xml:space="preserve"> the Cochrane risk of bias tool</w:t>
      </w:r>
      <w:r w:rsidRPr="0020708C">
        <w:rPr>
          <w:rFonts w:ascii="Times New Roman" w:hAnsi="Times New Roman" w:cs="Times New Roman" w:hint="eastAsia"/>
          <w:sz w:val="20"/>
          <w:szCs w:val="20"/>
        </w:rPr>
        <w:t xml:space="preserve">. Other </w:t>
      </w:r>
      <w:r w:rsidRPr="0020708C">
        <w:rPr>
          <w:rFonts w:ascii="Times New Roman" w:hAnsi="Times New Roman" w:cs="Times New Roman"/>
          <w:sz w:val="20"/>
          <w:szCs w:val="20"/>
        </w:rPr>
        <w:t>non-randomized trials</w:t>
      </w:r>
      <w:r w:rsidRPr="0020708C">
        <w:rPr>
          <w:rFonts w:ascii="Times New Roman" w:hAnsi="Times New Roman" w:cs="Times New Roman" w:hint="eastAsia"/>
          <w:sz w:val="20"/>
          <w:szCs w:val="20"/>
        </w:rPr>
        <w:t xml:space="preserve"> used the</w:t>
      </w:r>
      <w:r w:rsidRPr="0020708C">
        <w:rPr>
          <w:rFonts w:ascii="Times New Roman" w:hAnsi="Times New Roman" w:cs="Times New Roman"/>
          <w:sz w:val="20"/>
          <w:szCs w:val="20"/>
        </w:rPr>
        <w:t xml:space="preserve"> NOS scale</w:t>
      </w:r>
      <w:r w:rsidRPr="0020708C">
        <w:rPr>
          <w:rFonts w:ascii="Times New Roman" w:hAnsi="Times New Roman" w:cs="Times New Roman" w:hint="eastAsia"/>
          <w:sz w:val="20"/>
          <w:szCs w:val="20"/>
        </w:rPr>
        <w:t>.</w:t>
      </w:r>
    </w:p>
    <w:p w14:paraId="484BF3D3" w14:textId="77777777" w:rsidR="009D0DA0" w:rsidRPr="0020708C" w:rsidRDefault="009D0DA0">
      <w:pPr>
        <w:widowControl/>
        <w:jc w:val="left"/>
        <w:rPr>
          <w:rFonts w:ascii="Times New Roman" w:hAnsi="Times New Roman" w:cs="Times New Roman"/>
          <w:b/>
          <w:bCs/>
        </w:rPr>
      </w:pPr>
      <w:r w:rsidRPr="0020708C">
        <w:rPr>
          <w:rFonts w:ascii="Times New Roman" w:hAnsi="Times New Roman" w:cs="Times New Roman"/>
          <w:b/>
          <w:bCs/>
        </w:rPr>
        <w:br w:type="page"/>
      </w:r>
    </w:p>
    <w:p w14:paraId="322D0269" w14:textId="4BCB10AF" w:rsidR="00F168DA" w:rsidRPr="0020708C" w:rsidRDefault="00F168DA">
      <w:pPr>
        <w:rPr>
          <w:rFonts w:ascii="Times New Roman" w:hAnsi="Times New Roman" w:cs="Times New Roman"/>
          <w:b/>
          <w:bCs/>
        </w:rPr>
      </w:pPr>
      <w:r w:rsidRPr="0020708C">
        <w:rPr>
          <w:rFonts w:ascii="Times New Roman" w:hAnsi="Times New Roman" w:cs="Times New Roman" w:hint="eastAsia"/>
          <w:b/>
          <w:bCs/>
        </w:rPr>
        <w:lastRenderedPageBreak/>
        <w:t>Supplement</w:t>
      </w:r>
      <w:r w:rsidR="0021455B" w:rsidRPr="0020708C">
        <w:rPr>
          <w:rFonts w:ascii="Times New Roman" w:hAnsi="Times New Roman" w:cs="Times New Roman" w:hint="eastAsia"/>
          <w:b/>
          <w:bCs/>
        </w:rPr>
        <w:t>ary</w:t>
      </w:r>
      <w:r w:rsidRPr="0020708C">
        <w:rPr>
          <w:rFonts w:ascii="Times New Roman" w:hAnsi="Times New Roman" w:cs="Times New Roman" w:hint="eastAsia"/>
          <w:b/>
          <w:bCs/>
        </w:rPr>
        <w:t xml:space="preserve"> </w:t>
      </w:r>
      <w:r w:rsidR="006B329A" w:rsidRPr="0020708C">
        <w:rPr>
          <w:rFonts w:ascii="Times New Roman" w:hAnsi="Times New Roman" w:cs="Times New Roman"/>
          <w:b/>
          <w:bCs/>
        </w:rPr>
        <w:t>Table</w:t>
      </w:r>
      <w:r w:rsidRPr="0020708C">
        <w:rPr>
          <w:rFonts w:ascii="Times New Roman" w:hAnsi="Times New Roman" w:cs="Times New Roman" w:hint="eastAsia"/>
          <w:b/>
          <w:bCs/>
        </w:rPr>
        <w:t xml:space="preserve"> </w:t>
      </w:r>
      <w:r w:rsidR="0046309B" w:rsidRPr="0020708C">
        <w:rPr>
          <w:rFonts w:ascii="Times New Roman" w:hAnsi="Times New Roman" w:cs="Times New Roman" w:hint="eastAsia"/>
          <w:b/>
          <w:bCs/>
        </w:rPr>
        <w:t>3</w:t>
      </w:r>
      <w:r w:rsidR="006B329A" w:rsidRPr="0020708C">
        <w:rPr>
          <w:rFonts w:ascii="Times New Roman" w:hAnsi="Times New Roman" w:cs="Times New Roman" w:hint="eastAsia"/>
          <w:b/>
          <w:bCs/>
        </w:rPr>
        <w:t xml:space="preserve">. </w:t>
      </w:r>
      <w:r w:rsidR="006B329A" w:rsidRPr="0020708C">
        <w:rPr>
          <w:rFonts w:ascii="Times New Roman" w:hAnsi="Times New Roman" w:cs="Times New Roman"/>
          <w:b/>
          <w:bCs/>
        </w:rPr>
        <w:t>Complications reported in case reports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0708C" w:rsidRPr="0020708C" w14:paraId="5C5C3A99" w14:textId="77777777" w:rsidTr="00F16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14:paraId="0D112D44" w14:textId="44406709" w:rsidR="00F168DA" w:rsidRPr="0020708C" w:rsidRDefault="00F168DA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Complication</w:t>
            </w:r>
          </w:p>
        </w:tc>
        <w:tc>
          <w:tcPr>
            <w:tcW w:w="4261" w:type="dxa"/>
          </w:tcPr>
          <w:p w14:paraId="67023FF3" w14:textId="75BDAFCA" w:rsidR="00F168DA" w:rsidRPr="0020708C" w:rsidRDefault="00F16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</w:tr>
      <w:tr w:rsidR="0020708C" w:rsidRPr="0020708C" w14:paraId="21C4E3E8" w14:textId="77777777" w:rsidTr="00F16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bottom w:val="nil"/>
              <w:right w:val="nil"/>
            </w:tcBorders>
          </w:tcPr>
          <w:p w14:paraId="5940D9F2" w14:textId="737F964F" w:rsidR="00F168DA" w:rsidRPr="0020708C" w:rsidRDefault="00F168DA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H</w:t>
            </w:r>
            <w:r w:rsidRPr="0020708C">
              <w:rPr>
                <w:rFonts w:ascii="Times New Roman" w:eastAsia="DengXian" w:hAnsi="Times New Roman" w:cs="Times New Roman" w:hint="eastAsia"/>
                <w:b w:val="0"/>
                <w:bCs w:val="0"/>
                <w:kern w:val="0"/>
                <w:sz w:val="20"/>
                <w:szCs w:val="20"/>
              </w:rPr>
              <w:t>eadache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14:paraId="27F5F501" w14:textId="32D0D72F" w:rsidR="00F168DA" w:rsidRPr="0020708C" w:rsidRDefault="00F16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</w:tr>
      <w:tr w:rsidR="0020708C" w:rsidRPr="0020708C" w14:paraId="297BB90F" w14:textId="77777777" w:rsidTr="00F16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</w:tcPr>
          <w:p w14:paraId="1F93B757" w14:textId="4FF2267A" w:rsidR="00F168DA" w:rsidRPr="0020708C" w:rsidRDefault="006B329A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Hypersensitivity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14:paraId="00ED44F9" w14:textId="60BF4578" w:rsidR="00F168DA" w:rsidRPr="0020708C" w:rsidRDefault="00F16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</w:tr>
      <w:tr w:rsidR="0020708C" w:rsidRPr="0020708C" w14:paraId="538B0227" w14:textId="77777777" w:rsidTr="00F16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</w:tcPr>
          <w:p w14:paraId="2F1E742B" w14:textId="39239D1F" w:rsidR="00F168DA" w:rsidRPr="0020708C" w:rsidRDefault="00B0376C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Vascular occlusion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14:paraId="3E5B66FE" w14:textId="7C9D4271" w:rsidR="00F168DA" w:rsidRPr="0020708C" w:rsidRDefault="006B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</w:tr>
      <w:tr w:rsidR="0020708C" w:rsidRPr="0020708C" w14:paraId="460DF271" w14:textId="77777777" w:rsidTr="00F16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</w:tcPr>
          <w:p w14:paraId="4C3562B5" w14:textId="013035BC" w:rsidR="00F168DA" w:rsidRPr="0020708C" w:rsidRDefault="006B329A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 w:val="0"/>
                <w:bCs w:val="0"/>
                <w:kern w:val="0"/>
                <w:sz w:val="20"/>
                <w:szCs w:val="20"/>
              </w:rPr>
              <w:t>G</w:t>
            </w:r>
            <w:r w:rsidR="00B0376C"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ranulomas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14:paraId="37189B63" w14:textId="580357BE" w:rsidR="00F168DA" w:rsidRPr="0020708C" w:rsidRDefault="006B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</w:tr>
      <w:tr w:rsidR="0020708C" w:rsidRPr="0020708C" w14:paraId="042379C9" w14:textId="77777777" w:rsidTr="00F16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</w:tcPr>
          <w:p w14:paraId="56194CA4" w14:textId="6003B8F5" w:rsidR="006B329A" w:rsidRPr="0020708C" w:rsidRDefault="006B329A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Cerebral infarction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14:paraId="239E1F4C" w14:textId="0BF391BF" w:rsidR="006B329A" w:rsidRPr="0020708C" w:rsidRDefault="006B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3</w:t>
            </w:r>
          </w:p>
        </w:tc>
      </w:tr>
      <w:tr w:rsidR="0020708C" w:rsidRPr="0020708C" w14:paraId="1C5CEA02" w14:textId="77777777" w:rsidTr="00F16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</w:tcPr>
          <w:p w14:paraId="767D44DF" w14:textId="3962D5C9" w:rsidR="00F168DA" w:rsidRPr="0020708C" w:rsidRDefault="00F168DA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V</w:t>
            </w:r>
            <w:r w:rsidRPr="0020708C">
              <w:rPr>
                <w:rFonts w:ascii="Times New Roman" w:eastAsia="DengXian" w:hAnsi="Times New Roman" w:cs="Times New Roman" w:hint="eastAsia"/>
                <w:b w:val="0"/>
                <w:bCs w:val="0"/>
                <w:kern w:val="0"/>
                <w:sz w:val="20"/>
                <w:szCs w:val="20"/>
              </w:rPr>
              <w:t>ision loss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14:paraId="3EC811BA" w14:textId="52ADD75A" w:rsidR="00F168DA" w:rsidRPr="0020708C" w:rsidRDefault="00B03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</w:tr>
      <w:tr w:rsidR="0020708C" w:rsidRPr="0020708C" w14:paraId="6AD9CD62" w14:textId="77777777" w:rsidTr="00F16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right w:val="nil"/>
            </w:tcBorders>
          </w:tcPr>
          <w:p w14:paraId="338A159C" w14:textId="76F31062" w:rsidR="00F168DA" w:rsidRPr="0020708C" w:rsidRDefault="00B0376C">
            <w:pPr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S</w:t>
            </w:r>
            <w:r w:rsidR="00F168DA" w:rsidRPr="0020708C">
              <w:rPr>
                <w:rFonts w:ascii="Times New Roman" w:eastAsia="DengXian" w:hAnsi="Times New Roman" w:cs="Times New Roman" w:hint="eastAsia"/>
                <w:b w:val="0"/>
                <w:bCs w:val="0"/>
                <w:kern w:val="0"/>
                <w:sz w:val="20"/>
                <w:szCs w:val="20"/>
              </w:rPr>
              <w:t>kin</w:t>
            </w:r>
            <w:r w:rsidRPr="0020708C">
              <w:rPr>
                <w:rFonts w:ascii="Times New Roman" w:eastAsia="DengXian" w:hAnsi="Times New Roman" w:cs="Times New Roman" w:hint="eastAsia"/>
                <w:b w:val="0"/>
                <w:bCs w:val="0"/>
                <w:kern w:val="0"/>
                <w:sz w:val="20"/>
                <w:szCs w:val="20"/>
              </w:rPr>
              <w:t xml:space="preserve"> n</w:t>
            </w:r>
            <w:r w:rsidRPr="0020708C">
              <w:rPr>
                <w:rFonts w:ascii="Times New Roman" w:eastAsia="DengXian" w:hAnsi="Times New Roman" w:cs="Times New Roman"/>
                <w:b w:val="0"/>
                <w:bCs w:val="0"/>
                <w:kern w:val="0"/>
                <w:sz w:val="20"/>
                <w:szCs w:val="20"/>
              </w:rPr>
              <w:t>ecrosis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536BD511" w14:textId="57888E56" w:rsidR="00F168DA" w:rsidRPr="0020708C" w:rsidRDefault="00B03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</w:tr>
      <w:tr w:rsidR="0020708C" w:rsidRPr="0020708C" w14:paraId="608EBFC8" w14:textId="77777777" w:rsidTr="00F16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4" w:space="0" w:color="7F7F7F" w:themeColor="text1" w:themeTint="80"/>
            </w:tcBorders>
          </w:tcPr>
          <w:p w14:paraId="40A90B22" w14:textId="50137FD3" w:rsidR="00F168DA" w:rsidRPr="0020708C" w:rsidRDefault="006B329A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Total</w:t>
            </w:r>
          </w:p>
        </w:tc>
        <w:tc>
          <w:tcPr>
            <w:tcW w:w="4261" w:type="dxa"/>
            <w:tcBorders>
              <w:top w:val="single" w:sz="4" w:space="0" w:color="7F7F7F" w:themeColor="text1" w:themeTint="80"/>
            </w:tcBorders>
          </w:tcPr>
          <w:p w14:paraId="301CEBCC" w14:textId="178DF4F1" w:rsidR="00F168DA" w:rsidRPr="0020708C" w:rsidRDefault="006B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0708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20"/>
              </w:rPr>
              <w:t>18</w:t>
            </w:r>
          </w:p>
        </w:tc>
      </w:tr>
    </w:tbl>
    <w:p w14:paraId="4EFE7663" w14:textId="77777777" w:rsidR="006B329A" w:rsidRPr="0020708C" w:rsidRDefault="006B329A">
      <w:bookmarkStart w:id="0" w:name="_GoBack"/>
      <w:bookmarkEnd w:id="0"/>
    </w:p>
    <w:sectPr w:rsidR="006B329A" w:rsidRPr="0020708C" w:rsidSect="009252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76E50" w14:textId="77777777" w:rsidR="00C31941" w:rsidRDefault="00C31941" w:rsidP="00586487">
      <w:r>
        <w:separator/>
      </w:r>
    </w:p>
  </w:endnote>
  <w:endnote w:type="continuationSeparator" w:id="0">
    <w:p w14:paraId="27832D29" w14:textId="77777777" w:rsidR="00C31941" w:rsidRDefault="00C31941" w:rsidP="0058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F61EB" w14:textId="77777777" w:rsidR="00712D74" w:rsidRDefault="00712D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2504862"/>
      <w:docPartObj>
        <w:docPartGallery w:val="Page Numbers (Bottom of Page)"/>
        <w:docPartUnique/>
      </w:docPartObj>
    </w:sdtPr>
    <w:sdtEndPr/>
    <w:sdtContent>
      <w:p w14:paraId="533FAA36" w14:textId="411DFFC1" w:rsidR="00712D74" w:rsidRDefault="00712D7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08C" w:rsidRPr="0020708C">
          <w:rPr>
            <w:noProof/>
            <w:lang w:val="zh-CN"/>
          </w:rPr>
          <w:t>4</w:t>
        </w:r>
        <w:r>
          <w:fldChar w:fldCharType="end"/>
        </w:r>
      </w:p>
    </w:sdtContent>
  </w:sdt>
  <w:p w14:paraId="4E7E50C4" w14:textId="77777777" w:rsidR="00712D74" w:rsidRDefault="00712D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B5DF1" w14:textId="77777777" w:rsidR="00712D74" w:rsidRDefault="00712D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BF5A5" w14:textId="77777777" w:rsidR="00C31941" w:rsidRDefault="00C31941" w:rsidP="00586487">
      <w:r>
        <w:separator/>
      </w:r>
    </w:p>
  </w:footnote>
  <w:footnote w:type="continuationSeparator" w:id="0">
    <w:p w14:paraId="72635A6D" w14:textId="77777777" w:rsidR="00C31941" w:rsidRDefault="00C31941" w:rsidP="00586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A03A6" w14:textId="77777777" w:rsidR="00712D74" w:rsidRDefault="00712D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B5BD1" w14:textId="77777777" w:rsidR="00712D74" w:rsidRDefault="00712D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992E9" w14:textId="77777777" w:rsidR="00712D74" w:rsidRDefault="00712D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BC"/>
    <w:rsid w:val="00097D0D"/>
    <w:rsid w:val="00174FC1"/>
    <w:rsid w:val="001D4C98"/>
    <w:rsid w:val="001E5233"/>
    <w:rsid w:val="0020708C"/>
    <w:rsid w:val="0021455B"/>
    <w:rsid w:val="00250361"/>
    <w:rsid w:val="00263C3D"/>
    <w:rsid w:val="00274E7F"/>
    <w:rsid w:val="003165DD"/>
    <w:rsid w:val="00341C6E"/>
    <w:rsid w:val="0035043E"/>
    <w:rsid w:val="0046309B"/>
    <w:rsid w:val="00520BE8"/>
    <w:rsid w:val="00586487"/>
    <w:rsid w:val="005B762E"/>
    <w:rsid w:val="00657E14"/>
    <w:rsid w:val="006B329A"/>
    <w:rsid w:val="006F56F2"/>
    <w:rsid w:val="00702E13"/>
    <w:rsid w:val="00712D74"/>
    <w:rsid w:val="007A3B22"/>
    <w:rsid w:val="007C1257"/>
    <w:rsid w:val="0082308D"/>
    <w:rsid w:val="0092522D"/>
    <w:rsid w:val="009B6791"/>
    <w:rsid w:val="009D0DA0"/>
    <w:rsid w:val="00A719A8"/>
    <w:rsid w:val="00A775BC"/>
    <w:rsid w:val="00AE7D95"/>
    <w:rsid w:val="00B0376C"/>
    <w:rsid w:val="00BB3E5B"/>
    <w:rsid w:val="00BF688F"/>
    <w:rsid w:val="00C31941"/>
    <w:rsid w:val="00C70AFE"/>
    <w:rsid w:val="00CA490B"/>
    <w:rsid w:val="00CD05D2"/>
    <w:rsid w:val="00CE55A3"/>
    <w:rsid w:val="00DC4848"/>
    <w:rsid w:val="00E2780C"/>
    <w:rsid w:val="00E94891"/>
    <w:rsid w:val="00EE36B0"/>
    <w:rsid w:val="00F168DA"/>
    <w:rsid w:val="00F7126D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5C7EB"/>
  <w15:chartTrackingRefBased/>
  <w15:docId w15:val="{6E0BE2F1-2881-40C6-BC95-EB96986C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75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5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5B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5B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5B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5B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5B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5B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5B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5B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5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5BC"/>
    <w:rPr>
      <w:rFonts w:cstheme="majorBidi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5BC"/>
    <w:rPr>
      <w:rFonts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5BC"/>
    <w:rPr>
      <w:rFonts w:cstheme="majorBidi"/>
      <w:b/>
      <w:b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5B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5B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5B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775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5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5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5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5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5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5B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5B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64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864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864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86487"/>
    <w:rPr>
      <w:sz w:val="18"/>
      <w:szCs w:val="18"/>
    </w:rPr>
  </w:style>
  <w:style w:type="table" w:styleId="TableGrid">
    <w:name w:val="Table Grid"/>
    <w:basedOn w:val="TableNormal"/>
    <w:uiPriority w:val="59"/>
    <w:rsid w:val="00586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5864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F168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25036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036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21455B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1455B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21455B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21455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4B4A4-620D-4CA9-8E7F-BFEC1996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YILEI MA</dc:creator>
  <cp:keywords/>
  <dc:description/>
  <cp:lastModifiedBy>Kowsalya Govindaraj</cp:lastModifiedBy>
  <cp:revision>14</cp:revision>
  <dcterms:created xsi:type="dcterms:W3CDTF">2025-06-28T15:31:00Z</dcterms:created>
  <dcterms:modified xsi:type="dcterms:W3CDTF">2025-08-26T07:40:00Z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fdad3dda-d7a9-4e10-9bef-7da642f7d8ef</vt:lpwstr>
  </property>
</Properties>
</file>