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26D6" w14:textId="77777777" w:rsidR="00866F2A" w:rsidRDefault="00866F2A" w:rsidP="00866F2A">
      <w:pPr>
        <w:spacing w:after="0" w:line="480" w:lineRule="auto"/>
        <w:rPr>
          <w:rFonts w:ascii="Calibri" w:hAnsi="Calibri" w:cs="Calibri"/>
          <w:b/>
        </w:rPr>
      </w:pPr>
      <w:r w:rsidRPr="00507496">
        <w:rPr>
          <w:rFonts w:ascii="Calibri" w:hAnsi="Calibri" w:cs="Calibri"/>
          <w:b/>
        </w:rPr>
        <w:t xml:space="preserve">Supplementary Table </w:t>
      </w:r>
      <w:r>
        <w:rPr>
          <w:rFonts w:ascii="Calibri" w:hAnsi="Calibri" w:cs="Calibri"/>
          <w:b/>
        </w:rPr>
        <w:t>3.</w:t>
      </w:r>
      <w:r w:rsidRPr="0050749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Single vs mixed indications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1438"/>
        <w:gridCol w:w="1439"/>
        <w:gridCol w:w="1438"/>
        <w:gridCol w:w="1439"/>
      </w:tblGrid>
      <w:tr w:rsidR="00866F2A" w14:paraId="73158351" w14:textId="77777777" w:rsidTr="00FC61C8">
        <w:tc>
          <w:tcPr>
            <w:tcW w:w="8630" w:type="dxa"/>
            <w:gridSpan w:val="5"/>
            <w:shd w:val="clear" w:color="auto" w:fill="D9D9D9" w:themeFill="background1" w:themeFillShade="D9"/>
          </w:tcPr>
          <w:p w14:paraId="4E88D9BA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Treatment satisfaction, mean </w:t>
            </w:r>
            <w:r w:rsidRPr="00C70DD0">
              <w:rPr>
                <w:rFonts w:ascii="Calibri" w:eastAsia="MS Mincho" w:hAnsi="Calibri" w:cs="Times New Roman"/>
                <w:b/>
              </w:rPr>
              <w:t>± SD</w:t>
            </w:r>
          </w:p>
        </w:tc>
      </w:tr>
      <w:tr w:rsidR="00866F2A" w14:paraId="226A2298" w14:textId="77777777" w:rsidTr="00FC61C8">
        <w:tc>
          <w:tcPr>
            <w:tcW w:w="2876" w:type="dxa"/>
            <w:shd w:val="clear" w:color="auto" w:fill="D9D9D9" w:themeFill="background1" w:themeFillShade="D9"/>
            <w:vAlign w:val="center"/>
          </w:tcPr>
          <w:p w14:paraId="1B5BB6F6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  <w:b/>
              </w:rPr>
              <w:t>Group</w:t>
            </w:r>
          </w:p>
        </w:tc>
        <w:tc>
          <w:tcPr>
            <w:tcW w:w="2877" w:type="dxa"/>
            <w:gridSpan w:val="2"/>
            <w:shd w:val="clear" w:color="auto" w:fill="D9D9D9" w:themeFill="background1" w:themeFillShade="D9"/>
            <w:vAlign w:val="center"/>
          </w:tcPr>
          <w:p w14:paraId="2886AAA6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  <w:b/>
              </w:rPr>
              <w:t>T6M</w:t>
            </w:r>
          </w:p>
        </w:tc>
        <w:tc>
          <w:tcPr>
            <w:tcW w:w="2877" w:type="dxa"/>
            <w:gridSpan w:val="2"/>
            <w:shd w:val="clear" w:color="auto" w:fill="D9D9D9" w:themeFill="background1" w:themeFillShade="D9"/>
            <w:vAlign w:val="center"/>
          </w:tcPr>
          <w:p w14:paraId="514D6D62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  <w:b/>
              </w:rPr>
              <w:t>T1Y</w:t>
            </w:r>
          </w:p>
        </w:tc>
      </w:tr>
      <w:tr w:rsidR="00866F2A" w14:paraId="18B792D8" w14:textId="77777777" w:rsidTr="00FC61C8">
        <w:tc>
          <w:tcPr>
            <w:tcW w:w="2876" w:type="dxa"/>
            <w:vAlign w:val="center"/>
          </w:tcPr>
          <w:p w14:paraId="5CBDDA76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Single</w:t>
            </w:r>
            <w:r>
              <w:rPr>
                <w:rFonts w:ascii="Calibri" w:eastAsia="MS Mincho" w:hAnsi="Calibri" w:cs="Times New Roman"/>
              </w:rPr>
              <w:t xml:space="preserve"> </w:t>
            </w:r>
            <w:r w:rsidRPr="00C70DD0">
              <w:rPr>
                <w:rFonts w:ascii="Calibri" w:eastAsia="MS Mincho" w:hAnsi="Calibri" w:cs="Times New Roman"/>
              </w:rPr>
              <w:t>indication</w:t>
            </w:r>
            <w:r>
              <w:rPr>
                <w:rFonts w:ascii="Calibri" w:eastAsia="MS Mincho" w:hAnsi="Calibri" w:cs="Times New Roman"/>
              </w:rPr>
              <w:t xml:space="preserve"> (N=268)</w:t>
            </w:r>
          </w:p>
        </w:tc>
        <w:tc>
          <w:tcPr>
            <w:tcW w:w="2877" w:type="dxa"/>
            <w:gridSpan w:val="2"/>
            <w:vAlign w:val="center"/>
          </w:tcPr>
          <w:p w14:paraId="7A72D860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8.10 ± 0.69</w:t>
            </w:r>
          </w:p>
        </w:tc>
        <w:tc>
          <w:tcPr>
            <w:tcW w:w="2877" w:type="dxa"/>
            <w:gridSpan w:val="2"/>
            <w:vAlign w:val="center"/>
          </w:tcPr>
          <w:p w14:paraId="22E3D037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7.55 ± 0.70</w:t>
            </w:r>
          </w:p>
        </w:tc>
      </w:tr>
      <w:tr w:rsidR="00866F2A" w14:paraId="061E3FD4" w14:textId="77777777" w:rsidTr="00FC61C8">
        <w:tc>
          <w:tcPr>
            <w:tcW w:w="2876" w:type="dxa"/>
            <w:vAlign w:val="center"/>
          </w:tcPr>
          <w:p w14:paraId="5589192C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Mixed</w:t>
            </w:r>
            <w:r>
              <w:rPr>
                <w:rFonts w:ascii="Calibri" w:eastAsia="MS Mincho" w:hAnsi="Calibri" w:cs="Times New Roman"/>
              </w:rPr>
              <w:t xml:space="preserve"> </w:t>
            </w:r>
            <w:r w:rsidRPr="00C70DD0">
              <w:rPr>
                <w:rFonts w:ascii="Calibri" w:eastAsia="MS Mincho" w:hAnsi="Calibri" w:cs="Times New Roman"/>
              </w:rPr>
              <w:t>indications</w:t>
            </w:r>
            <w:r>
              <w:rPr>
                <w:rFonts w:ascii="Calibri" w:eastAsia="MS Mincho" w:hAnsi="Calibri" w:cs="Times New Roman"/>
              </w:rPr>
              <w:t xml:space="preserve"> (N=132)</w:t>
            </w:r>
          </w:p>
        </w:tc>
        <w:tc>
          <w:tcPr>
            <w:tcW w:w="2877" w:type="dxa"/>
            <w:gridSpan w:val="2"/>
            <w:vAlign w:val="center"/>
          </w:tcPr>
          <w:p w14:paraId="07978960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8.07 ± 0.65</w:t>
            </w:r>
          </w:p>
        </w:tc>
        <w:tc>
          <w:tcPr>
            <w:tcW w:w="2877" w:type="dxa"/>
            <w:gridSpan w:val="2"/>
            <w:vAlign w:val="center"/>
          </w:tcPr>
          <w:p w14:paraId="5B7DD9ED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7.52 ± 0.67</w:t>
            </w:r>
          </w:p>
        </w:tc>
      </w:tr>
      <w:tr w:rsidR="00866F2A" w14:paraId="3784E082" w14:textId="77777777" w:rsidTr="00FC61C8">
        <w:tc>
          <w:tcPr>
            <w:tcW w:w="8630" w:type="dxa"/>
            <w:gridSpan w:val="5"/>
            <w:shd w:val="clear" w:color="auto" w:fill="D9D9D9" w:themeFill="background1" w:themeFillShade="D9"/>
          </w:tcPr>
          <w:p w14:paraId="51835C9D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>
              <w:rPr>
                <w:rFonts w:ascii="Calibri" w:eastAsia="MS Mincho" w:hAnsi="Calibri" w:cs="Times New Roman"/>
                <w:b/>
              </w:rPr>
              <w:t>AEs</w:t>
            </w:r>
            <w:r w:rsidRPr="00C70DD0">
              <w:rPr>
                <w:rFonts w:ascii="Calibri" w:eastAsia="MS Mincho" w:hAnsi="Calibri" w:cs="Times New Roman"/>
                <w:b/>
              </w:rPr>
              <w:t xml:space="preserve"> per treatment session (all timepoints pooled)</w:t>
            </w:r>
            <w:r>
              <w:rPr>
                <w:rFonts w:ascii="Calibri" w:eastAsia="MS Mincho" w:hAnsi="Calibri" w:cs="Times New Roman"/>
                <w:b/>
              </w:rPr>
              <w:t>, n (%) [Wilson 95% CI]</w:t>
            </w:r>
          </w:p>
        </w:tc>
      </w:tr>
      <w:tr w:rsidR="00866F2A" w14:paraId="692A02CA" w14:textId="77777777" w:rsidTr="00FC61C8">
        <w:tc>
          <w:tcPr>
            <w:tcW w:w="2876" w:type="dxa"/>
            <w:shd w:val="clear" w:color="auto" w:fill="D9D9D9" w:themeFill="background1" w:themeFillShade="D9"/>
            <w:vAlign w:val="center"/>
          </w:tcPr>
          <w:p w14:paraId="7FA59D29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Group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0F8B281B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Edema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688E512C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Bruising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36CCFC1F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Late-onset swelling</w:t>
            </w:r>
          </w:p>
        </w:tc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70F103C1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Nodule formation</w:t>
            </w:r>
          </w:p>
        </w:tc>
      </w:tr>
      <w:tr w:rsidR="00866F2A" w14:paraId="2B162B60" w14:textId="77777777" w:rsidTr="00FC61C8">
        <w:tc>
          <w:tcPr>
            <w:tcW w:w="2876" w:type="dxa"/>
            <w:vAlign w:val="center"/>
          </w:tcPr>
          <w:p w14:paraId="0BB9ED02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Single</w:t>
            </w:r>
            <w:r>
              <w:rPr>
                <w:rFonts w:ascii="Calibri" w:eastAsia="MS Mincho" w:hAnsi="Calibri" w:cs="Times New Roman"/>
              </w:rPr>
              <w:t xml:space="preserve"> </w:t>
            </w:r>
            <w:r w:rsidRPr="00C70DD0">
              <w:rPr>
                <w:rFonts w:ascii="Calibri" w:eastAsia="MS Mincho" w:hAnsi="Calibri" w:cs="Times New Roman"/>
              </w:rPr>
              <w:t>indication</w:t>
            </w:r>
            <w:r>
              <w:rPr>
                <w:rFonts w:ascii="Calibri" w:eastAsia="MS Mincho" w:hAnsi="Calibri" w:cs="Times New Roman"/>
              </w:rPr>
              <w:t xml:space="preserve"> (N=697)</w:t>
            </w:r>
          </w:p>
        </w:tc>
        <w:tc>
          <w:tcPr>
            <w:tcW w:w="1438" w:type="dxa"/>
            <w:vAlign w:val="center"/>
          </w:tcPr>
          <w:p w14:paraId="76C60F3C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 w:rsidRPr="00866F2A">
              <w:rPr>
                <w:rFonts w:ascii="Calibri" w:hAnsi="Calibri" w:cs="Calibri"/>
                <w:bCs/>
              </w:rPr>
              <w:t>104</w:t>
            </w:r>
            <w:r>
              <w:rPr>
                <w:rFonts w:ascii="Calibri" w:hAnsi="Calibri" w:cs="Calibri"/>
                <w:bCs/>
              </w:rPr>
              <w:t xml:space="preserve"> (14.9)</w:t>
            </w:r>
          </w:p>
          <w:p w14:paraId="274362C4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12.5–17.8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9" w:type="dxa"/>
            <w:vAlign w:val="center"/>
          </w:tcPr>
          <w:p w14:paraId="5F30B751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68 (9.8)</w:t>
            </w:r>
          </w:p>
          <w:p w14:paraId="6AF58E84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7.8–12.2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8" w:type="dxa"/>
            <w:vAlign w:val="center"/>
          </w:tcPr>
          <w:p w14:paraId="696953F7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 (0.3)</w:t>
            </w:r>
          </w:p>
          <w:p w14:paraId="08C707DF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0.1–1.0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9" w:type="dxa"/>
            <w:vAlign w:val="center"/>
          </w:tcPr>
          <w:p w14:paraId="5685A105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(0.1)</w:t>
            </w:r>
          </w:p>
          <w:p w14:paraId="5F7F20B2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0.0–0.8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</w:tr>
      <w:tr w:rsidR="00866F2A" w14:paraId="052D8C0A" w14:textId="77777777" w:rsidTr="00FC61C8">
        <w:tc>
          <w:tcPr>
            <w:tcW w:w="2876" w:type="dxa"/>
            <w:vAlign w:val="center"/>
          </w:tcPr>
          <w:p w14:paraId="0C8ACC22" w14:textId="77777777" w:rsidR="00866F2A" w:rsidRDefault="00866F2A" w:rsidP="00FC61C8">
            <w:pPr>
              <w:spacing w:line="480" w:lineRule="auto"/>
              <w:rPr>
                <w:rFonts w:ascii="Calibri" w:hAnsi="Calibri" w:cs="Calibri"/>
                <w:b/>
              </w:rPr>
            </w:pPr>
            <w:r w:rsidRPr="00C70DD0">
              <w:rPr>
                <w:rFonts w:ascii="Calibri" w:eastAsia="MS Mincho" w:hAnsi="Calibri" w:cs="Times New Roman"/>
              </w:rPr>
              <w:t>Mixed</w:t>
            </w:r>
            <w:r>
              <w:rPr>
                <w:rFonts w:ascii="Calibri" w:eastAsia="MS Mincho" w:hAnsi="Calibri" w:cs="Times New Roman"/>
              </w:rPr>
              <w:t xml:space="preserve"> </w:t>
            </w:r>
            <w:r w:rsidRPr="00C70DD0">
              <w:rPr>
                <w:rFonts w:ascii="Calibri" w:eastAsia="MS Mincho" w:hAnsi="Calibri" w:cs="Times New Roman"/>
              </w:rPr>
              <w:t>indications</w:t>
            </w:r>
            <w:r>
              <w:rPr>
                <w:rFonts w:ascii="Calibri" w:eastAsia="MS Mincho" w:hAnsi="Calibri" w:cs="Times New Roman"/>
              </w:rPr>
              <w:t xml:space="preserve"> (N=342)</w:t>
            </w:r>
          </w:p>
        </w:tc>
        <w:tc>
          <w:tcPr>
            <w:tcW w:w="1438" w:type="dxa"/>
            <w:vAlign w:val="center"/>
          </w:tcPr>
          <w:p w14:paraId="43C5E80D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50 (14.6)</w:t>
            </w:r>
          </w:p>
          <w:p w14:paraId="1A64214D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11.3–18.8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9" w:type="dxa"/>
            <w:vAlign w:val="center"/>
          </w:tcPr>
          <w:p w14:paraId="0E5E5401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34 (9.9)</w:t>
            </w:r>
          </w:p>
          <w:p w14:paraId="53C95359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7.2–13.6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8" w:type="dxa"/>
            <w:vAlign w:val="center"/>
          </w:tcPr>
          <w:p w14:paraId="6D8F64E1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 (0.6)</w:t>
            </w:r>
          </w:p>
          <w:p w14:paraId="311E0CFE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0.2–2.1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  <w:tc>
          <w:tcPr>
            <w:tcW w:w="1439" w:type="dxa"/>
            <w:vAlign w:val="center"/>
          </w:tcPr>
          <w:p w14:paraId="68E52C7C" w14:textId="77777777" w:rsid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 (0.0)</w:t>
            </w:r>
          </w:p>
          <w:p w14:paraId="3AE88470" w14:textId="77777777" w:rsidR="00866F2A" w:rsidRPr="00866F2A" w:rsidRDefault="00866F2A" w:rsidP="00FC61C8">
            <w:pPr>
              <w:spacing w:line="48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eastAsia="MS Mincho" w:hAnsi="Calibri" w:cs="Times New Roman"/>
              </w:rPr>
              <w:t>[</w:t>
            </w:r>
            <w:r w:rsidRPr="00C70DD0">
              <w:rPr>
                <w:rFonts w:ascii="Calibri" w:eastAsia="MS Mincho" w:hAnsi="Calibri" w:cs="Times New Roman"/>
              </w:rPr>
              <w:t>0.0–1.1</w:t>
            </w:r>
            <w:r>
              <w:rPr>
                <w:rFonts w:ascii="Calibri" w:eastAsia="MS Mincho" w:hAnsi="Calibri" w:cs="Times New Roman"/>
              </w:rPr>
              <w:t>]</w:t>
            </w:r>
          </w:p>
        </w:tc>
      </w:tr>
    </w:tbl>
    <w:p w14:paraId="3F621CD2" w14:textId="2074A671" w:rsidR="00866F2A" w:rsidRPr="00866F2A" w:rsidRDefault="00866F2A" w:rsidP="00866F2A">
      <w:pPr>
        <w:spacing w:after="0" w:line="480" w:lineRule="auto"/>
        <w:rPr>
          <w:rFonts w:ascii="Calibri" w:hAnsi="Calibri" w:cs="Calibri"/>
          <w:bCs/>
        </w:rPr>
      </w:pPr>
      <w:r>
        <w:rPr>
          <w:rFonts w:ascii="Calibri" w:eastAsia="MS Mincho" w:hAnsi="Calibri" w:cs="Times New Roman"/>
        </w:rPr>
        <w:t>‘</w:t>
      </w:r>
      <w:r w:rsidRPr="00C70DD0">
        <w:rPr>
          <w:rFonts w:ascii="Calibri" w:eastAsia="MS Mincho" w:hAnsi="Calibri" w:cs="Times New Roman"/>
        </w:rPr>
        <w:t>Mixed</w:t>
      </w:r>
      <w:r>
        <w:rPr>
          <w:rFonts w:ascii="Calibri" w:eastAsia="MS Mincho" w:hAnsi="Calibri" w:cs="Times New Roman"/>
        </w:rPr>
        <w:t>’</w:t>
      </w:r>
      <w:r w:rsidRPr="00C70DD0">
        <w:rPr>
          <w:rFonts w:ascii="Calibri" w:eastAsia="MS Mincho" w:hAnsi="Calibri" w:cs="Times New Roman"/>
        </w:rPr>
        <w:t xml:space="preserve"> denotes patients with ≥</w:t>
      </w:r>
      <w:r>
        <w:rPr>
          <w:rFonts w:ascii="Calibri" w:eastAsia="MS Mincho" w:hAnsi="Calibri" w:cs="Times New Roman"/>
        </w:rPr>
        <w:t xml:space="preserve"> </w:t>
      </w:r>
      <w:r w:rsidRPr="00C70DD0">
        <w:rPr>
          <w:rFonts w:ascii="Calibri" w:eastAsia="MS Mincho" w:hAnsi="Calibri" w:cs="Times New Roman"/>
        </w:rPr>
        <w:t xml:space="preserve">2 indications at baseline; </w:t>
      </w:r>
      <w:r>
        <w:rPr>
          <w:rFonts w:ascii="Calibri" w:eastAsia="MS Mincho" w:hAnsi="Calibri" w:cs="Times New Roman"/>
        </w:rPr>
        <w:t>‘</w:t>
      </w:r>
      <w:r w:rsidRPr="00C70DD0">
        <w:rPr>
          <w:rFonts w:ascii="Calibri" w:eastAsia="MS Mincho" w:hAnsi="Calibri" w:cs="Times New Roman"/>
        </w:rPr>
        <w:t>Single</w:t>
      </w:r>
      <w:r>
        <w:rPr>
          <w:rFonts w:ascii="Calibri" w:eastAsia="MS Mincho" w:hAnsi="Calibri" w:cs="Times New Roman"/>
        </w:rPr>
        <w:t>’</w:t>
      </w:r>
      <w:r w:rsidRPr="00C70DD0">
        <w:rPr>
          <w:rFonts w:ascii="Calibri" w:eastAsia="MS Mincho" w:hAnsi="Calibri" w:cs="Times New Roman"/>
        </w:rPr>
        <w:t xml:space="preserve"> denotes exactly </w:t>
      </w:r>
      <w:r>
        <w:rPr>
          <w:rFonts w:ascii="Calibri" w:eastAsia="MS Mincho" w:hAnsi="Calibri" w:cs="Times New Roman"/>
        </w:rPr>
        <w:t>1</w:t>
      </w:r>
      <w:r w:rsidRPr="00C70DD0">
        <w:rPr>
          <w:rFonts w:ascii="Calibri" w:eastAsia="MS Mincho" w:hAnsi="Calibri" w:cs="Times New Roman"/>
        </w:rPr>
        <w:t xml:space="preserve"> indication.</w:t>
      </w:r>
      <w:r>
        <w:rPr>
          <w:rFonts w:ascii="Calibri" w:eastAsia="MS Mincho" w:hAnsi="Calibri" w:cs="Times New Roman"/>
        </w:rPr>
        <w:t xml:space="preserve"> </w:t>
      </w:r>
      <w:r w:rsidRPr="00866F2A">
        <w:rPr>
          <w:rFonts w:ascii="Calibri" w:hAnsi="Calibri" w:cs="Calibri"/>
          <w:bCs/>
        </w:rPr>
        <w:t>AE, adverse event; CI, confidence interval; T1Y, 1-year treatment; T6M, 6-month treatment.</w:t>
      </w:r>
    </w:p>
    <w:p w14:paraId="31F87F2E" w14:textId="77777777" w:rsidR="00866F2A" w:rsidRPr="00C70DD0" w:rsidRDefault="00866F2A" w:rsidP="00866F2A">
      <w:pPr>
        <w:spacing w:after="0" w:line="480" w:lineRule="auto"/>
        <w:rPr>
          <w:rFonts w:ascii="Calibri" w:eastAsia="MS Mincho" w:hAnsi="Calibri" w:cs="Times New Roman"/>
        </w:rPr>
      </w:pPr>
    </w:p>
    <w:p w14:paraId="544A6A9F" w14:textId="77777777" w:rsidR="00C70DD0" w:rsidRPr="00507496" w:rsidRDefault="00C70DD0" w:rsidP="00C70DD0">
      <w:pPr>
        <w:spacing w:after="0" w:line="480" w:lineRule="auto"/>
        <w:rPr>
          <w:rFonts w:ascii="Calibri" w:hAnsi="Calibri" w:cs="Calibri"/>
        </w:rPr>
      </w:pPr>
    </w:p>
    <w:p w14:paraId="0E545DDB" w14:textId="64429E35" w:rsidR="00876F68" w:rsidRDefault="00876F68" w:rsidP="00BF1E54">
      <w:pPr>
        <w:spacing w:after="0" w:line="480" w:lineRule="auto"/>
        <w:rPr>
          <w:rFonts w:ascii="Calibri" w:hAnsi="Calibri" w:cs="Calibri"/>
          <w:b/>
        </w:rPr>
      </w:pPr>
    </w:p>
    <w:sectPr w:rsidR="00876F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377694">
    <w:abstractNumId w:val="8"/>
  </w:num>
  <w:num w:numId="2" w16cid:durableId="1290474618">
    <w:abstractNumId w:val="6"/>
  </w:num>
  <w:num w:numId="3" w16cid:durableId="1181159970">
    <w:abstractNumId w:val="5"/>
  </w:num>
  <w:num w:numId="4" w16cid:durableId="1327588203">
    <w:abstractNumId w:val="4"/>
  </w:num>
  <w:num w:numId="5" w16cid:durableId="813525534">
    <w:abstractNumId w:val="7"/>
  </w:num>
  <w:num w:numId="6" w16cid:durableId="570845769">
    <w:abstractNumId w:val="3"/>
  </w:num>
  <w:num w:numId="7" w16cid:durableId="130906484">
    <w:abstractNumId w:val="2"/>
  </w:num>
  <w:num w:numId="8" w16cid:durableId="619341644">
    <w:abstractNumId w:val="1"/>
  </w:num>
  <w:num w:numId="9" w16cid:durableId="139985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6CD"/>
    <w:rsid w:val="0015074B"/>
    <w:rsid w:val="001B01C7"/>
    <w:rsid w:val="0029639D"/>
    <w:rsid w:val="00326F90"/>
    <w:rsid w:val="00415F15"/>
    <w:rsid w:val="004B3F37"/>
    <w:rsid w:val="004B60DE"/>
    <w:rsid w:val="004C6B0F"/>
    <w:rsid w:val="004C71ED"/>
    <w:rsid w:val="00507496"/>
    <w:rsid w:val="006D5E08"/>
    <w:rsid w:val="008112DC"/>
    <w:rsid w:val="00866F2A"/>
    <w:rsid w:val="00876F68"/>
    <w:rsid w:val="008F0BEE"/>
    <w:rsid w:val="009E04A9"/>
    <w:rsid w:val="00AA1D8D"/>
    <w:rsid w:val="00B47730"/>
    <w:rsid w:val="00BF1E54"/>
    <w:rsid w:val="00C70DD0"/>
    <w:rsid w:val="00CB0664"/>
    <w:rsid w:val="00D05191"/>
    <w:rsid w:val="00D379E7"/>
    <w:rsid w:val="00F728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5B6A9"/>
  <w14:defaultImageDpi w14:val="300"/>
  <w15:docId w15:val="{89E8B979-75AF-0340-AF90-73D8E3C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B6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Ryder</cp:lastModifiedBy>
  <cp:revision>5</cp:revision>
  <dcterms:created xsi:type="dcterms:W3CDTF">2025-09-19T14:22:00Z</dcterms:created>
  <dcterms:modified xsi:type="dcterms:W3CDTF">2025-09-22T13:31:00Z</dcterms:modified>
  <cp:category/>
</cp:coreProperties>
</file>