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40F3" w14:textId="77777777" w:rsidR="0087582C" w:rsidRPr="00D81D4E" w:rsidRDefault="0087582C" w:rsidP="0087582C">
      <w:pPr>
        <w:spacing w:after="0" w:line="480" w:lineRule="auto"/>
        <w:rPr>
          <w:rFonts w:asciiTheme="majorHAnsi" w:hAnsiTheme="majorHAnsi" w:cstheme="majorHAnsi"/>
        </w:rPr>
      </w:pPr>
      <w:r w:rsidRPr="00D81D4E">
        <w:rPr>
          <w:rFonts w:asciiTheme="majorHAnsi" w:hAnsiTheme="majorHAnsi" w:cstheme="majorHAnsi"/>
          <w:b/>
        </w:rPr>
        <w:t>Supplementary Table 5. Adverse events per treatment session by primary indication and timepoint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87582C" w:rsidRPr="00D81D4E" w14:paraId="4FC9307B" w14:textId="77777777" w:rsidTr="00FC61C8">
        <w:trPr>
          <w:jc w:val="center"/>
        </w:trPr>
        <w:tc>
          <w:tcPr>
            <w:tcW w:w="2160" w:type="dxa"/>
            <w:shd w:val="clear" w:color="auto" w:fill="D9D9D9" w:themeFill="background1" w:themeFillShade="D9"/>
          </w:tcPr>
          <w:p w14:paraId="2CEB4F4B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</w:rPr>
              <w:t>Primary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5A4DBFB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</w:rPr>
              <w:t>T0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73C1DD02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</w:rPr>
              <w:t>T6M</w:t>
            </w:r>
          </w:p>
        </w:tc>
        <w:tc>
          <w:tcPr>
            <w:tcW w:w="2160" w:type="dxa"/>
            <w:shd w:val="clear" w:color="auto" w:fill="D9D9D9" w:themeFill="background1" w:themeFillShade="D9"/>
          </w:tcPr>
          <w:p w14:paraId="6F489D5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</w:rPr>
              <w:t>T1Y</w:t>
            </w:r>
          </w:p>
        </w:tc>
      </w:tr>
      <w:tr w:rsidR="0087582C" w:rsidRPr="00D81D4E" w14:paraId="15F6D0FA" w14:textId="77777777" w:rsidTr="00FC61C8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</w:tcPr>
          <w:p w14:paraId="7455ADBB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  <w:b/>
                <w:bCs/>
              </w:rPr>
            </w:pPr>
            <w:r w:rsidRPr="00D81D4E">
              <w:rPr>
                <w:rFonts w:asciiTheme="majorHAnsi" w:hAnsiTheme="majorHAnsi" w:cstheme="majorHAnsi"/>
                <w:b/>
                <w:bCs/>
              </w:rPr>
              <w:t>Edema (non-late)</w:t>
            </w:r>
          </w:p>
        </w:tc>
      </w:tr>
      <w:tr w:rsidR="0087582C" w:rsidRPr="00D81D4E" w14:paraId="69E4EB48" w14:textId="77777777" w:rsidTr="00FC61C8">
        <w:trPr>
          <w:jc w:val="center"/>
        </w:trPr>
        <w:tc>
          <w:tcPr>
            <w:tcW w:w="2160" w:type="dxa"/>
            <w:vAlign w:val="center"/>
          </w:tcPr>
          <w:p w14:paraId="38BBCBFB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Asymmetry</w:t>
            </w:r>
          </w:p>
        </w:tc>
        <w:tc>
          <w:tcPr>
            <w:tcW w:w="2160" w:type="dxa"/>
            <w:vAlign w:val="center"/>
          </w:tcPr>
          <w:p w14:paraId="178D28C3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16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11.11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6.96–17.29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D618CB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16 / 144 </w:t>
            </w:r>
            <w:r>
              <w:rPr>
                <w:rFonts w:asciiTheme="majorHAnsi" w:hAnsiTheme="majorHAnsi" w:cstheme="majorHAnsi"/>
              </w:rPr>
              <w:t>(</w:t>
            </w:r>
            <w:r w:rsidRPr="00D81D4E">
              <w:rPr>
                <w:rFonts w:asciiTheme="majorHAnsi" w:hAnsiTheme="majorHAnsi" w:cstheme="majorHAnsi"/>
              </w:rPr>
              <w:t>11.11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6.96–17.29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2612EF0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9 / 81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11.11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55285D4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5.96–19.79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5553CB0F" w14:textId="77777777" w:rsidTr="00FC61C8">
        <w:trPr>
          <w:jc w:val="center"/>
        </w:trPr>
        <w:tc>
          <w:tcPr>
            <w:tcW w:w="2160" w:type="dxa"/>
            <w:vAlign w:val="center"/>
          </w:tcPr>
          <w:p w14:paraId="0E231E1F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Hydration</w:t>
            </w:r>
          </w:p>
        </w:tc>
        <w:tc>
          <w:tcPr>
            <w:tcW w:w="2160" w:type="dxa"/>
            <w:vAlign w:val="center"/>
          </w:tcPr>
          <w:p w14:paraId="7447537D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7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18.42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F5AE682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9.22–33.42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0D49EC0F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6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15.79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7F1C567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7.44–30.42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12EE4F9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20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5.00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F12F52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0.89–23.61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5DC67EE9" w14:textId="77777777" w:rsidTr="00FC61C8">
        <w:trPr>
          <w:jc w:val="center"/>
        </w:trPr>
        <w:tc>
          <w:tcPr>
            <w:tcW w:w="2160" w:type="dxa"/>
            <w:vAlign w:val="center"/>
          </w:tcPr>
          <w:p w14:paraId="0AA1DBE3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Restoration</w:t>
            </w:r>
          </w:p>
        </w:tc>
        <w:tc>
          <w:tcPr>
            <w:tcW w:w="2160" w:type="dxa"/>
            <w:vAlign w:val="center"/>
          </w:tcPr>
          <w:p w14:paraId="7E7D5A5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37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22.29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16.63–29.21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9FFDBB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22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13.25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8.92–19.25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79D4EDA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8 / 109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7.34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48E6EAB2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3.77–13.82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50798F6E" w14:textId="77777777" w:rsidTr="00FC61C8">
        <w:trPr>
          <w:jc w:val="center"/>
        </w:trPr>
        <w:tc>
          <w:tcPr>
            <w:tcW w:w="2160" w:type="dxa"/>
            <w:vAlign w:val="center"/>
          </w:tcPr>
          <w:p w14:paraId="22FF9F17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Smile</w:t>
            </w:r>
          </w:p>
        </w:tc>
        <w:tc>
          <w:tcPr>
            <w:tcW w:w="2160" w:type="dxa"/>
            <w:vAlign w:val="center"/>
          </w:tcPr>
          <w:p w14:paraId="4387052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7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21.21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2DDD942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10.68–37.75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889F7C9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9.09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FF39C6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3.14–23.57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FC41912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5.26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102B8D5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0.94–24.64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1698860F" w14:textId="77777777" w:rsidTr="00FC61C8">
        <w:trPr>
          <w:jc w:val="center"/>
        </w:trPr>
        <w:tc>
          <w:tcPr>
            <w:tcW w:w="2160" w:type="dxa"/>
            <w:vAlign w:val="center"/>
          </w:tcPr>
          <w:p w14:paraId="628056CF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Volume</w:t>
            </w:r>
          </w:p>
        </w:tc>
        <w:tc>
          <w:tcPr>
            <w:tcW w:w="2160" w:type="dxa"/>
            <w:vAlign w:val="center"/>
          </w:tcPr>
          <w:p w14:paraId="708F39F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10.53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41AF6863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2.94–31.39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0144658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5.26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7F78B10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0.94–24.64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E9EC64C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0.00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1C2A1C9D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941F9" w:rsidRPr="00D81D4E" w14:paraId="1080CB8C" w14:textId="77777777" w:rsidTr="00DF145D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</w:tcPr>
          <w:p w14:paraId="2466A2D0" w14:textId="627F8130" w:rsidR="008941F9" w:rsidRPr="00D81D4E" w:rsidRDefault="008941F9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  <w:bCs/>
              </w:rPr>
              <w:t xml:space="preserve">Bruising </w:t>
            </w:r>
          </w:p>
        </w:tc>
      </w:tr>
      <w:tr w:rsidR="0087582C" w:rsidRPr="00D81D4E" w14:paraId="7DDC2325" w14:textId="77777777" w:rsidTr="00FC61C8">
        <w:trPr>
          <w:jc w:val="center"/>
        </w:trPr>
        <w:tc>
          <w:tcPr>
            <w:tcW w:w="2160" w:type="dxa"/>
            <w:vAlign w:val="center"/>
          </w:tcPr>
          <w:p w14:paraId="380D865D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Asymmetry</w:t>
            </w:r>
          </w:p>
        </w:tc>
        <w:tc>
          <w:tcPr>
            <w:tcW w:w="2160" w:type="dxa"/>
            <w:vAlign w:val="center"/>
          </w:tcPr>
          <w:p w14:paraId="79E862B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12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8.33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3200AE0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4.83–14.00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F4E3214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12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8.33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55E40906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4.83–14.00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83B0A44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 / 81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3.70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7C05996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1.27–10.33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29DA27CA" w14:textId="77777777" w:rsidTr="00FC61C8">
        <w:trPr>
          <w:jc w:val="center"/>
        </w:trPr>
        <w:tc>
          <w:tcPr>
            <w:tcW w:w="2160" w:type="dxa"/>
            <w:vAlign w:val="center"/>
          </w:tcPr>
          <w:p w14:paraId="013D2AF8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Hydration</w:t>
            </w:r>
          </w:p>
        </w:tc>
        <w:tc>
          <w:tcPr>
            <w:tcW w:w="2160" w:type="dxa"/>
            <w:vAlign w:val="center"/>
          </w:tcPr>
          <w:p w14:paraId="22A62E8F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5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13.16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5C54DBD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5.75–27.33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E82E624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7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18.42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EC3CE3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9.22–33.42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8CA02D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 / 20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10.00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78DBF886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2.79–30.10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06E642B9" w14:textId="77777777" w:rsidTr="00FC61C8">
        <w:trPr>
          <w:jc w:val="center"/>
        </w:trPr>
        <w:tc>
          <w:tcPr>
            <w:tcW w:w="2160" w:type="dxa"/>
            <w:vAlign w:val="center"/>
          </w:tcPr>
          <w:p w14:paraId="313534A5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Restoration</w:t>
            </w:r>
          </w:p>
        </w:tc>
        <w:tc>
          <w:tcPr>
            <w:tcW w:w="2160" w:type="dxa"/>
            <w:vAlign w:val="center"/>
          </w:tcPr>
          <w:p w14:paraId="6131639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22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13.25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8.92–19.25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EC7C81E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18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10.84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6.97–16.49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154FC52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6 / 109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5.50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04608BF7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2.55–11.49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2A967BFF" w14:textId="77777777" w:rsidTr="00FC61C8">
        <w:trPr>
          <w:jc w:val="center"/>
        </w:trPr>
        <w:tc>
          <w:tcPr>
            <w:tcW w:w="2160" w:type="dxa"/>
            <w:vAlign w:val="center"/>
          </w:tcPr>
          <w:p w14:paraId="4A9A6B54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Smile</w:t>
            </w:r>
          </w:p>
        </w:tc>
        <w:tc>
          <w:tcPr>
            <w:tcW w:w="2160" w:type="dxa"/>
            <w:vAlign w:val="center"/>
          </w:tcPr>
          <w:p w14:paraId="2114513B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9.09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37D0480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3.14–23.57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0E226198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3.03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5806B572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0.54–15.32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46BBD38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5.26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0446C8E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0.94–24.64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10676E90" w14:textId="77777777" w:rsidTr="00FC61C8">
        <w:trPr>
          <w:jc w:val="center"/>
        </w:trPr>
        <w:tc>
          <w:tcPr>
            <w:tcW w:w="2160" w:type="dxa"/>
            <w:vAlign w:val="center"/>
          </w:tcPr>
          <w:p w14:paraId="6A1FA7F2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lastRenderedPageBreak/>
              <w:t>Volume</w:t>
            </w:r>
          </w:p>
        </w:tc>
        <w:tc>
          <w:tcPr>
            <w:tcW w:w="2160" w:type="dxa"/>
            <w:vAlign w:val="center"/>
          </w:tcPr>
          <w:p w14:paraId="5B7AE599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4C713F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456E95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05418D70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EDBC054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10.00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F6E2AA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1.79–40.42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941F9" w:rsidRPr="00D81D4E" w14:paraId="4DFDA565" w14:textId="77777777" w:rsidTr="001F7B3A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</w:tcPr>
          <w:p w14:paraId="0C5FB05D" w14:textId="3AB2022E" w:rsidR="008941F9" w:rsidRPr="00D81D4E" w:rsidRDefault="008941F9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  <w:bCs/>
              </w:rPr>
              <w:t xml:space="preserve">Late-onset swelling </w:t>
            </w:r>
          </w:p>
        </w:tc>
      </w:tr>
      <w:tr w:rsidR="0087582C" w:rsidRPr="00D81D4E" w14:paraId="45E124A3" w14:textId="77777777" w:rsidTr="00FC61C8">
        <w:trPr>
          <w:jc w:val="center"/>
        </w:trPr>
        <w:tc>
          <w:tcPr>
            <w:tcW w:w="2160" w:type="dxa"/>
            <w:vAlign w:val="center"/>
          </w:tcPr>
          <w:p w14:paraId="16BEE3B8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Asymmetry</w:t>
            </w:r>
          </w:p>
        </w:tc>
        <w:tc>
          <w:tcPr>
            <w:tcW w:w="2160" w:type="dxa"/>
            <w:vAlign w:val="center"/>
          </w:tcPr>
          <w:p w14:paraId="3432BD0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198A44F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0.00–2.60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688514B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1.39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5477BD64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0.38–4.92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0A97F2C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81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5180664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0.00–4.53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61AAD315" w14:textId="77777777" w:rsidTr="00FC61C8">
        <w:trPr>
          <w:jc w:val="center"/>
        </w:trPr>
        <w:tc>
          <w:tcPr>
            <w:tcW w:w="2160" w:type="dxa"/>
            <w:vAlign w:val="center"/>
          </w:tcPr>
          <w:p w14:paraId="69474F70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Hydration</w:t>
            </w:r>
          </w:p>
        </w:tc>
        <w:tc>
          <w:tcPr>
            <w:tcW w:w="2160" w:type="dxa"/>
            <w:vAlign w:val="center"/>
          </w:tcPr>
          <w:p w14:paraId="6FBF6DCD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2.63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1DE443D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0.47–13.50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90A6398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7E9BA0AC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0.00–9.18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36FDA40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20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5149527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0.00–16.11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3F5E944B" w14:textId="77777777" w:rsidTr="00FC61C8">
        <w:trPr>
          <w:jc w:val="center"/>
        </w:trPr>
        <w:tc>
          <w:tcPr>
            <w:tcW w:w="2160" w:type="dxa"/>
            <w:vAlign w:val="center"/>
          </w:tcPr>
          <w:p w14:paraId="7170A544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Restoration</w:t>
            </w:r>
          </w:p>
        </w:tc>
        <w:tc>
          <w:tcPr>
            <w:tcW w:w="2160" w:type="dxa"/>
            <w:vAlign w:val="center"/>
          </w:tcPr>
          <w:p w14:paraId="09811D5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0.60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94F3AFE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0.11–3.33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2F96F87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DC5DC8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0.00–2.26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AAAA400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109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F62763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0.00–3.40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3B0C13E7" w14:textId="77777777" w:rsidTr="00FC61C8">
        <w:trPr>
          <w:jc w:val="center"/>
        </w:trPr>
        <w:tc>
          <w:tcPr>
            <w:tcW w:w="2160" w:type="dxa"/>
            <w:vAlign w:val="center"/>
          </w:tcPr>
          <w:p w14:paraId="2A6BD970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Smile</w:t>
            </w:r>
          </w:p>
        </w:tc>
        <w:tc>
          <w:tcPr>
            <w:tcW w:w="2160" w:type="dxa"/>
            <w:vAlign w:val="center"/>
          </w:tcPr>
          <w:p w14:paraId="06816F83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E9FB58E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0.00–10.43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004CE92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375838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0.00–10.43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E44306F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902C9F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0AA15021" w14:textId="77777777" w:rsidTr="00FC61C8">
        <w:trPr>
          <w:jc w:val="center"/>
        </w:trPr>
        <w:tc>
          <w:tcPr>
            <w:tcW w:w="2160" w:type="dxa"/>
            <w:vAlign w:val="center"/>
          </w:tcPr>
          <w:p w14:paraId="59645DB5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Volume</w:t>
            </w:r>
          </w:p>
        </w:tc>
        <w:tc>
          <w:tcPr>
            <w:tcW w:w="2160" w:type="dxa"/>
            <w:vAlign w:val="center"/>
          </w:tcPr>
          <w:p w14:paraId="7A6BCBF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47C62B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02E442A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9DCD1C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768E7CE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E91CE3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941F9" w:rsidRPr="00D81D4E" w14:paraId="65D13DAB" w14:textId="77777777" w:rsidTr="001D3194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</w:tcPr>
          <w:p w14:paraId="58F5B944" w14:textId="39B9DA71" w:rsidR="008941F9" w:rsidRPr="00D81D4E" w:rsidRDefault="008941F9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  <w:bCs/>
              </w:rPr>
              <w:t xml:space="preserve">Nodule formation </w:t>
            </w:r>
          </w:p>
        </w:tc>
      </w:tr>
      <w:tr w:rsidR="0087582C" w:rsidRPr="00D81D4E" w14:paraId="0F8191E6" w14:textId="77777777" w:rsidTr="00FC61C8">
        <w:trPr>
          <w:jc w:val="center"/>
        </w:trPr>
        <w:tc>
          <w:tcPr>
            <w:tcW w:w="2160" w:type="dxa"/>
            <w:vAlign w:val="center"/>
          </w:tcPr>
          <w:p w14:paraId="2737AC67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Asymmetry</w:t>
            </w:r>
          </w:p>
        </w:tc>
        <w:tc>
          <w:tcPr>
            <w:tcW w:w="2160" w:type="dxa"/>
            <w:vAlign w:val="center"/>
          </w:tcPr>
          <w:p w14:paraId="1DDDB8BF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5E053C3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0.00–2.60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09E513F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43B5407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0.00–2.60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631368F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81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7AAE65B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0.00–4.53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5EA17416" w14:textId="77777777" w:rsidTr="00FC61C8">
        <w:trPr>
          <w:jc w:val="center"/>
        </w:trPr>
        <w:tc>
          <w:tcPr>
            <w:tcW w:w="2160" w:type="dxa"/>
            <w:vAlign w:val="center"/>
          </w:tcPr>
          <w:p w14:paraId="78C6EBCF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Hydration</w:t>
            </w:r>
          </w:p>
        </w:tc>
        <w:tc>
          <w:tcPr>
            <w:tcW w:w="2160" w:type="dxa"/>
            <w:vAlign w:val="center"/>
          </w:tcPr>
          <w:p w14:paraId="02515A7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6074672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0.00–9.18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6026290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300E96C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0.00–9.18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507906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20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E3B93C9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0.00–16.11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0C464E2F" w14:textId="77777777" w:rsidTr="00FC61C8">
        <w:trPr>
          <w:jc w:val="center"/>
        </w:trPr>
        <w:tc>
          <w:tcPr>
            <w:tcW w:w="2160" w:type="dxa"/>
            <w:vAlign w:val="center"/>
          </w:tcPr>
          <w:p w14:paraId="72EF69AC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Restoration</w:t>
            </w:r>
          </w:p>
        </w:tc>
        <w:tc>
          <w:tcPr>
            <w:tcW w:w="2160" w:type="dxa"/>
            <w:vAlign w:val="center"/>
          </w:tcPr>
          <w:p w14:paraId="65B5EB16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F0891B9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0.00–2.26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6CB1ACE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0.60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48D03E4E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0.11–3.33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7F31EA2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109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4EB270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0.00–3.40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1DAEE538" w14:textId="77777777" w:rsidTr="00FC61C8">
        <w:trPr>
          <w:jc w:val="center"/>
        </w:trPr>
        <w:tc>
          <w:tcPr>
            <w:tcW w:w="2160" w:type="dxa"/>
            <w:vAlign w:val="center"/>
          </w:tcPr>
          <w:p w14:paraId="00320B7D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Smile</w:t>
            </w:r>
          </w:p>
        </w:tc>
        <w:tc>
          <w:tcPr>
            <w:tcW w:w="2160" w:type="dxa"/>
            <w:vAlign w:val="center"/>
          </w:tcPr>
          <w:p w14:paraId="1AEF668C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D3DBBCF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0.00–10.43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45AF034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5FBDEC68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0.00–10.43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42332D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25613805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2C36C5EA" w14:textId="77777777" w:rsidTr="00FC61C8">
        <w:trPr>
          <w:jc w:val="center"/>
        </w:trPr>
        <w:tc>
          <w:tcPr>
            <w:tcW w:w="2160" w:type="dxa"/>
            <w:vAlign w:val="center"/>
          </w:tcPr>
          <w:p w14:paraId="599C612C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Volume</w:t>
            </w:r>
          </w:p>
        </w:tc>
        <w:tc>
          <w:tcPr>
            <w:tcW w:w="2160" w:type="dxa"/>
            <w:vAlign w:val="center"/>
          </w:tcPr>
          <w:p w14:paraId="5F48A7EE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015F323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C16899A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lastRenderedPageBreak/>
              <w:t>0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7A9AB1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[</w:t>
            </w:r>
            <w:r w:rsidRPr="00D81D4E">
              <w:rPr>
                <w:rFonts w:asciiTheme="majorHAnsi" w:hAnsiTheme="majorHAnsi" w:cstheme="majorHAnsi"/>
              </w:rPr>
              <w:t>0.00–16.82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314937A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lastRenderedPageBreak/>
              <w:t>0 / 10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576A832A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[</w:t>
            </w:r>
            <w:r w:rsidRPr="00D81D4E">
              <w:rPr>
                <w:rFonts w:asciiTheme="majorHAnsi" w:hAnsiTheme="majorHAnsi" w:cstheme="majorHAnsi"/>
              </w:rPr>
              <w:t>0.00–27.75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941F9" w:rsidRPr="00D81D4E" w14:paraId="3C7CB0E5" w14:textId="77777777" w:rsidTr="0011134F">
        <w:trPr>
          <w:jc w:val="center"/>
        </w:trPr>
        <w:tc>
          <w:tcPr>
            <w:tcW w:w="8640" w:type="dxa"/>
            <w:gridSpan w:val="4"/>
            <w:shd w:val="clear" w:color="auto" w:fill="F2F2F2" w:themeFill="background1" w:themeFillShade="F2"/>
            <w:vAlign w:val="center"/>
          </w:tcPr>
          <w:p w14:paraId="0AA02373" w14:textId="5CD00C61" w:rsidR="008941F9" w:rsidRPr="00D81D4E" w:rsidRDefault="008941F9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  <w:b/>
              </w:rPr>
              <w:lastRenderedPageBreak/>
              <w:t>Swelling composite (edema incl</w:t>
            </w:r>
            <w:r>
              <w:rPr>
                <w:rFonts w:asciiTheme="majorHAnsi" w:hAnsiTheme="majorHAnsi" w:cstheme="majorHAnsi"/>
                <w:b/>
              </w:rPr>
              <w:t>uding</w:t>
            </w:r>
            <w:r w:rsidRPr="00D81D4E">
              <w:rPr>
                <w:rFonts w:asciiTheme="majorHAnsi" w:hAnsiTheme="majorHAnsi" w:cstheme="majorHAnsi"/>
                <w:b/>
              </w:rPr>
              <w:t xml:space="preserve"> late</w:t>
            </w:r>
            <w:r w:rsidR="00DF3D6D">
              <w:rPr>
                <w:rFonts w:asciiTheme="majorHAnsi" w:hAnsiTheme="majorHAnsi" w:cstheme="majorHAnsi"/>
                <w:b/>
              </w:rPr>
              <w:t xml:space="preserve"> </w:t>
            </w:r>
            <w:r w:rsidRPr="00D81D4E">
              <w:rPr>
                <w:rFonts w:asciiTheme="majorHAnsi" w:hAnsiTheme="majorHAnsi" w:cstheme="majorHAnsi"/>
                <w:b/>
              </w:rPr>
              <w:t>onset)</w:t>
            </w:r>
          </w:p>
        </w:tc>
      </w:tr>
      <w:tr w:rsidR="0087582C" w:rsidRPr="00D81D4E" w14:paraId="53D6A298" w14:textId="77777777" w:rsidTr="00FC61C8">
        <w:trPr>
          <w:jc w:val="center"/>
        </w:trPr>
        <w:tc>
          <w:tcPr>
            <w:tcW w:w="2160" w:type="dxa"/>
            <w:vAlign w:val="center"/>
          </w:tcPr>
          <w:p w14:paraId="169B0AEC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Asymmetry</w:t>
            </w:r>
          </w:p>
        </w:tc>
        <w:tc>
          <w:tcPr>
            <w:tcW w:w="2160" w:type="dxa"/>
            <w:vAlign w:val="center"/>
          </w:tcPr>
          <w:p w14:paraId="54FECF62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16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11.11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E66BFA9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6.96–17.29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6D3A729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18 / 144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12.50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10C0B7E6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8.06–18.89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C5BAA87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9 / 81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11.11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73A9CAD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5.96–19.79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74AC857B" w14:textId="77777777" w:rsidTr="00FC61C8">
        <w:trPr>
          <w:jc w:val="center"/>
        </w:trPr>
        <w:tc>
          <w:tcPr>
            <w:tcW w:w="2160" w:type="dxa"/>
            <w:vAlign w:val="center"/>
          </w:tcPr>
          <w:p w14:paraId="6C2885FF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Hydration</w:t>
            </w:r>
          </w:p>
        </w:tc>
        <w:tc>
          <w:tcPr>
            <w:tcW w:w="2160" w:type="dxa"/>
            <w:vAlign w:val="center"/>
          </w:tcPr>
          <w:p w14:paraId="69A96D3D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8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21.05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3D0A2B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11.07–36.35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15FE1880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6 / 38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15.79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FFEA2D1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7.44–30.42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6B90E3B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20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5.00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3463D343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0.89–23.61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13906408" w14:textId="77777777" w:rsidTr="00FC61C8">
        <w:trPr>
          <w:jc w:val="center"/>
        </w:trPr>
        <w:tc>
          <w:tcPr>
            <w:tcW w:w="2160" w:type="dxa"/>
            <w:vAlign w:val="center"/>
          </w:tcPr>
          <w:p w14:paraId="1989BF37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Restoration</w:t>
            </w:r>
          </w:p>
        </w:tc>
        <w:tc>
          <w:tcPr>
            <w:tcW w:w="2160" w:type="dxa"/>
            <w:vAlign w:val="center"/>
          </w:tcPr>
          <w:p w14:paraId="54795A73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38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22.89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E8FD3D4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17.16–29.85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7EBE54FD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22 / 166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13.25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66CF5A1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 xml:space="preserve"> </w:t>
            </w: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8.92–19.25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BC0A2BD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8 / 109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7.34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682FF9D6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3.77–13.82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0CD664B5" w14:textId="77777777" w:rsidTr="00FC61C8">
        <w:trPr>
          <w:jc w:val="center"/>
        </w:trPr>
        <w:tc>
          <w:tcPr>
            <w:tcW w:w="2160" w:type="dxa"/>
            <w:vAlign w:val="center"/>
          </w:tcPr>
          <w:p w14:paraId="255A3FDB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Smile</w:t>
            </w:r>
          </w:p>
        </w:tc>
        <w:tc>
          <w:tcPr>
            <w:tcW w:w="2160" w:type="dxa"/>
            <w:vAlign w:val="center"/>
          </w:tcPr>
          <w:p w14:paraId="125069D6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7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21.21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1F8EFD7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10.68–37.75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3615CE51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3 / 33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9.09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7D98D0A4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3.14–23.57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6A890DE6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5.26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26E7272B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0.94–24.64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  <w:tr w:rsidR="0087582C" w:rsidRPr="00D81D4E" w14:paraId="5FE4168C" w14:textId="77777777" w:rsidTr="00FC61C8">
        <w:trPr>
          <w:jc w:val="center"/>
        </w:trPr>
        <w:tc>
          <w:tcPr>
            <w:tcW w:w="2160" w:type="dxa"/>
            <w:vAlign w:val="center"/>
          </w:tcPr>
          <w:p w14:paraId="17E21D31" w14:textId="77777777" w:rsidR="0087582C" w:rsidRPr="00D81D4E" w:rsidRDefault="0087582C" w:rsidP="00FC61C8">
            <w:pPr>
              <w:spacing w:after="0" w:line="480" w:lineRule="auto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Volume</w:t>
            </w:r>
          </w:p>
        </w:tc>
        <w:tc>
          <w:tcPr>
            <w:tcW w:w="2160" w:type="dxa"/>
            <w:vAlign w:val="center"/>
          </w:tcPr>
          <w:p w14:paraId="5886A56F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2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10.53</w:t>
            </w:r>
            <w:r>
              <w:rPr>
                <w:rFonts w:asciiTheme="majorHAnsi" w:hAnsiTheme="majorHAnsi" w:cstheme="majorHAnsi"/>
              </w:rPr>
              <w:t>)</w:t>
            </w:r>
          </w:p>
          <w:p w14:paraId="40857BD9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2.94–31.39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5BED1C95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1 / 19</w:t>
            </w:r>
            <w:r>
              <w:rPr>
                <w:rFonts w:asciiTheme="majorHAnsi" w:hAnsiTheme="majorHAnsi" w:cstheme="majorHAnsi"/>
              </w:rPr>
              <w:t xml:space="preserve"> (</w:t>
            </w:r>
            <w:r w:rsidRPr="00D81D4E">
              <w:rPr>
                <w:rFonts w:asciiTheme="majorHAnsi" w:hAnsiTheme="majorHAnsi" w:cstheme="majorHAnsi"/>
              </w:rPr>
              <w:t>5.26</w:t>
            </w:r>
            <w:r>
              <w:rPr>
                <w:rFonts w:asciiTheme="majorHAnsi" w:hAnsiTheme="majorHAnsi" w:cstheme="majorHAnsi"/>
              </w:rPr>
              <w:t>)</w:t>
            </w:r>
            <w:r w:rsidRPr="00D81D4E">
              <w:rPr>
                <w:rFonts w:asciiTheme="majorHAnsi" w:hAnsiTheme="majorHAnsi" w:cstheme="majorHAnsi"/>
              </w:rPr>
              <w:t xml:space="preserve"> </w:t>
            </w:r>
          </w:p>
          <w:p w14:paraId="326E576C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0.94–24.64</w:t>
            </w:r>
            <w:r>
              <w:rPr>
                <w:rFonts w:asciiTheme="majorHAnsi" w:hAnsiTheme="majorHAnsi" w:cstheme="majorHAnsi"/>
              </w:rPr>
              <w:t>]</w:t>
            </w:r>
          </w:p>
        </w:tc>
        <w:tc>
          <w:tcPr>
            <w:tcW w:w="2160" w:type="dxa"/>
            <w:vAlign w:val="center"/>
          </w:tcPr>
          <w:p w14:paraId="4E1C952A" w14:textId="77777777" w:rsidR="0087582C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 w:rsidRPr="00D81D4E">
              <w:rPr>
                <w:rFonts w:asciiTheme="majorHAnsi" w:hAnsiTheme="majorHAnsi" w:cstheme="majorHAnsi"/>
              </w:rPr>
              <w:t>0 / 10</w:t>
            </w:r>
            <w:r>
              <w:rPr>
                <w:rFonts w:asciiTheme="majorHAnsi" w:hAnsiTheme="majorHAnsi" w:cstheme="majorHAnsi"/>
              </w:rPr>
              <w:t xml:space="preserve"> (0)</w:t>
            </w:r>
          </w:p>
          <w:p w14:paraId="39933850" w14:textId="77777777" w:rsidR="0087582C" w:rsidRPr="00D81D4E" w:rsidRDefault="0087582C" w:rsidP="00FC61C8">
            <w:pPr>
              <w:spacing w:after="0" w:line="48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[</w:t>
            </w:r>
            <w:r w:rsidRPr="00D81D4E">
              <w:rPr>
                <w:rFonts w:asciiTheme="majorHAnsi" w:hAnsiTheme="majorHAnsi" w:cstheme="majorHAnsi"/>
              </w:rPr>
              <w:t>0.00–27.75</w:t>
            </w:r>
            <w:r>
              <w:rPr>
                <w:rFonts w:asciiTheme="majorHAnsi" w:hAnsiTheme="majorHAnsi" w:cstheme="majorHAnsi"/>
              </w:rPr>
              <w:t>]</w:t>
            </w:r>
          </w:p>
        </w:tc>
      </w:tr>
    </w:tbl>
    <w:p w14:paraId="4C41EF9F" w14:textId="11BE3BF8" w:rsidR="0087582C" w:rsidRPr="00D81D4E" w:rsidRDefault="0087582C" w:rsidP="0087582C">
      <w:pPr>
        <w:spacing w:after="0" w:line="480" w:lineRule="auto"/>
        <w:rPr>
          <w:rFonts w:asciiTheme="majorHAnsi" w:hAnsiTheme="majorHAnsi" w:cstheme="majorHAnsi"/>
        </w:rPr>
      </w:pPr>
      <w:bookmarkStart w:id="0" w:name="_Hlk209191459"/>
      <w:r>
        <w:rPr>
          <w:rFonts w:asciiTheme="majorHAnsi" w:hAnsiTheme="majorHAnsi" w:cstheme="majorHAnsi"/>
        </w:rPr>
        <w:t xml:space="preserve">All data are n/N (%) [Wilson 95% confidence interval]. </w:t>
      </w:r>
      <w:bookmarkStart w:id="1" w:name="_Hlk209191493"/>
      <w:bookmarkEnd w:id="0"/>
      <w:r w:rsidRPr="00D81D4E">
        <w:rPr>
          <w:rFonts w:asciiTheme="majorHAnsi" w:hAnsiTheme="majorHAnsi" w:cstheme="majorHAnsi"/>
        </w:rPr>
        <w:t>Edema (non-late) excludes episodes labeled late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delayed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/</w:t>
      </w:r>
      <w:r>
        <w:rPr>
          <w:rFonts w:asciiTheme="majorHAnsi" w:hAnsiTheme="majorHAnsi" w:cstheme="majorHAnsi"/>
        </w:rPr>
        <w:t xml:space="preserve"> </w:t>
      </w:r>
      <w:r w:rsidRPr="00D81D4E">
        <w:rPr>
          <w:rFonts w:asciiTheme="majorHAnsi" w:hAnsiTheme="majorHAnsi" w:cstheme="majorHAnsi"/>
        </w:rPr>
        <w:t>tardive</w:t>
      </w:r>
      <w:r>
        <w:rPr>
          <w:rFonts w:asciiTheme="majorHAnsi" w:hAnsiTheme="majorHAnsi" w:cstheme="majorHAnsi"/>
        </w:rPr>
        <w:t xml:space="preserve">. </w:t>
      </w:r>
      <w:r w:rsidRPr="00D81D4E">
        <w:rPr>
          <w:rFonts w:asciiTheme="majorHAnsi" w:hAnsiTheme="majorHAnsi" w:cstheme="majorHAnsi"/>
        </w:rPr>
        <w:t xml:space="preserve">Late-onset swelling is listed separately. </w:t>
      </w:r>
      <w:bookmarkEnd w:id="1"/>
      <w:r w:rsidRPr="00D81D4E">
        <w:rPr>
          <w:rFonts w:asciiTheme="majorHAnsi" w:hAnsiTheme="majorHAnsi" w:cstheme="majorHAnsi"/>
        </w:rPr>
        <w:t>Primary indication was assigned at T0 and not re-assigned at maintenance</w:t>
      </w:r>
      <w:r>
        <w:rPr>
          <w:rFonts w:asciiTheme="majorHAnsi" w:hAnsiTheme="majorHAnsi" w:cstheme="majorHAnsi"/>
        </w:rPr>
        <w:t>. A</w:t>
      </w:r>
      <w:r w:rsidRPr="00D81D4E">
        <w:rPr>
          <w:rFonts w:asciiTheme="majorHAnsi" w:hAnsiTheme="majorHAnsi" w:cstheme="majorHAnsi"/>
        </w:rPr>
        <w:t>nalyses reflect maintenance of the primary goal.</w:t>
      </w:r>
      <w:r w:rsidR="0006366E">
        <w:rPr>
          <w:rFonts w:asciiTheme="majorHAnsi" w:hAnsiTheme="majorHAnsi" w:cstheme="majorHAnsi"/>
        </w:rPr>
        <w:t xml:space="preserve"> </w:t>
      </w:r>
      <w:r w:rsidR="0006366E">
        <w:rPr>
          <w:rFonts w:ascii="Calibri" w:hAnsi="Calibri" w:cs="Calibri"/>
        </w:rPr>
        <w:t>T0, baseline treatment; T1Y, 1-year treatment; T6M, 6-month treatment.</w:t>
      </w:r>
    </w:p>
    <w:p w14:paraId="3FC8C13B" w14:textId="5C17B673" w:rsidR="001C66C9" w:rsidRPr="0087582C" w:rsidRDefault="001C66C9" w:rsidP="0087582C"/>
    <w:sectPr w:rsidR="001C66C9" w:rsidRPr="0087582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3774118">
    <w:abstractNumId w:val="8"/>
  </w:num>
  <w:num w:numId="2" w16cid:durableId="1898391904">
    <w:abstractNumId w:val="6"/>
  </w:num>
  <w:num w:numId="3" w16cid:durableId="1936281343">
    <w:abstractNumId w:val="5"/>
  </w:num>
  <w:num w:numId="4" w16cid:durableId="390270279">
    <w:abstractNumId w:val="4"/>
  </w:num>
  <w:num w:numId="5" w16cid:durableId="1100756086">
    <w:abstractNumId w:val="7"/>
  </w:num>
  <w:num w:numId="6" w16cid:durableId="1762793126">
    <w:abstractNumId w:val="3"/>
  </w:num>
  <w:num w:numId="7" w16cid:durableId="993798423">
    <w:abstractNumId w:val="2"/>
  </w:num>
  <w:num w:numId="8" w16cid:durableId="1663850551">
    <w:abstractNumId w:val="1"/>
  </w:num>
  <w:num w:numId="9" w16cid:durableId="59710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66E"/>
    <w:rsid w:val="000B06CD"/>
    <w:rsid w:val="000D7846"/>
    <w:rsid w:val="0015074B"/>
    <w:rsid w:val="001C66C9"/>
    <w:rsid w:val="0029639D"/>
    <w:rsid w:val="00326F90"/>
    <w:rsid w:val="00336C00"/>
    <w:rsid w:val="003D5871"/>
    <w:rsid w:val="0087582C"/>
    <w:rsid w:val="008941F9"/>
    <w:rsid w:val="009A2B26"/>
    <w:rsid w:val="009F4F96"/>
    <w:rsid w:val="00AA1D8D"/>
    <w:rsid w:val="00B47730"/>
    <w:rsid w:val="00BD17AD"/>
    <w:rsid w:val="00CB0664"/>
    <w:rsid w:val="00D05191"/>
    <w:rsid w:val="00D431C9"/>
    <w:rsid w:val="00D60D8D"/>
    <w:rsid w:val="00D81D4E"/>
    <w:rsid w:val="00D81EA0"/>
    <w:rsid w:val="00DF3D6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C3C5B2"/>
  <w14:defaultImageDpi w14:val="300"/>
  <w15:docId w15:val="{89E8B979-75AF-0340-AF90-73D8E3CC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8758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Tim Ryder</cp:lastModifiedBy>
  <cp:revision>3</cp:revision>
  <dcterms:created xsi:type="dcterms:W3CDTF">2025-09-22T13:32:00Z</dcterms:created>
  <dcterms:modified xsi:type="dcterms:W3CDTF">2025-09-22T13:33:00Z</dcterms:modified>
  <cp:category/>
</cp:coreProperties>
</file>