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4A2B7" w14:textId="77777777" w:rsidR="00521A00" w:rsidRPr="00851BF4" w:rsidRDefault="00521A00" w:rsidP="00521A00">
      <w:pPr>
        <w:spacing w:after="0" w:line="480" w:lineRule="auto"/>
        <w:rPr>
          <w:rFonts w:asciiTheme="majorHAnsi" w:hAnsiTheme="majorHAnsi" w:cstheme="majorHAnsi"/>
        </w:rPr>
      </w:pPr>
      <w:r w:rsidRPr="00851BF4">
        <w:rPr>
          <w:rFonts w:asciiTheme="majorHAnsi" w:hAnsiTheme="majorHAnsi" w:cstheme="majorHAnsi"/>
          <w:b/>
        </w:rPr>
        <w:t>Supplementary Table 6. Adverse events per treatment session by device and timepoint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21A00" w:rsidRPr="00851BF4" w14:paraId="6B765CE6" w14:textId="77777777" w:rsidTr="00FC61C8">
        <w:trPr>
          <w:jc w:val="center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5A930425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  <w:b/>
              </w:rPr>
              <w:t>Device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5512EC16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  <w:b/>
              </w:rPr>
              <w:t>T0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51F7F05E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  <w:b/>
              </w:rPr>
              <w:t>T6M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2FCD20F6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  <w:b/>
              </w:rPr>
              <w:t>T1Y</w:t>
            </w:r>
          </w:p>
        </w:tc>
      </w:tr>
      <w:tr w:rsidR="00521A00" w:rsidRPr="00851BF4" w14:paraId="6A939653" w14:textId="77777777" w:rsidTr="00FC61C8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  <w:vAlign w:val="center"/>
          </w:tcPr>
          <w:p w14:paraId="36D6D419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  <w:b/>
                <w:bCs/>
              </w:rPr>
              <w:t>Edema (non-late)</w:t>
            </w:r>
          </w:p>
        </w:tc>
      </w:tr>
      <w:tr w:rsidR="00521A00" w:rsidRPr="00851BF4" w14:paraId="701BFCF5" w14:textId="77777777" w:rsidTr="00FC61C8">
        <w:trPr>
          <w:jc w:val="center"/>
        </w:trPr>
        <w:tc>
          <w:tcPr>
            <w:tcW w:w="2160" w:type="dxa"/>
            <w:vAlign w:val="center"/>
          </w:tcPr>
          <w:p w14:paraId="3AFAE6CA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Cannula</w:t>
            </w:r>
          </w:p>
        </w:tc>
        <w:tc>
          <w:tcPr>
            <w:tcW w:w="2160" w:type="dxa"/>
            <w:vAlign w:val="center"/>
          </w:tcPr>
          <w:p w14:paraId="467497CB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12 / 56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21.43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01F01A5F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12.71–33.82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33056E5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3 / 56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5.36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20828BBA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1.84–14.61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B3724C7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5 / 36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13.89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1D8AC7B4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6.08–28.66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521A00" w:rsidRPr="00851BF4" w14:paraId="485F661C" w14:textId="77777777" w:rsidTr="00FC61C8">
        <w:trPr>
          <w:jc w:val="center"/>
        </w:trPr>
        <w:tc>
          <w:tcPr>
            <w:tcW w:w="2160" w:type="dxa"/>
            <w:vAlign w:val="center"/>
          </w:tcPr>
          <w:p w14:paraId="7CC44886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Needle</w:t>
            </w:r>
          </w:p>
        </w:tc>
        <w:tc>
          <w:tcPr>
            <w:tcW w:w="2160" w:type="dxa"/>
            <w:vAlign w:val="center"/>
          </w:tcPr>
          <w:p w14:paraId="111F30E6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57 / 344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16.57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13.01–20.86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4A3908A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45 / 344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13.08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9.92–17.06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1ECE5AF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14 / 203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6.90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3834459D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4.15–11.24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521A00" w:rsidRPr="00851BF4" w14:paraId="54C864EA" w14:textId="77777777" w:rsidTr="00FC61C8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  <w:vAlign w:val="center"/>
          </w:tcPr>
          <w:p w14:paraId="0EDD245B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  <w:b/>
                <w:bCs/>
              </w:rPr>
              <w:t>Bruising</w:t>
            </w:r>
          </w:p>
        </w:tc>
      </w:tr>
      <w:tr w:rsidR="00521A00" w:rsidRPr="00851BF4" w14:paraId="45A973A3" w14:textId="77777777" w:rsidTr="00FC61C8">
        <w:trPr>
          <w:jc w:val="center"/>
        </w:trPr>
        <w:tc>
          <w:tcPr>
            <w:tcW w:w="2160" w:type="dxa"/>
            <w:vAlign w:val="center"/>
          </w:tcPr>
          <w:p w14:paraId="26D44525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Cannula</w:t>
            </w:r>
          </w:p>
        </w:tc>
        <w:tc>
          <w:tcPr>
            <w:tcW w:w="2160" w:type="dxa"/>
            <w:vAlign w:val="center"/>
          </w:tcPr>
          <w:p w14:paraId="386D51A4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7 / 56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12.50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54E1D911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6.19–23.63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7514EDE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6 / 56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10.71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054B97DC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5.00–21.47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00D741E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36</w:t>
            </w:r>
            <w:r>
              <w:rPr>
                <w:rFonts w:asciiTheme="majorHAnsi" w:hAnsiTheme="majorHAnsi" w:cstheme="majorHAnsi"/>
              </w:rPr>
              <w:t xml:space="preserve"> (0)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5F2C6848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0.00–9.64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521A00" w:rsidRPr="00851BF4" w14:paraId="52616753" w14:textId="77777777" w:rsidTr="00FC61C8">
        <w:trPr>
          <w:jc w:val="center"/>
        </w:trPr>
        <w:tc>
          <w:tcPr>
            <w:tcW w:w="2160" w:type="dxa"/>
            <w:vAlign w:val="center"/>
          </w:tcPr>
          <w:p w14:paraId="10C61A1F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Needle</w:t>
            </w:r>
          </w:p>
        </w:tc>
        <w:tc>
          <w:tcPr>
            <w:tcW w:w="2160" w:type="dxa"/>
            <w:vAlign w:val="center"/>
          </w:tcPr>
          <w:p w14:paraId="1AE4CBF0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35 / 344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10.17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56708443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7.41–13.82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58EE285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32 / 344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9.30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594DC89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6.67–12.84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ADD53E6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13 / 203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6.40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17E8A07C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3.78–10.65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521A00" w:rsidRPr="00851BF4" w14:paraId="240DEDD6" w14:textId="77777777" w:rsidTr="00FC61C8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  <w:vAlign w:val="center"/>
          </w:tcPr>
          <w:p w14:paraId="7DC5B06B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  <w:b/>
              </w:rPr>
              <w:t>Late-onset swelling</w:t>
            </w:r>
          </w:p>
        </w:tc>
      </w:tr>
      <w:tr w:rsidR="00521A00" w:rsidRPr="00851BF4" w14:paraId="4E38789F" w14:textId="77777777" w:rsidTr="00FC61C8">
        <w:trPr>
          <w:jc w:val="center"/>
        </w:trPr>
        <w:tc>
          <w:tcPr>
            <w:tcW w:w="2160" w:type="dxa"/>
            <w:vAlign w:val="center"/>
          </w:tcPr>
          <w:p w14:paraId="4569F30C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Cannula</w:t>
            </w:r>
          </w:p>
        </w:tc>
        <w:tc>
          <w:tcPr>
            <w:tcW w:w="2160" w:type="dxa"/>
            <w:vAlign w:val="center"/>
          </w:tcPr>
          <w:p w14:paraId="0C9DF811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2 / 56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3.57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23425C73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0.98–12.12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3E16B10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56</w:t>
            </w:r>
            <w:r>
              <w:rPr>
                <w:rFonts w:asciiTheme="majorHAnsi" w:hAnsiTheme="majorHAnsi" w:cstheme="majorHAnsi"/>
              </w:rPr>
              <w:t xml:space="preserve"> (0)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39D52300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0.00–6.42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0AC76D7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36</w:t>
            </w:r>
            <w:r>
              <w:rPr>
                <w:rFonts w:asciiTheme="majorHAnsi" w:hAnsiTheme="majorHAnsi" w:cstheme="majorHAnsi"/>
              </w:rPr>
              <w:t xml:space="preserve"> (0)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3357E6A8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0.00–9.64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521A00" w:rsidRPr="00851BF4" w14:paraId="2D3B8CC8" w14:textId="77777777" w:rsidTr="00FC61C8">
        <w:trPr>
          <w:jc w:val="center"/>
        </w:trPr>
        <w:tc>
          <w:tcPr>
            <w:tcW w:w="2160" w:type="dxa"/>
            <w:vAlign w:val="center"/>
          </w:tcPr>
          <w:p w14:paraId="67785170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Needle</w:t>
            </w:r>
          </w:p>
        </w:tc>
        <w:tc>
          <w:tcPr>
            <w:tcW w:w="2160" w:type="dxa"/>
            <w:vAlign w:val="center"/>
          </w:tcPr>
          <w:p w14:paraId="0DD92230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344</w:t>
            </w:r>
            <w:r>
              <w:rPr>
                <w:rFonts w:asciiTheme="majorHAnsi" w:hAnsiTheme="majorHAnsi" w:cstheme="majorHAnsi"/>
              </w:rPr>
              <w:t xml:space="preserve"> (0)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5E013F83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0.00–1.10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0EE67A4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2 / 344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0.58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050B03BB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0.16–2.09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129AC7DF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203</w:t>
            </w:r>
            <w:r>
              <w:rPr>
                <w:rFonts w:asciiTheme="majorHAnsi" w:hAnsiTheme="majorHAnsi" w:cstheme="majorHAnsi"/>
              </w:rPr>
              <w:t xml:space="preserve"> (0)</w:t>
            </w:r>
          </w:p>
          <w:p w14:paraId="56F26C8F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0.00–1.86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521A00" w:rsidRPr="00851BF4" w14:paraId="4092CB5B" w14:textId="77777777" w:rsidTr="00FC61C8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  <w:vAlign w:val="center"/>
          </w:tcPr>
          <w:p w14:paraId="60949E89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  <w:b/>
              </w:rPr>
              <w:t>Nodule formation</w:t>
            </w:r>
          </w:p>
        </w:tc>
      </w:tr>
      <w:tr w:rsidR="00521A00" w:rsidRPr="00851BF4" w14:paraId="6E26CF6C" w14:textId="77777777" w:rsidTr="00FC61C8">
        <w:trPr>
          <w:jc w:val="center"/>
        </w:trPr>
        <w:tc>
          <w:tcPr>
            <w:tcW w:w="2160" w:type="dxa"/>
            <w:vAlign w:val="center"/>
          </w:tcPr>
          <w:p w14:paraId="5A9036E0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Cannula</w:t>
            </w:r>
          </w:p>
        </w:tc>
        <w:tc>
          <w:tcPr>
            <w:tcW w:w="2160" w:type="dxa"/>
            <w:vAlign w:val="center"/>
          </w:tcPr>
          <w:p w14:paraId="699620E4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56</w:t>
            </w:r>
            <w:r>
              <w:rPr>
                <w:rFonts w:asciiTheme="majorHAnsi" w:hAnsiTheme="majorHAnsi" w:cstheme="majorHAnsi"/>
              </w:rPr>
              <w:t xml:space="preserve"> (0)</w:t>
            </w:r>
          </w:p>
          <w:p w14:paraId="3F78ABC9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0.00–6.42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13631983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1 / 56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1.79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5BD661BF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0.32–9.45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A70CE34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36</w:t>
            </w:r>
            <w:r>
              <w:rPr>
                <w:rFonts w:asciiTheme="majorHAnsi" w:hAnsiTheme="majorHAnsi" w:cstheme="majorHAnsi"/>
              </w:rPr>
              <w:t xml:space="preserve"> (0)</w:t>
            </w:r>
          </w:p>
          <w:p w14:paraId="64A3775B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0.00–9.64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521A00" w:rsidRPr="00851BF4" w14:paraId="0A793877" w14:textId="77777777" w:rsidTr="00FC61C8">
        <w:trPr>
          <w:jc w:val="center"/>
        </w:trPr>
        <w:tc>
          <w:tcPr>
            <w:tcW w:w="2160" w:type="dxa"/>
            <w:vAlign w:val="center"/>
          </w:tcPr>
          <w:p w14:paraId="61F05B9E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Needle</w:t>
            </w:r>
          </w:p>
        </w:tc>
        <w:tc>
          <w:tcPr>
            <w:tcW w:w="2160" w:type="dxa"/>
            <w:vAlign w:val="center"/>
          </w:tcPr>
          <w:p w14:paraId="5CF7A020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344</w:t>
            </w:r>
            <w:r>
              <w:rPr>
                <w:rFonts w:asciiTheme="majorHAnsi" w:hAnsiTheme="majorHAnsi" w:cstheme="majorHAnsi"/>
              </w:rPr>
              <w:t xml:space="preserve"> (0)</w:t>
            </w:r>
          </w:p>
          <w:p w14:paraId="22C6E2C3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0.00–1.10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2F62556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344</w:t>
            </w:r>
            <w:r>
              <w:rPr>
                <w:rFonts w:asciiTheme="majorHAnsi" w:hAnsiTheme="majorHAnsi" w:cstheme="majorHAnsi"/>
              </w:rPr>
              <w:t xml:space="preserve"> (0)</w:t>
            </w:r>
          </w:p>
          <w:p w14:paraId="78032D8E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0.00–1.10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2CF78E35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0 / 203</w:t>
            </w:r>
            <w:r>
              <w:rPr>
                <w:rFonts w:asciiTheme="majorHAnsi" w:hAnsiTheme="majorHAnsi" w:cstheme="majorHAnsi"/>
              </w:rPr>
              <w:t xml:space="preserve"> (0)</w:t>
            </w:r>
          </w:p>
          <w:p w14:paraId="30175734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0.00–1.86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521A00" w:rsidRPr="00851BF4" w14:paraId="7DEB864D" w14:textId="77777777" w:rsidTr="00FC61C8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  <w:vAlign w:val="center"/>
          </w:tcPr>
          <w:p w14:paraId="6777E726" w14:textId="4A4611C8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  <w:b/>
              </w:rPr>
              <w:t>Swelling composite (edema incl</w:t>
            </w:r>
            <w:r>
              <w:rPr>
                <w:rFonts w:asciiTheme="majorHAnsi" w:hAnsiTheme="majorHAnsi" w:cstheme="majorHAnsi"/>
                <w:b/>
              </w:rPr>
              <w:t>uding</w:t>
            </w:r>
            <w:r w:rsidRPr="00851BF4">
              <w:rPr>
                <w:rFonts w:asciiTheme="majorHAnsi" w:hAnsiTheme="majorHAnsi" w:cstheme="majorHAnsi"/>
                <w:b/>
              </w:rPr>
              <w:t xml:space="preserve"> late</w:t>
            </w:r>
            <w:r w:rsidR="00CA1A04">
              <w:rPr>
                <w:rFonts w:asciiTheme="majorHAnsi" w:hAnsiTheme="majorHAnsi" w:cstheme="majorHAnsi"/>
                <w:b/>
              </w:rPr>
              <w:t xml:space="preserve"> </w:t>
            </w:r>
            <w:r w:rsidRPr="00851BF4">
              <w:rPr>
                <w:rFonts w:asciiTheme="majorHAnsi" w:hAnsiTheme="majorHAnsi" w:cstheme="majorHAnsi"/>
                <w:b/>
              </w:rPr>
              <w:t>onset)</w:t>
            </w:r>
          </w:p>
        </w:tc>
      </w:tr>
      <w:tr w:rsidR="00521A00" w:rsidRPr="00851BF4" w14:paraId="67D1464C" w14:textId="77777777" w:rsidTr="00FC61C8">
        <w:trPr>
          <w:jc w:val="center"/>
        </w:trPr>
        <w:tc>
          <w:tcPr>
            <w:tcW w:w="2160" w:type="dxa"/>
            <w:vAlign w:val="center"/>
          </w:tcPr>
          <w:p w14:paraId="4F8C2E95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lastRenderedPageBreak/>
              <w:t>Cannula</w:t>
            </w:r>
          </w:p>
        </w:tc>
        <w:tc>
          <w:tcPr>
            <w:tcW w:w="2160" w:type="dxa"/>
            <w:vAlign w:val="center"/>
          </w:tcPr>
          <w:p w14:paraId="4FE3F8A6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14 / 56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25.00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77C6CF12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15.52–37.69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2102CC6B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3 / 56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5.36</w:t>
            </w:r>
            <w:r>
              <w:rPr>
                <w:rFonts w:asciiTheme="majorHAnsi" w:hAnsiTheme="majorHAnsi" w:cstheme="majorHAnsi"/>
              </w:rPr>
              <w:t>)</w:t>
            </w:r>
            <w:r w:rsidRPr="00851BF4">
              <w:rPr>
                <w:rFonts w:asciiTheme="majorHAnsi" w:hAnsiTheme="majorHAnsi" w:cstheme="majorHAnsi"/>
              </w:rPr>
              <w:t xml:space="preserve"> </w:t>
            </w:r>
          </w:p>
          <w:p w14:paraId="0368E77D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1.84–14.61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6A8545E1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5 / 36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13.89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15D6ADAB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6.08–28.66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521A00" w:rsidRPr="00851BF4" w14:paraId="62E1CD4D" w14:textId="77777777" w:rsidTr="00FC61C8">
        <w:trPr>
          <w:jc w:val="center"/>
        </w:trPr>
        <w:tc>
          <w:tcPr>
            <w:tcW w:w="2160" w:type="dxa"/>
            <w:vAlign w:val="center"/>
          </w:tcPr>
          <w:p w14:paraId="6282AEE5" w14:textId="77777777" w:rsidR="00521A00" w:rsidRPr="00851BF4" w:rsidRDefault="00521A00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Needle</w:t>
            </w:r>
          </w:p>
        </w:tc>
        <w:tc>
          <w:tcPr>
            <w:tcW w:w="2160" w:type="dxa"/>
            <w:vAlign w:val="center"/>
          </w:tcPr>
          <w:p w14:paraId="4A7C6680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57 / 344</w:t>
            </w:r>
            <w:r>
              <w:rPr>
                <w:rFonts w:asciiTheme="majorHAnsi" w:hAnsiTheme="majorHAnsi" w:cstheme="majorHAnsi"/>
              </w:rPr>
              <w:t xml:space="preserve"> (1</w:t>
            </w:r>
            <w:r w:rsidRPr="00851BF4">
              <w:rPr>
                <w:rFonts w:asciiTheme="majorHAnsi" w:hAnsiTheme="majorHAnsi" w:cstheme="majorHAnsi"/>
              </w:rPr>
              <w:t>6.57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21751824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13.01–20.86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242BD62D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47 / 344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13.66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0C43F8F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10.43–17.70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3C7282A" w14:textId="77777777" w:rsidR="00521A00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851BF4">
              <w:rPr>
                <w:rFonts w:asciiTheme="majorHAnsi" w:hAnsiTheme="majorHAnsi" w:cstheme="majorHAnsi"/>
              </w:rPr>
              <w:t>14 / 203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851BF4">
              <w:rPr>
                <w:rFonts w:asciiTheme="majorHAnsi" w:hAnsiTheme="majorHAnsi" w:cstheme="majorHAnsi"/>
              </w:rPr>
              <w:t>6.90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A5CBD95" w14:textId="77777777" w:rsidR="00521A00" w:rsidRPr="00851BF4" w:rsidRDefault="00521A00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851BF4">
              <w:rPr>
                <w:rFonts w:asciiTheme="majorHAnsi" w:hAnsiTheme="majorHAnsi" w:cstheme="majorHAnsi"/>
              </w:rPr>
              <w:t>4.15–11.24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</w:tbl>
    <w:p w14:paraId="0B8DEA74" w14:textId="77777777" w:rsidR="00521A00" w:rsidRPr="00851BF4" w:rsidRDefault="00521A00" w:rsidP="00521A00">
      <w:pPr>
        <w:spacing w:after="0" w:line="48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All data are n/N (%) [Wilson 95% confidence interval].</w:t>
      </w:r>
      <w:r w:rsidRPr="00FA6062">
        <w:rPr>
          <w:rFonts w:asciiTheme="majorHAnsi" w:hAnsiTheme="majorHAnsi" w:cstheme="majorHAnsi"/>
        </w:rPr>
        <w:t xml:space="preserve"> </w:t>
      </w:r>
      <w:r w:rsidRPr="00D81D4E">
        <w:rPr>
          <w:rFonts w:asciiTheme="majorHAnsi" w:hAnsiTheme="majorHAnsi" w:cstheme="majorHAnsi"/>
        </w:rPr>
        <w:t>Edema (non-late) excludes episodes labeled late</w:t>
      </w:r>
      <w:r>
        <w:rPr>
          <w:rFonts w:asciiTheme="majorHAnsi" w:hAnsiTheme="majorHAnsi" w:cstheme="majorHAnsi"/>
        </w:rPr>
        <w:t xml:space="preserve"> </w:t>
      </w:r>
      <w:r w:rsidRPr="00D81D4E">
        <w:rPr>
          <w:rFonts w:asciiTheme="majorHAnsi" w:hAnsiTheme="majorHAnsi" w:cstheme="majorHAnsi"/>
        </w:rPr>
        <w:t>/</w:t>
      </w:r>
      <w:r>
        <w:rPr>
          <w:rFonts w:asciiTheme="majorHAnsi" w:hAnsiTheme="majorHAnsi" w:cstheme="majorHAnsi"/>
        </w:rPr>
        <w:t xml:space="preserve"> </w:t>
      </w:r>
      <w:r w:rsidRPr="00D81D4E">
        <w:rPr>
          <w:rFonts w:asciiTheme="majorHAnsi" w:hAnsiTheme="majorHAnsi" w:cstheme="majorHAnsi"/>
        </w:rPr>
        <w:t>delayed</w:t>
      </w:r>
      <w:r>
        <w:rPr>
          <w:rFonts w:asciiTheme="majorHAnsi" w:hAnsiTheme="majorHAnsi" w:cstheme="majorHAnsi"/>
        </w:rPr>
        <w:t xml:space="preserve"> </w:t>
      </w:r>
      <w:r w:rsidRPr="00D81D4E">
        <w:rPr>
          <w:rFonts w:asciiTheme="majorHAnsi" w:hAnsiTheme="majorHAnsi" w:cstheme="majorHAnsi"/>
        </w:rPr>
        <w:t>/</w:t>
      </w:r>
      <w:r>
        <w:rPr>
          <w:rFonts w:asciiTheme="majorHAnsi" w:hAnsiTheme="majorHAnsi" w:cstheme="majorHAnsi"/>
        </w:rPr>
        <w:t xml:space="preserve"> </w:t>
      </w:r>
      <w:r w:rsidRPr="00D81D4E">
        <w:rPr>
          <w:rFonts w:asciiTheme="majorHAnsi" w:hAnsiTheme="majorHAnsi" w:cstheme="majorHAnsi"/>
        </w:rPr>
        <w:t>tardive</w:t>
      </w:r>
      <w:r>
        <w:rPr>
          <w:rFonts w:asciiTheme="majorHAnsi" w:hAnsiTheme="majorHAnsi" w:cstheme="majorHAnsi"/>
        </w:rPr>
        <w:t xml:space="preserve">. </w:t>
      </w:r>
      <w:r w:rsidRPr="00D81D4E">
        <w:rPr>
          <w:rFonts w:asciiTheme="majorHAnsi" w:hAnsiTheme="majorHAnsi" w:cstheme="majorHAnsi"/>
        </w:rPr>
        <w:t>Late-onset swelling is listed separately.</w:t>
      </w:r>
      <w:r>
        <w:rPr>
          <w:rFonts w:asciiTheme="majorHAnsi" w:hAnsiTheme="majorHAnsi" w:cstheme="majorHAnsi"/>
        </w:rPr>
        <w:t xml:space="preserve"> </w:t>
      </w:r>
      <w:r w:rsidRPr="00851BF4">
        <w:rPr>
          <w:rFonts w:asciiTheme="majorHAnsi" w:hAnsiTheme="majorHAnsi" w:cstheme="majorHAnsi"/>
        </w:rPr>
        <w:t>Device was selected at T0 and maintained at maintenance sessions whenever clinically appropriate; categories were not re-assigned.</w:t>
      </w:r>
      <w:r>
        <w:rPr>
          <w:rFonts w:asciiTheme="majorHAnsi" w:hAnsiTheme="majorHAnsi" w:cstheme="majorHAnsi"/>
        </w:rPr>
        <w:t xml:space="preserve"> </w:t>
      </w:r>
      <w:r>
        <w:rPr>
          <w:rFonts w:ascii="Calibri" w:hAnsi="Calibri" w:cs="Calibri"/>
        </w:rPr>
        <w:t>T0, baseline treatment; T1Y, 1-year treatment; T6M, 6-month treatment.</w:t>
      </w:r>
    </w:p>
    <w:p w14:paraId="749BB4A8" w14:textId="71136B94" w:rsidR="00FA6062" w:rsidRPr="00521A00" w:rsidRDefault="00FA6062" w:rsidP="00521A00"/>
    <w:sectPr w:rsidR="00FA6062" w:rsidRPr="00521A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3828679">
    <w:abstractNumId w:val="8"/>
  </w:num>
  <w:num w:numId="2" w16cid:durableId="13576208">
    <w:abstractNumId w:val="6"/>
  </w:num>
  <w:num w:numId="3" w16cid:durableId="319231810">
    <w:abstractNumId w:val="5"/>
  </w:num>
  <w:num w:numId="4" w16cid:durableId="1528903662">
    <w:abstractNumId w:val="4"/>
  </w:num>
  <w:num w:numId="5" w16cid:durableId="324015329">
    <w:abstractNumId w:val="7"/>
  </w:num>
  <w:num w:numId="6" w16cid:durableId="465198296">
    <w:abstractNumId w:val="3"/>
  </w:num>
  <w:num w:numId="7" w16cid:durableId="886643330">
    <w:abstractNumId w:val="2"/>
  </w:num>
  <w:num w:numId="8" w16cid:durableId="1356034677">
    <w:abstractNumId w:val="1"/>
  </w:num>
  <w:num w:numId="9" w16cid:durableId="1639726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6CD"/>
    <w:rsid w:val="00107BF4"/>
    <w:rsid w:val="0015074B"/>
    <w:rsid w:val="0029639D"/>
    <w:rsid w:val="00326F90"/>
    <w:rsid w:val="00521A00"/>
    <w:rsid w:val="005A3605"/>
    <w:rsid w:val="00851BF4"/>
    <w:rsid w:val="008E3384"/>
    <w:rsid w:val="00A629C0"/>
    <w:rsid w:val="00AA1D8D"/>
    <w:rsid w:val="00B47730"/>
    <w:rsid w:val="00C75BD0"/>
    <w:rsid w:val="00CA1A04"/>
    <w:rsid w:val="00CB0664"/>
    <w:rsid w:val="00D05191"/>
    <w:rsid w:val="00DC208B"/>
    <w:rsid w:val="00F507F9"/>
    <w:rsid w:val="00FA60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D47C7E"/>
  <w14:defaultImageDpi w14:val="300"/>
  <w15:docId w15:val="{89E8B979-75AF-0340-AF90-73D8E3CC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521A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Ryder</cp:lastModifiedBy>
  <cp:revision>3</cp:revision>
  <dcterms:created xsi:type="dcterms:W3CDTF">2025-09-22T13:34:00Z</dcterms:created>
  <dcterms:modified xsi:type="dcterms:W3CDTF">2025-09-22T13:36:00Z</dcterms:modified>
  <cp:category/>
</cp:coreProperties>
</file>