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ADEB2" w14:textId="77777777" w:rsidR="00B638B4" w:rsidRPr="00D67772" w:rsidRDefault="00B638B4" w:rsidP="00B638B4">
      <w:pPr>
        <w:pStyle w:val="Heading1"/>
        <w:tabs>
          <w:tab w:val="left" w:pos="1260"/>
        </w:tabs>
        <w:rPr>
          <w:rFonts w:asciiTheme="majorHAnsi" w:hAnsiTheme="majorHAnsi"/>
        </w:rPr>
      </w:pPr>
      <w:r w:rsidRPr="00D67772">
        <w:rPr>
          <w:rFonts w:asciiTheme="majorHAnsi" w:hAnsiTheme="majorHAnsi"/>
        </w:rPr>
        <w:t xml:space="preserve">Supplementary Materials </w:t>
      </w:r>
    </w:p>
    <w:p w14:paraId="071E0A31" w14:textId="77777777" w:rsidR="00B638B4" w:rsidRPr="00D67772" w:rsidRDefault="00B638B4" w:rsidP="00B638B4">
      <w:pPr>
        <w:pStyle w:val="Heading1"/>
        <w:tabs>
          <w:tab w:val="left" w:pos="1260"/>
        </w:tabs>
        <w:rPr>
          <w:rFonts w:asciiTheme="majorHAnsi" w:hAnsiTheme="majorHAnsi"/>
        </w:rPr>
      </w:pPr>
      <w:r w:rsidRPr="00D67772">
        <w:rPr>
          <w:rFonts w:asciiTheme="majorHAnsi" w:hAnsiTheme="majorHAnsi"/>
        </w:rPr>
        <w:t xml:space="preserve">The transition of EU water policy towards the Water Framework Directive’s Integrated River Basin Management Paradigm </w:t>
      </w:r>
    </w:p>
    <w:p w14:paraId="2679A945" w14:textId="77777777" w:rsidR="00B638B4" w:rsidRPr="00D67772" w:rsidRDefault="00B638B4" w:rsidP="00B638B4">
      <w:pPr>
        <w:spacing w:line="240" w:lineRule="atLeast"/>
        <w:rPr>
          <w:rFonts w:asciiTheme="majorHAnsi" w:hAnsiTheme="majorHAnsi"/>
          <w:b/>
          <w:sz w:val="22"/>
          <w:szCs w:val="20"/>
          <w:u w:val="single"/>
        </w:rPr>
      </w:pPr>
    </w:p>
    <w:p w14:paraId="245F8563" w14:textId="77777777" w:rsidR="00B638B4" w:rsidRPr="00D67772" w:rsidRDefault="00B638B4" w:rsidP="00B638B4">
      <w:pPr>
        <w:spacing w:line="240" w:lineRule="atLeast"/>
        <w:rPr>
          <w:rFonts w:asciiTheme="majorHAnsi" w:hAnsiTheme="majorHAnsi"/>
          <w:b/>
          <w:sz w:val="20"/>
          <w:szCs w:val="20"/>
          <w:u w:val="single"/>
        </w:rPr>
      </w:pPr>
    </w:p>
    <w:p w14:paraId="7F8CE377" w14:textId="77777777" w:rsidR="00B638B4" w:rsidRPr="00D67772" w:rsidRDefault="00B638B4" w:rsidP="00B638B4">
      <w:pPr>
        <w:spacing w:before="120" w:line="240" w:lineRule="atLeast"/>
        <w:rPr>
          <w:rFonts w:asciiTheme="majorHAnsi" w:hAnsiTheme="majorHAnsi"/>
          <w:sz w:val="22"/>
          <w:szCs w:val="22"/>
        </w:rPr>
      </w:pPr>
      <w:r w:rsidRPr="00D67772">
        <w:rPr>
          <w:rFonts w:asciiTheme="majorHAnsi" w:hAnsiTheme="majorHAnsi"/>
          <w:sz w:val="22"/>
          <w:szCs w:val="22"/>
        </w:rPr>
        <w:t>Theodoros Giakoumis</w:t>
      </w:r>
      <w:r w:rsidRPr="00D67772">
        <w:rPr>
          <w:rFonts w:asciiTheme="majorHAnsi" w:hAnsiTheme="majorHAnsi"/>
          <w:sz w:val="22"/>
          <w:szCs w:val="22"/>
          <w:vertAlign w:val="superscript"/>
        </w:rPr>
        <w:t xml:space="preserve"> a</w:t>
      </w:r>
      <w:r w:rsidRPr="00D67772">
        <w:rPr>
          <w:rFonts w:asciiTheme="majorHAnsi" w:hAnsiTheme="majorHAnsi"/>
          <w:sz w:val="22"/>
          <w:szCs w:val="22"/>
        </w:rPr>
        <w:t xml:space="preserve"> and Nikolaos Voulvoulis</w:t>
      </w:r>
      <w:r w:rsidRPr="00D67772">
        <w:rPr>
          <w:rFonts w:asciiTheme="majorHAnsi" w:hAnsiTheme="majorHAnsi"/>
          <w:sz w:val="22"/>
          <w:szCs w:val="22"/>
          <w:vertAlign w:val="superscript"/>
        </w:rPr>
        <w:t xml:space="preserve"> a</w:t>
      </w:r>
      <w:r w:rsidRPr="00D67772">
        <w:rPr>
          <w:rFonts w:asciiTheme="majorHAnsi" w:hAnsiTheme="majorHAnsi"/>
          <w:sz w:val="22"/>
          <w:szCs w:val="22"/>
        </w:rPr>
        <w:t>*</w:t>
      </w:r>
    </w:p>
    <w:p w14:paraId="5AFF5323" w14:textId="77777777" w:rsidR="00B638B4" w:rsidRPr="00D67772" w:rsidRDefault="00B638B4" w:rsidP="00B638B4">
      <w:pPr>
        <w:pStyle w:val="02Authornames"/>
        <w:ind w:left="0"/>
        <w:jc w:val="both"/>
        <w:rPr>
          <w:rFonts w:asciiTheme="majorHAnsi" w:hAnsiTheme="majorHAnsi"/>
          <w:sz w:val="22"/>
          <w:szCs w:val="22"/>
        </w:rPr>
      </w:pPr>
      <w:r w:rsidRPr="00D67772">
        <w:rPr>
          <w:rFonts w:asciiTheme="majorHAnsi" w:hAnsiTheme="majorHAnsi"/>
          <w:sz w:val="22"/>
          <w:szCs w:val="22"/>
          <w:vertAlign w:val="superscript"/>
        </w:rPr>
        <w:t>a</w:t>
      </w:r>
      <w:r w:rsidRPr="00D67772">
        <w:rPr>
          <w:rFonts w:asciiTheme="majorHAnsi" w:hAnsiTheme="majorHAnsi"/>
          <w:sz w:val="22"/>
          <w:szCs w:val="22"/>
        </w:rPr>
        <w:t>Centre for Environmental Policy, Imperial College London, London SW7 2AZ, United Kingdom</w:t>
      </w:r>
    </w:p>
    <w:p w14:paraId="10255489" w14:textId="77777777" w:rsidR="00B638B4" w:rsidRPr="00D67772" w:rsidRDefault="00B638B4" w:rsidP="00B638B4">
      <w:pPr>
        <w:spacing w:line="360" w:lineRule="auto"/>
        <w:jc w:val="both"/>
        <w:rPr>
          <w:rFonts w:asciiTheme="majorHAnsi" w:eastAsia="Arial Unicode MS" w:hAnsiTheme="majorHAnsi"/>
          <w:sz w:val="22"/>
          <w:szCs w:val="22"/>
        </w:rPr>
      </w:pPr>
      <w:r w:rsidRPr="00D67772">
        <w:rPr>
          <w:rFonts w:asciiTheme="majorHAnsi" w:eastAsia="Arial Unicode MS" w:hAnsiTheme="majorHAnsi"/>
          <w:sz w:val="22"/>
          <w:szCs w:val="22"/>
        </w:rPr>
        <w:t>*Corresponding author. Tel.: +44 020 7594 7459</w:t>
      </w:r>
      <w:proofErr w:type="gramStart"/>
      <w:r w:rsidRPr="00D67772">
        <w:rPr>
          <w:rFonts w:asciiTheme="majorHAnsi" w:eastAsia="Arial Unicode MS" w:hAnsiTheme="majorHAnsi"/>
          <w:sz w:val="22"/>
          <w:szCs w:val="22"/>
        </w:rPr>
        <w:t>;</w:t>
      </w:r>
      <w:proofErr w:type="gramEnd"/>
      <w:r w:rsidRPr="00D67772">
        <w:rPr>
          <w:rFonts w:asciiTheme="majorHAnsi" w:eastAsia="Arial Unicode MS" w:hAnsiTheme="majorHAnsi"/>
          <w:sz w:val="22"/>
          <w:szCs w:val="22"/>
        </w:rPr>
        <w:t xml:space="preserve"> Fax: +44 020 7594 9334. </w:t>
      </w:r>
    </w:p>
    <w:p w14:paraId="0328D80D" w14:textId="77777777" w:rsidR="00B638B4" w:rsidRPr="00D67772" w:rsidRDefault="00B638B4" w:rsidP="00B638B4">
      <w:pPr>
        <w:spacing w:line="360" w:lineRule="auto"/>
        <w:jc w:val="both"/>
        <w:rPr>
          <w:rStyle w:val="Hyperlink"/>
          <w:rFonts w:asciiTheme="majorHAnsi" w:eastAsia="Arial Unicode MS" w:hAnsiTheme="majorHAnsi"/>
          <w:sz w:val="22"/>
          <w:szCs w:val="22"/>
        </w:rPr>
      </w:pPr>
      <w:r w:rsidRPr="00D67772">
        <w:rPr>
          <w:rFonts w:asciiTheme="majorHAnsi" w:eastAsia="Arial Unicode MS" w:hAnsiTheme="majorHAnsi"/>
          <w:sz w:val="22"/>
          <w:szCs w:val="22"/>
        </w:rPr>
        <w:t xml:space="preserve">Email: </w:t>
      </w:r>
      <w:hyperlink r:id="rId5" w:history="1">
        <w:r w:rsidRPr="00D67772">
          <w:rPr>
            <w:rStyle w:val="Hyperlink"/>
            <w:rFonts w:asciiTheme="majorHAnsi" w:eastAsia="Arial Unicode MS" w:hAnsiTheme="majorHAnsi"/>
            <w:sz w:val="22"/>
            <w:szCs w:val="22"/>
          </w:rPr>
          <w:t>n.voulvoulis@imperial.ac.uk</w:t>
        </w:r>
      </w:hyperlink>
    </w:p>
    <w:p w14:paraId="50F51AC0" w14:textId="77777777" w:rsidR="00B638B4" w:rsidRPr="00D67772" w:rsidRDefault="00B638B4" w:rsidP="00B638B4">
      <w:pPr>
        <w:rPr>
          <w:rFonts w:asciiTheme="majorHAnsi" w:hAnsiTheme="majorHAnsi"/>
          <w:b/>
          <w:sz w:val="22"/>
          <w:szCs w:val="22"/>
        </w:rPr>
      </w:pPr>
    </w:p>
    <w:p w14:paraId="66102226" w14:textId="77777777" w:rsidR="00B638B4" w:rsidRPr="00D67772" w:rsidRDefault="00B638B4" w:rsidP="00B638B4">
      <w:pPr>
        <w:rPr>
          <w:rFonts w:asciiTheme="majorHAnsi" w:hAnsiTheme="majorHAnsi"/>
          <w:b/>
          <w:sz w:val="22"/>
          <w:szCs w:val="22"/>
        </w:rPr>
      </w:pPr>
      <w:bookmarkStart w:id="0" w:name="_GoBack"/>
      <w:bookmarkEnd w:id="0"/>
    </w:p>
    <w:p w14:paraId="13FAF9F4" w14:textId="77777777" w:rsidR="00B638B4" w:rsidRPr="00D67772" w:rsidRDefault="00B638B4" w:rsidP="00B638B4">
      <w:pPr>
        <w:rPr>
          <w:rFonts w:asciiTheme="majorHAnsi" w:hAnsiTheme="majorHAnsi"/>
          <w:b/>
          <w:sz w:val="22"/>
          <w:szCs w:val="22"/>
        </w:rPr>
      </w:pPr>
    </w:p>
    <w:p w14:paraId="1E53B991" w14:textId="77777777" w:rsidR="00B638B4" w:rsidRPr="00D67772" w:rsidRDefault="00B638B4" w:rsidP="00B638B4">
      <w:pPr>
        <w:rPr>
          <w:rFonts w:asciiTheme="majorHAnsi" w:hAnsiTheme="majorHAnsi"/>
          <w:sz w:val="22"/>
          <w:szCs w:val="22"/>
        </w:rPr>
      </w:pPr>
      <w:r w:rsidRPr="00D67772">
        <w:rPr>
          <w:rFonts w:asciiTheme="majorHAnsi" w:hAnsiTheme="majorHAnsi"/>
          <w:sz w:val="22"/>
          <w:szCs w:val="22"/>
        </w:rPr>
        <w:t>Supplemental data includes three tables (S1, S2, S3)</w:t>
      </w:r>
    </w:p>
    <w:p w14:paraId="0D02C4CC" w14:textId="587951F0" w:rsidR="00B638B4" w:rsidRPr="00EC040C" w:rsidRDefault="00B638B4" w:rsidP="00B638B4">
      <w:pPr>
        <w:rPr>
          <w:rFonts w:asciiTheme="majorHAnsi" w:hAnsiTheme="majorHAnsi"/>
          <w:b/>
          <w:sz w:val="22"/>
          <w:szCs w:val="22"/>
        </w:rPr>
      </w:pPr>
      <w:r w:rsidRPr="000553C4">
        <w:rPr>
          <w:rFonts w:ascii="Times New Roman" w:hAnsi="Times New Roman"/>
          <w:b/>
          <w:sz w:val="20"/>
          <w:szCs w:val="20"/>
        </w:rPr>
        <w:br w:type="page"/>
      </w:r>
      <w:r w:rsidRPr="00EC040C">
        <w:rPr>
          <w:rFonts w:asciiTheme="majorHAnsi" w:hAnsiTheme="majorHAnsi"/>
          <w:b/>
          <w:sz w:val="22"/>
          <w:szCs w:val="22"/>
        </w:rPr>
        <w:lastRenderedPageBreak/>
        <w:t>Table S</w:t>
      </w:r>
      <w:r w:rsidR="000553C4" w:rsidRPr="00EC040C">
        <w:rPr>
          <w:rFonts w:asciiTheme="majorHAnsi" w:hAnsiTheme="majorHAnsi"/>
          <w:b/>
          <w:sz w:val="22"/>
          <w:szCs w:val="22"/>
        </w:rPr>
        <w:t>1</w:t>
      </w:r>
      <w:r w:rsidRPr="00EC040C">
        <w:rPr>
          <w:rFonts w:asciiTheme="majorHAnsi" w:hAnsiTheme="majorHAnsi"/>
          <w:b/>
          <w:sz w:val="22"/>
          <w:szCs w:val="22"/>
        </w:rPr>
        <w:t xml:space="preserve"> </w:t>
      </w:r>
      <w:r w:rsidRPr="00EC040C">
        <w:rPr>
          <w:rFonts w:asciiTheme="majorHAnsi" w:eastAsia="Arial Unicode MS" w:hAnsiTheme="majorHAnsi"/>
          <w:sz w:val="22"/>
          <w:szCs w:val="22"/>
        </w:rPr>
        <w:t xml:space="preserve">Major Policy Actions and developments that led to the adaptation of the WFD </w:t>
      </w:r>
    </w:p>
    <w:p w14:paraId="3E4486C6" w14:textId="77777777" w:rsidR="00B638B4" w:rsidRPr="00EC040C" w:rsidRDefault="00B638B4" w:rsidP="00B638B4">
      <w:pPr>
        <w:rPr>
          <w:rFonts w:asciiTheme="majorHAnsi" w:eastAsia="Arial Unicode MS" w:hAnsiTheme="majorHAnsi"/>
          <w:sz w:val="22"/>
          <w:szCs w:val="22"/>
        </w:rPr>
      </w:pPr>
    </w:p>
    <w:tbl>
      <w:tblPr>
        <w:tblStyle w:val="TableGrid"/>
        <w:tblW w:w="9467" w:type="dxa"/>
        <w:tblLook w:val="04A0" w:firstRow="1" w:lastRow="0" w:firstColumn="1" w:lastColumn="0" w:noHBand="0" w:noVBand="1"/>
      </w:tblPr>
      <w:tblGrid>
        <w:gridCol w:w="663"/>
        <w:gridCol w:w="8804"/>
      </w:tblGrid>
      <w:tr w:rsidR="00B638B4" w:rsidRPr="00EC040C" w:rsidDel="00DE5B99" w14:paraId="0F99EF38" w14:textId="77777777" w:rsidTr="00857654">
        <w:trPr>
          <w:trHeight w:val="205"/>
        </w:trPr>
        <w:tc>
          <w:tcPr>
            <w:tcW w:w="534" w:type="dxa"/>
            <w:vAlign w:val="center"/>
          </w:tcPr>
          <w:p w14:paraId="65F32A67" w14:textId="77777777" w:rsidR="00B638B4" w:rsidRPr="00EC040C" w:rsidDel="00DE5B99" w:rsidRDefault="00B638B4" w:rsidP="00857654">
            <w:pPr>
              <w:jc w:val="center"/>
              <w:rPr>
                <w:rFonts w:asciiTheme="majorHAnsi" w:hAnsiTheme="majorHAnsi"/>
                <w:b/>
              </w:rPr>
            </w:pPr>
            <w:r w:rsidRPr="00EC040C" w:rsidDel="00DE5B99">
              <w:rPr>
                <w:rFonts w:asciiTheme="majorHAnsi" w:hAnsiTheme="majorHAnsi"/>
                <w:b/>
              </w:rPr>
              <w:t>Year</w:t>
            </w:r>
          </w:p>
        </w:tc>
        <w:tc>
          <w:tcPr>
            <w:tcW w:w="8933" w:type="dxa"/>
          </w:tcPr>
          <w:p w14:paraId="3CAE8E68" w14:textId="77777777" w:rsidR="00B638B4" w:rsidRPr="00EC040C" w:rsidDel="00DE5B99" w:rsidRDefault="00B638B4" w:rsidP="00857654">
            <w:pPr>
              <w:rPr>
                <w:rFonts w:asciiTheme="majorHAnsi" w:hAnsiTheme="majorHAnsi"/>
                <w:b/>
              </w:rPr>
            </w:pPr>
            <w:r w:rsidRPr="00EC040C" w:rsidDel="00DE5B99">
              <w:rPr>
                <w:rFonts w:asciiTheme="majorHAnsi" w:hAnsiTheme="majorHAnsi"/>
                <w:b/>
              </w:rPr>
              <w:t>Activity</w:t>
            </w:r>
          </w:p>
        </w:tc>
      </w:tr>
      <w:tr w:rsidR="00B638B4" w:rsidRPr="00EC040C" w:rsidDel="00DE5B99" w14:paraId="347EE314" w14:textId="77777777" w:rsidTr="00857654">
        <w:trPr>
          <w:trHeight w:val="614"/>
        </w:trPr>
        <w:tc>
          <w:tcPr>
            <w:tcW w:w="534" w:type="dxa"/>
            <w:vAlign w:val="center"/>
          </w:tcPr>
          <w:p w14:paraId="1F7AFD1B"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1972</w:t>
            </w:r>
          </w:p>
        </w:tc>
        <w:tc>
          <w:tcPr>
            <w:tcW w:w="8933" w:type="dxa"/>
          </w:tcPr>
          <w:p w14:paraId="4C4CAC68" w14:textId="34BB678E" w:rsidR="00B638B4" w:rsidRPr="00EC040C" w:rsidDel="00DE5B99" w:rsidRDefault="00162458" w:rsidP="00857654">
            <w:pPr>
              <w:rPr>
                <w:rFonts w:asciiTheme="majorHAnsi" w:hAnsiTheme="majorHAnsi"/>
              </w:rPr>
            </w:pPr>
            <w:r w:rsidRPr="00EC040C">
              <w:rPr>
                <w:rFonts w:asciiTheme="majorHAnsi" w:hAnsiTheme="majorHAnsi"/>
              </w:rPr>
              <w:t xml:space="preserve">The </w:t>
            </w:r>
            <w:r w:rsidR="00B638B4" w:rsidRPr="00EC040C" w:rsidDel="00DE5B99">
              <w:rPr>
                <w:rFonts w:asciiTheme="majorHAnsi" w:hAnsiTheme="majorHAnsi"/>
              </w:rPr>
              <w:t>EU environmental policy was formally founded through the European Council declaration made in Paris.  EU water legislation began with the setting of standards for rivers and lakes used for drinking water abstraction.</w:t>
            </w:r>
          </w:p>
        </w:tc>
      </w:tr>
      <w:tr w:rsidR="00B638B4" w:rsidRPr="00EC040C" w:rsidDel="00DE5B99" w14:paraId="34CD5698" w14:textId="77777777" w:rsidTr="00857654">
        <w:trPr>
          <w:trHeight w:val="410"/>
        </w:trPr>
        <w:tc>
          <w:tcPr>
            <w:tcW w:w="534" w:type="dxa"/>
            <w:vAlign w:val="center"/>
          </w:tcPr>
          <w:p w14:paraId="02DA532E" w14:textId="605C404E" w:rsidR="00B638B4" w:rsidRPr="00EC040C" w:rsidDel="00DE5B99" w:rsidRDefault="00B638B4" w:rsidP="005E250F">
            <w:pPr>
              <w:jc w:val="center"/>
              <w:rPr>
                <w:rFonts w:asciiTheme="majorHAnsi" w:hAnsiTheme="majorHAnsi"/>
                <w:b/>
                <w:bCs/>
                <w:i/>
                <w:iCs/>
                <w:color w:val="4F81BD" w:themeColor="accent1"/>
              </w:rPr>
            </w:pPr>
            <w:r w:rsidRPr="00EC040C" w:rsidDel="00DE5B99">
              <w:rPr>
                <w:rFonts w:asciiTheme="majorHAnsi" w:hAnsiTheme="majorHAnsi"/>
              </w:rPr>
              <w:t>197</w:t>
            </w:r>
            <w:r w:rsidR="005E250F" w:rsidRPr="00EC040C">
              <w:rPr>
                <w:rFonts w:asciiTheme="majorHAnsi" w:hAnsiTheme="majorHAnsi"/>
              </w:rPr>
              <w:t>3</w:t>
            </w:r>
          </w:p>
        </w:tc>
        <w:tc>
          <w:tcPr>
            <w:tcW w:w="8933" w:type="dxa"/>
          </w:tcPr>
          <w:p w14:paraId="0CB5C82E" w14:textId="07E72EF2" w:rsidR="00B638B4" w:rsidRPr="00EC040C" w:rsidDel="00DE5B99" w:rsidRDefault="00B638B4" w:rsidP="00162458">
            <w:pPr>
              <w:rPr>
                <w:rFonts w:asciiTheme="majorHAnsi" w:hAnsiTheme="majorHAnsi"/>
              </w:rPr>
            </w:pPr>
            <w:r w:rsidRPr="00EC040C" w:rsidDel="00DE5B99">
              <w:rPr>
                <w:rFonts w:asciiTheme="majorHAnsi" w:hAnsiTheme="majorHAnsi"/>
              </w:rPr>
              <w:t xml:space="preserve">The EU adopts its </w:t>
            </w:r>
            <w:r w:rsidR="00366A98" w:rsidRPr="00EC040C">
              <w:rPr>
                <w:rFonts w:asciiTheme="majorHAnsi" w:hAnsiTheme="majorHAnsi"/>
              </w:rPr>
              <w:t>F</w:t>
            </w:r>
            <w:r w:rsidR="00E54C51" w:rsidRPr="00EC040C">
              <w:rPr>
                <w:rFonts w:asciiTheme="majorHAnsi" w:hAnsiTheme="majorHAnsi"/>
              </w:rPr>
              <w:t>irst</w:t>
            </w:r>
            <w:r w:rsidRPr="00EC040C" w:rsidDel="00DE5B99">
              <w:rPr>
                <w:rFonts w:asciiTheme="majorHAnsi" w:hAnsiTheme="majorHAnsi"/>
              </w:rPr>
              <w:t xml:space="preserve"> </w:t>
            </w:r>
            <w:r w:rsidRPr="00EC040C">
              <w:rPr>
                <w:rFonts w:asciiTheme="majorHAnsi" w:hAnsiTheme="majorHAnsi"/>
              </w:rPr>
              <w:t>EAP</w:t>
            </w:r>
            <w:r w:rsidRPr="00EC040C" w:rsidDel="00DE5B99">
              <w:rPr>
                <w:rFonts w:asciiTheme="majorHAnsi" w:hAnsiTheme="majorHAnsi"/>
              </w:rPr>
              <w:t xml:space="preserve">, based on the ideas that prevention is better than cure and the ‘polluter pays’ principle. The </w:t>
            </w:r>
            <w:r w:rsidR="00E54C51" w:rsidRPr="00EC040C">
              <w:rPr>
                <w:rFonts w:asciiTheme="majorHAnsi" w:hAnsiTheme="majorHAnsi"/>
              </w:rPr>
              <w:t>first</w:t>
            </w:r>
            <w:r w:rsidRPr="00EC040C" w:rsidDel="00DE5B99">
              <w:rPr>
                <w:rFonts w:asciiTheme="majorHAnsi" w:hAnsiTheme="majorHAnsi"/>
              </w:rPr>
              <w:t xml:space="preserve"> environment ministries </w:t>
            </w:r>
            <w:r w:rsidR="00162458" w:rsidRPr="00EC040C">
              <w:rPr>
                <w:rFonts w:asciiTheme="majorHAnsi" w:hAnsiTheme="majorHAnsi"/>
              </w:rPr>
              <w:t>were</w:t>
            </w:r>
            <w:r w:rsidRPr="00EC040C" w:rsidDel="00DE5B99">
              <w:rPr>
                <w:rFonts w:asciiTheme="majorHAnsi" w:hAnsiTheme="majorHAnsi"/>
              </w:rPr>
              <w:t xml:space="preserve"> established. </w:t>
            </w:r>
          </w:p>
        </w:tc>
      </w:tr>
      <w:tr w:rsidR="00B638B4" w:rsidRPr="00EC040C" w:rsidDel="00DE5B99" w14:paraId="6AAF344E" w14:textId="77777777" w:rsidTr="00857654">
        <w:trPr>
          <w:trHeight w:val="323"/>
        </w:trPr>
        <w:tc>
          <w:tcPr>
            <w:tcW w:w="534" w:type="dxa"/>
            <w:vAlign w:val="center"/>
          </w:tcPr>
          <w:p w14:paraId="447FD36F"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1976</w:t>
            </w:r>
          </w:p>
        </w:tc>
        <w:tc>
          <w:tcPr>
            <w:tcW w:w="8933" w:type="dxa"/>
          </w:tcPr>
          <w:p w14:paraId="76DF2C30" w14:textId="19983718" w:rsidR="00B638B4" w:rsidRPr="00EC040C" w:rsidDel="00DE5B99" w:rsidRDefault="00B638B4" w:rsidP="00857654">
            <w:pPr>
              <w:rPr>
                <w:rFonts w:asciiTheme="majorHAnsi" w:hAnsiTheme="majorHAnsi"/>
              </w:rPr>
            </w:pPr>
            <w:r w:rsidRPr="00EC040C" w:rsidDel="00DE5B99">
              <w:rPr>
                <w:rFonts w:asciiTheme="majorHAnsi" w:hAnsiTheme="majorHAnsi"/>
              </w:rPr>
              <w:t>Bathing waters</w:t>
            </w:r>
            <w:proofErr w:type="gramStart"/>
            <w:r w:rsidRPr="00EC040C" w:rsidDel="00DE5B99">
              <w:rPr>
                <w:rFonts w:asciiTheme="majorHAnsi" w:hAnsiTheme="majorHAnsi"/>
              </w:rPr>
              <w:t>;</w:t>
            </w:r>
            <w:proofErr w:type="gramEnd"/>
            <w:r w:rsidRPr="00EC040C" w:rsidDel="00DE5B99">
              <w:rPr>
                <w:rFonts w:asciiTheme="majorHAnsi" w:hAnsiTheme="majorHAnsi"/>
              </w:rPr>
              <w:t xml:space="preserve"> Dir. 76/464</w:t>
            </w:r>
            <w:r w:rsidRPr="00EC040C">
              <w:rPr>
                <w:rFonts w:asciiTheme="majorHAnsi" w:hAnsiTheme="majorHAnsi"/>
              </w:rPr>
              <w:t>/EEC</w:t>
            </w:r>
            <w:r w:rsidRPr="00EC040C" w:rsidDel="00DE5B99">
              <w:rPr>
                <w:rFonts w:asciiTheme="majorHAnsi" w:hAnsiTheme="majorHAnsi"/>
              </w:rPr>
              <w:t xml:space="preserve"> on pollution caused by discharges of certain dangerous chemicals into the aquatic environment</w:t>
            </w:r>
            <w:r w:rsidR="00162458" w:rsidRPr="00EC040C">
              <w:rPr>
                <w:rFonts w:asciiTheme="majorHAnsi" w:hAnsiTheme="majorHAnsi"/>
              </w:rPr>
              <w:t>.</w:t>
            </w:r>
          </w:p>
        </w:tc>
      </w:tr>
      <w:tr w:rsidR="00B638B4" w:rsidRPr="00EC040C" w:rsidDel="00DE5B99" w14:paraId="3AF521DA" w14:textId="77777777" w:rsidTr="00857654">
        <w:trPr>
          <w:trHeight w:val="205"/>
        </w:trPr>
        <w:tc>
          <w:tcPr>
            <w:tcW w:w="534" w:type="dxa"/>
            <w:vAlign w:val="center"/>
          </w:tcPr>
          <w:p w14:paraId="5E7692BD"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1977</w:t>
            </w:r>
          </w:p>
        </w:tc>
        <w:tc>
          <w:tcPr>
            <w:tcW w:w="8933" w:type="dxa"/>
          </w:tcPr>
          <w:p w14:paraId="05E846EA" w14:textId="2BE6C4A8" w:rsidR="00B638B4" w:rsidRPr="00EC040C" w:rsidDel="00DE5B99" w:rsidRDefault="00162458" w:rsidP="00162458">
            <w:pPr>
              <w:rPr>
                <w:rFonts w:asciiTheme="majorHAnsi" w:hAnsiTheme="majorHAnsi"/>
              </w:rPr>
            </w:pPr>
            <w:r w:rsidRPr="00EC040C">
              <w:rPr>
                <w:rFonts w:asciiTheme="majorHAnsi" w:hAnsiTheme="majorHAnsi"/>
              </w:rPr>
              <w:t xml:space="preserve">The </w:t>
            </w:r>
            <w:r w:rsidR="00E54C51" w:rsidRPr="00EC040C">
              <w:rPr>
                <w:rFonts w:asciiTheme="majorHAnsi" w:hAnsiTheme="majorHAnsi"/>
              </w:rPr>
              <w:t>Second</w:t>
            </w:r>
            <w:r w:rsidR="00B638B4" w:rsidRPr="00EC040C" w:rsidDel="00DE5B99">
              <w:rPr>
                <w:rFonts w:asciiTheme="majorHAnsi" w:hAnsiTheme="majorHAnsi"/>
              </w:rPr>
              <w:t xml:space="preserve"> </w:t>
            </w:r>
            <w:r w:rsidR="00B638B4" w:rsidRPr="00EC040C">
              <w:rPr>
                <w:rFonts w:asciiTheme="majorHAnsi" w:hAnsiTheme="majorHAnsi"/>
              </w:rPr>
              <w:t>EAP</w:t>
            </w:r>
            <w:r w:rsidR="00B638B4" w:rsidRPr="00EC040C" w:rsidDel="00DE5B99">
              <w:rPr>
                <w:rFonts w:asciiTheme="majorHAnsi" w:hAnsiTheme="majorHAnsi"/>
              </w:rPr>
              <w:t xml:space="preserve"> </w:t>
            </w:r>
            <w:r w:rsidRPr="00EC040C">
              <w:rPr>
                <w:rFonts w:asciiTheme="majorHAnsi" w:hAnsiTheme="majorHAnsi"/>
              </w:rPr>
              <w:t xml:space="preserve">was adopted. It </w:t>
            </w:r>
            <w:r w:rsidR="00B638B4" w:rsidRPr="00EC040C" w:rsidDel="00DE5B99">
              <w:rPr>
                <w:rFonts w:asciiTheme="majorHAnsi" w:hAnsiTheme="majorHAnsi"/>
              </w:rPr>
              <w:t>advocated quality values for water</w:t>
            </w:r>
            <w:r w:rsidRPr="00EC040C">
              <w:rPr>
                <w:rFonts w:asciiTheme="majorHAnsi" w:hAnsiTheme="majorHAnsi"/>
              </w:rPr>
              <w:t>.</w:t>
            </w:r>
          </w:p>
        </w:tc>
      </w:tr>
      <w:tr w:rsidR="00B638B4" w:rsidRPr="00EC040C" w:rsidDel="00DE5B99" w14:paraId="1C6E8B03" w14:textId="77777777" w:rsidTr="00857654">
        <w:trPr>
          <w:trHeight w:val="187"/>
        </w:trPr>
        <w:tc>
          <w:tcPr>
            <w:tcW w:w="534" w:type="dxa"/>
            <w:vAlign w:val="center"/>
          </w:tcPr>
          <w:p w14:paraId="69206D6D"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1978</w:t>
            </w:r>
          </w:p>
        </w:tc>
        <w:tc>
          <w:tcPr>
            <w:tcW w:w="8933" w:type="dxa"/>
          </w:tcPr>
          <w:p w14:paraId="1C12E882" w14:textId="335D30C6" w:rsidR="00B638B4" w:rsidRPr="00EC040C" w:rsidDel="00DE5B99" w:rsidRDefault="00B638B4" w:rsidP="00857654">
            <w:pPr>
              <w:rPr>
                <w:rFonts w:asciiTheme="majorHAnsi" w:hAnsiTheme="majorHAnsi"/>
              </w:rPr>
            </w:pPr>
            <w:r w:rsidRPr="00EC040C">
              <w:rPr>
                <w:rFonts w:asciiTheme="majorHAnsi" w:hAnsiTheme="majorHAnsi"/>
              </w:rPr>
              <w:t>Fish waters (Council Directive 78/659/EEC) on the quality of fresh waters aimed to protect or improve waters in order to support fish life</w:t>
            </w:r>
            <w:r w:rsidR="00162458" w:rsidRPr="00EC040C">
              <w:rPr>
                <w:rFonts w:asciiTheme="majorHAnsi" w:hAnsiTheme="majorHAnsi"/>
              </w:rPr>
              <w:t>.</w:t>
            </w:r>
          </w:p>
        </w:tc>
      </w:tr>
      <w:tr w:rsidR="00B638B4" w:rsidRPr="00EC040C" w:rsidDel="00DE5B99" w14:paraId="75371410" w14:textId="77777777" w:rsidTr="00857654">
        <w:trPr>
          <w:trHeight w:val="410"/>
        </w:trPr>
        <w:tc>
          <w:tcPr>
            <w:tcW w:w="534" w:type="dxa"/>
            <w:vAlign w:val="center"/>
          </w:tcPr>
          <w:p w14:paraId="57D7A604"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1979</w:t>
            </w:r>
          </w:p>
        </w:tc>
        <w:tc>
          <w:tcPr>
            <w:tcW w:w="8933" w:type="dxa"/>
          </w:tcPr>
          <w:p w14:paraId="0708BC93" w14:textId="39460021" w:rsidR="00B638B4" w:rsidRPr="00EC040C" w:rsidDel="00DE5B99" w:rsidRDefault="00B638B4" w:rsidP="00857654">
            <w:pPr>
              <w:rPr>
                <w:rFonts w:asciiTheme="majorHAnsi" w:hAnsiTheme="majorHAnsi"/>
              </w:rPr>
            </w:pPr>
            <w:r w:rsidRPr="00EC040C">
              <w:rPr>
                <w:rFonts w:asciiTheme="majorHAnsi" w:hAnsiTheme="majorHAnsi"/>
              </w:rPr>
              <w:t xml:space="preserve">Council Directive 79/923/EEC on the protection of shellfish waters enters into force. </w:t>
            </w:r>
            <w:proofErr w:type="gramStart"/>
            <w:r w:rsidRPr="00EC040C">
              <w:rPr>
                <w:rFonts w:asciiTheme="majorHAnsi" w:hAnsiTheme="majorHAnsi"/>
              </w:rPr>
              <w:t xml:space="preserve">It was amended by </w:t>
            </w:r>
            <w:r w:rsidR="00162458" w:rsidRPr="00EC040C">
              <w:rPr>
                <w:rFonts w:asciiTheme="majorHAnsi" w:hAnsiTheme="majorHAnsi"/>
              </w:rPr>
              <w:t xml:space="preserve">the </w:t>
            </w:r>
            <w:r w:rsidRPr="00EC040C">
              <w:rPr>
                <w:rFonts w:asciiTheme="majorHAnsi" w:hAnsiTheme="majorHAnsi"/>
              </w:rPr>
              <w:t>Council Directive 91/692/EEC</w:t>
            </w:r>
            <w:proofErr w:type="gramEnd"/>
            <w:r w:rsidRPr="00EC040C">
              <w:rPr>
                <w:rFonts w:asciiTheme="majorHAnsi" w:hAnsiTheme="majorHAnsi"/>
              </w:rPr>
              <w:t xml:space="preserve"> (further amended by Council Regulation 1882/2003/EC)</w:t>
            </w:r>
            <w:r w:rsidR="00162458" w:rsidRPr="00EC040C">
              <w:rPr>
                <w:rFonts w:asciiTheme="majorHAnsi" w:hAnsiTheme="majorHAnsi"/>
              </w:rPr>
              <w:t>.</w:t>
            </w:r>
          </w:p>
        </w:tc>
      </w:tr>
      <w:tr w:rsidR="00B638B4" w:rsidRPr="00EC040C" w:rsidDel="00DE5B99" w14:paraId="1990096D" w14:textId="77777777" w:rsidTr="00857654">
        <w:trPr>
          <w:trHeight w:val="252"/>
        </w:trPr>
        <w:tc>
          <w:tcPr>
            <w:tcW w:w="534" w:type="dxa"/>
            <w:vMerge w:val="restart"/>
            <w:vAlign w:val="center"/>
          </w:tcPr>
          <w:p w14:paraId="5D09A0A6"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1980</w:t>
            </w:r>
          </w:p>
        </w:tc>
        <w:tc>
          <w:tcPr>
            <w:tcW w:w="8933" w:type="dxa"/>
          </w:tcPr>
          <w:p w14:paraId="5564DD71" w14:textId="77777777" w:rsidR="00B638B4" w:rsidRPr="00EC040C" w:rsidDel="00DE5B99" w:rsidRDefault="00B638B4" w:rsidP="00857654">
            <w:pPr>
              <w:rPr>
                <w:rFonts w:asciiTheme="majorHAnsi" w:hAnsiTheme="majorHAnsi"/>
              </w:rPr>
            </w:pPr>
            <w:r w:rsidRPr="00EC040C">
              <w:rPr>
                <w:rFonts w:asciiTheme="majorHAnsi" w:hAnsiTheme="majorHAnsi"/>
              </w:rPr>
              <w:t xml:space="preserve">Council Directive </w:t>
            </w:r>
            <w:r w:rsidRPr="00EC040C" w:rsidDel="00DE5B99">
              <w:rPr>
                <w:rFonts w:asciiTheme="majorHAnsi" w:hAnsiTheme="majorHAnsi"/>
              </w:rPr>
              <w:t>80/68</w:t>
            </w:r>
            <w:r w:rsidRPr="00EC040C">
              <w:rPr>
                <w:rFonts w:asciiTheme="majorHAnsi" w:hAnsiTheme="majorHAnsi"/>
              </w:rPr>
              <w:t>/EEC</w:t>
            </w:r>
            <w:r w:rsidRPr="00EC040C" w:rsidDel="00DE5B99">
              <w:rPr>
                <w:rFonts w:asciiTheme="majorHAnsi" w:hAnsiTheme="majorHAnsi"/>
              </w:rPr>
              <w:t xml:space="preserve"> for discharges to the ground water</w:t>
            </w:r>
            <w:r w:rsidRPr="00EC040C">
              <w:rPr>
                <w:rFonts w:asciiTheme="majorHAnsi" w:hAnsiTheme="majorHAnsi"/>
              </w:rPr>
              <w:t xml:space="preserve"> enters into force</w:t>
            </w:r>
          </w:p>
        </w:tc>
      </w:tr>
      <w:tr w:rsidR="00B638B4" w:rsidRPr="00EC040C" w:rsidDel="00DE5B99" w14:paraId="5E344E24" w14:textId="77777777" w:rsidTr="00857654">
        <w:trPr>
          <w:trHeight w:val="205"/>
        </w:trPr>
        <w:tc>
          <w:tcPr>
            <w:tcW w:w="534" w:type="dxa"/>
            <w:vMerge/>
            <w:vAlign w:val="center"/>
          </w:tcPr>
          <w:p w14:paraId="45C6581D" w14:textId="77777777" w:rsidR="00B638B4" w:rsidRPr="00EC040C" w:rsidDel="00DE5B99" w:rsidRDefault="00B638B4" w:rsidP="00857654">
            <w:pPr>
              <w:jc w:val="center"/>
              <w:rPr>
                <w:rFonts w:asciiTheme="majorHAnsi" w:hAnsiTheme="majorHAnsi"/>
              </w:rPr>
            </w:pPr>
          </w:p>
        </w:tc>
        <w:tc>
          <w:tcPr>
            <w:tcW w:w="8933" w:type="dxa"/>
          </w:tcPr>
          <w:p w14:paraId="652F2F3E" w14:textId="10977121" w:rsidR="00B638B4" w:rsidRPr="00EC040C" w:rsidDel="00DE5B99" w:rsidRDefault="00B638B4" w:rsidP="00857654">
            <w:pPr>
              <w:rPr>
                <w:rFonts w:asciiTheme="majorHAnsi" w:hAnsiTheme="majorHAnsi"/>
              </w:rPr>
            </w:pPr>
            <w:r w:rsidRPr="00EC040C">
              <w:rPr>
                <w:rFonts w:asciiTheme="majorHAnsi" w:hAnsiTheme="majorHAnsi"/>
              </w:rPr>
              <w:t>Council Directive 80/778/EEC enters into force but was repealed with effect from five years after the entry into force of Directive 98/83/EC</w:t>
            </w:r>
            <w:r w:rsidR="00162458" w:rsidRPr="00EC040C">
              <w:rPr>
                <w:rFonts w:asciiTheme="majorHAnsi" w:hAnsiTheme="majorHAnsi"/>
              </w:rPr>
              <w:t>.</w:t>
            </w:r>
          </w:p>
        </w:tc>
      </w:tr>
      <w:tr w:rsidR="00B638B4" w:rsidRPr="00EC040C" w:rsidDel="00DE5B99" w14:paraId="60B9360E" w14:textId="77777777" w:rsidTr="00857654">
        <w:trPr>
          <w:trHeight w:val="205"/>
        </w:trPr>
        <w:tc>
          <w:tcPr>
            <w:tcW w:w="534" w:type="dxa"/>
            <w:vAlign w:val="center"/>
          </w:tcPr>
          <w:p w14:paraId="17A69525"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1982</w:t>
            </w:r>
          </w:p>
        </w:tc>
        <w:tc>
          <w:tcPr>
            <w:tcW w:w="8933" w:type="dxa"/>
          </w:tcPr>
          <w:p w14:paraId="6CB46CA7" w14:textId="5434176A" w:rsidR="00B638B4" w:rsidRPr="00EC040C" w:rsidDel="00DE5B99" w:rsidRDefault="00162458" w:rsidP="00857654">
            <w:pPr>
              <w:rPr>
                <w:rFonts w:asciiTheme="majorHAnsi" w:hAnsiTheme="majorHAnsi"/>
              </w:rPr>
            </w:pPr>
            <w:r w:rsidRPr="00EC040C">
              <w:rPr>
                <w:rFonts w:asciiTheme="majorHAnsi" w:hAnsiTheme="majorHAnsi"/>
              </w:rPr>
              <w:t xml:space="preserve">The </w:t>
            </w:r>
            <w:r w:rsidR="00B638B4" w:rsidRPr="00EC040C" w:rsidDel="00DE5B99">
              <w:rPr>
                <w:rFonts w:asciiTheme="majorHAnsi" w:hAnsiTheme="majorHAnsi"/>
              </w:rPr>
              <w:t xml:space="preserve">Third </w:t>
            </w:r>
            <w:r w:rsidR="00B638B4" w:rsidRPr="00EC040C">
              <w:rPr>
                <w:rFonts w:asciiTheme="majorHAnsi" w:hAnsiTheme="majorHAnsi"/>
              </w:rPr>
              <w:t>EAP</w:t>
            </w:r>
            <w:r w:rsidR="00B638B4" w:rsidRPr="00EC040C" w:rsidDel="00DE5B99">
              <w:rPr>
                <w:rFonts w:asciiTheme="majorHAnsi" w:hAnsiTheme="majorHAnsi"/>
              </w:rPr>
              <w:t xml:space="preserve"> </w:t>
            </w:r>
            <w:r w:rsidRPr="00EC040C">
              <w:rPr>
                <w:rFonts w:asciiTheme="majorHAnsi" w:hAnsiTheme="majorHAnsi"/>
              </w:rPr>
              <w:t xml:space="preserve">was adopted. It </w:t>
            </w:r>
            <w:r w:rsidR="00B638B4" w:rsidRPr="00EC040C" w:rsidDel="00DE5B99">
              <w:rPr>
                <w:rFonts w:asciiTheme="majorHAnsi" w:hAnsiTheme="majorHAnsi"/>
              </w:rPr>
              <w:t>promoted a shift towards an emission-oriented approach.</w:t>
            </w:r>
          </w:p>
        </w:tc>
      </w:tr>
      <w:tr w:rsidR="00B638B4" w:rsidRPr="00EC040C" w:rsidDel="00DE5B99" w14:paraId="53DD2F48" w14:textId="77777777" w:rsidTr="00857654">
        <w:trPr>
          <w:trHeight w:val="205"/>
        </w:trPr>
        <w:tc>
          <w:tcPr>
            <w:tcW w:w="534" w:type="dxa"/>
            <w:vAlign w:val="center"/>
          </w:tcPr>
          <w:p w14:paraId="3C5BACCD"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1986</w:t>
            </w:r>
          </w:p>
        </w:tc>
        <w:tc>
          <w:tcPr>
            <w:tcW w:w="8933" w:type="dxa"/>
          </w:tcPr>
          <w:p w14:paraId="2400F5AA" w14:textId="584CA981" w:rsidR="00B638B4" w:rsidRPr="00EC040C" w:rsidDel="00DE5B99" w:rsidRDefault="00B638B4" w:rsidP="00857654">
            <w:pPr>
              <w:rPr>
                <w:rFonts w:asciiTheme="majorHAnsi" w:hAnsiTheme="majorHAnsi"/>
              </w:rPr>
            </w:pPr>
            <w:r w:rsidRPr="00EC040C" w:rsidDel="00DE5B99">
              <w:rPr>
                <w:rFonts w:asciiTheme="majorHAnsi" w:hAnsiTheme="majorHAnsi"/>
              </w:rPr>
              <w:t xml:space="preserve">Single European Act (SEA) was the </w:t>
            </w:r>
            <w:r w:rsidR="00E54C51" w:rsidRPr="00EC040C">
              <w:rPr>
                <w:rFonts w:asciiTheme="majorHAnsi" w:hAnsiTheme="majorHAnsi"/>
              </w:rPr>
              <w:t>first</w:t>
            </w:r>
            <w:r w:rsidRPr="00EC040C" w:rsidDel="00DE5B99">
              <w:rPr>
                <w:rFonts w:asciiTheme="majorHAnsi" w:hAnsiTheme="majorHAnsi"/>
              </w:rPr>
              <w:t xml:space="preserve"> major revision of the 1957 Treaty of Rome.</w:t>
            </w:r>
          </w:p>
        </w:tc>
      </w:tr>
      <w:tr w:rsidR="00B638B4" w:rsidRPr="00EC040C" w:rsidDel="00DE5B99" w14:paraId="5F3E659C" w14:textId="77777777" w:rsidTr="00857654">
        <w:trPr>
          <w:trHeight w:val="410"/>
        </w:trPr>
        <w:tc>
          <w:tcPr>
            <w:tcW w:w="534" w:type="dxa"/>
            <w:vAlign w:val="center"/>
          </w:tcPr>
          <w:p w14:paraId="676BC3A8"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1987</w:t>
            </w:r>
          </w:p>
        </w:tc>
        <w:tc>
          <w:tcPr>
            <w:tcW w:w="8933" w:type="dxa"/>
          </w:tcPr>
          <w:p w14:paraId="2C3DF074" w14:textId="3BB3164D" w:rsidR="00B638B4" w:rsidRPr="00EC040C" w:rsidDel="00DE5B99" w:rsidRDefault="00162458" w:rsidP="00857654">
            <w:pPr>
              <w:rPr>
                <w:rFonts w:asciiTheme="majorHAnsi" w:hAnsiTheme="majorHAnsi"/>
              </w:rPr>
            </w:pPr>
            <w:r w:rsidRPr="00EC040C">
              <w:rPr>
                <w:rFonts w:asciiTheme="majorHAnsi" w:hAnsiTheme="majorHAnsi"/>
              </w:rPr>
              <w:t xml:space="preserve">The </w:t>
            </w:r>
            <w:r w:rsidR="00B638B4" w:rsidRPr="00EC040C" w:rsidDel="00DE5B99">
              <w:rPr>
                <w:rFonts w:asciiTheme="majorHAnsi" w:hAnsiTheme="majorHAnsi"/>
              </w:rPr>
              <w:t xml:space="preserve">Fourth </w:t>
            </w:r>
            <w:r w:rsidR="00B638B4" w:rsidRPr="00EC040C">
              <w:rPr>
                <w:rFonts w:asciiTheme="majorHAnsi" w:hAnsiTheme="majorHAnsi"/>
              </w:rPr>
              <w:t>EAP</w:t>
            </w:r>
            <w:r w:rsidR="00B638B4" w:rsidRPr="00EC040C" w:rsidDel="00DE5B99">
              <w:rPr>
                <w:rFonts w:asciiTheme="majorHAnsi" w:hAnsiTheme="majorHAnsi"/>
              </w:rPr>
              <w:t xml:space="preserve"> </w:t>
            </w:r>
            <w:r w:rsidRPr="00EC040C">
              <w:rPr>
                <w:rFonts w:asciiTheme="majorHAnsi" w:hAnsiTheme="majorHAnsi"/>
              </w:rPr>
              <w:t xml:space="preserve">entered in to force and </w:t>
            </w:r>
            <w:r w:rsidR="00B638B4" w:rsidRPr="00EC040C" w:rsidDel="00DE5B99">
              <w:rPr>
                <w:rFonts w:asciiTheme="majorHAnsi" w:hAnsiTheme="majorHAnsi"/>
              </w:rPr>
              <w:t>initiated a “sectoral approach”, analysing the impact of strategic economic sectors on the environment</w:t>
            </w:r>
            <w:r w:rsidRPr="00EC040C">
              <w:rPr>
                <w:rFonts w:asciiTheme="majorHAnsi" w:hAnsiTheme="majorHAnsi"/>
              </w:rPr>
              <w:t>.</w:t>
            </w:r>
          </w:p>
        </w:tc>
      </w:tr>
      <w:tr w:rsidR="00B638B4" w:rsidRPr="00EC040C" w:rsidDel="00DE5B99" w14:paraId="224BCE45" w14:textId="77777777" w:rsidTr="00857654">
        <w:trPr>
          <w:trHeight w:val="615"/>
        </w:trPr>
        <w:tc>
          <w:tcPr>
            <w:tcW w:w="534" w:type="dxa"/>
            <w:vMerge w:val="restart"/>
            <w:vAlign w:val="center"/>
          </w:tcPr>
          <w:p w14:paraId="77CCF8D8"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1991</w:t>
            </w:r>
          </w:p>
        </w:tc>
        <w:tc>
          <w:tcPr>
            <w:tcW w:w="8933" w:type="dxa"/>
          </w:tcPr>
          <w:p w14:paraId="0D737B3F" w14:textId="77777777" w:rsidR="00B638B4" w:rsidRPr="00EC040C" w:rsidDel="00DE5B99" w:rsidRDefault="00B638B4" w:rsidP="00857654">
            <w:pPr>
              <w:rPr>
                <w:rFonts w:asciiTheme="majorHAnsi" w:hAnsiTheme="majorHAnsi"/>
              </w:rPr>
            </w:pPr>
            <w:r w:rsidRPr="00EC040C" w:rsidDel="00DE5B99">
              <w:rPr>
                <w:rFonts w:asciiTheme="majorHAnsi" w:hAnsiTheme="majorHAnsi"/>
              </w:rPr>
              <w:t xml:space="preserve">Urban Wastewater Treatment Directive (91/271/EEC), </w:t>
            </w:r>
            <w:r w:rsidRPr="00EC040C">
              <w:rPr>
                <w:rFonts w:asciiTheme="majorHAnsi" w:hAnsiTheme="majorHAnsi"/>
              </w:rPr>
              <w:t>aimed to p</w:t>
            </w:r>
            <w:r w:rsidRPr="00EC040C" w:rsidDel="00DE5B99">
              <w:rPr>
                <w:rFonts w:asciiTheme="majorHAnsi" w:hAnsiTheme="majorHAnsi"/>
              </w:rPr>
              <w:t>rotect the environment from the adverse effects of untreated urban waste water discharges and discharges from certain industrial sectors; Sets standards for collection and treatment of wastewater from different sizes of agglomerations; Designate areas sensitive to nutrient pollution</w:t>
            </w:r>
          </w:p>
        </w:tc>
      </w:tr>
      <w:tr w:rsidR="00B638B4" w:rsidRPr="00EC040C" w:rsidDel="00DE5B99" w14:paraId="702AB6A0" w14:textId="77777777" w:rsidTr="00857654">
        <w:trPr>
          <w:trHeight w:val="442"/>
        </w:trPr>
        <w:tc>
          <w:tcPr>
            <w:tcW w:w="534" w:type="dxa"/>
            <w:vMerge/>
            <w:vAlign w:val="center"/>
          </w:tcPr>
          <w:p w14:paraId="5134F140" w14:textId="77777777" w:rsidR="00B638B4" w:rsidRPr="00EC040C" w:rsidDel="00DE5B99" w:rsidRDefault="00B638B4" w:rsidP="00857654">
            <w:pPr>
              <w:jc w:val="center"/>
              <w:rPr>
                <w:rFonts w:asciiTheme="majorHAnsi" w:hAnsiTheme="majorHAnsi"/>
              </w:rPr>
            </w:pPr>
          </w:p>
        </w:tc>
        <w:tc>
          <w:tcPr>
            <w:tcW w:w="8933" w:type="dxa"/>
          </w:tcPr>
          <w:p w14:paraId="77180953" w14:textId="1F644EA1" w:rsidR="00B638B4" w:rsidRPr="00EC040C" w:rsidDel="00DE5B99" w:rsidRDefault="00B638B4" w:rsidP="00162458">
            <w:pPr>
              <w:rPr>
                <w:rFonts w:asciiTheme="majorHAnsi" w:hAnsiTheme="majorHAnsi"/>
              </w:rPr>
            </w:pPr>
            <w:r w:rsidRPr="00EC040C" w:rsidDel="00DE5B99">
              <w:rPr>
                <w:rFonts w:asciiTheme="majorHAnsi" w:hAnsiTheme="majorHAnsi"/>
              </w:rPr>
              <w:t xml:space="preserve">Nitrates Directive (91/676/ECC), </w:t>
            </w:r>
            <w:r w:rsidRPr="00EC040C">
              <w:rPr>
                <w:rFonts w:asciiTheme="majorHAnsi" w:hAnsiTheme="majorHAnsi"/>
              </w:rPr>
              <w:t>aimed to p</w:t>
            </w:r>
            <w:r w:rsidRPr="00EC040C" w:rsidDel="00DE5B99">
              <w:rPr>
                <w:rFonts w:asciiTheme="majorHAnsi" w:hAnsiTheme="majorHAnsi"/>
              </w:rPr>
              <w:t>rotect water quality across Europe by preventing nitrates from agricultural sources polluting ground and surface waters and by promoting the use of good farming practices.</w:t>
            </w:r>
          </w:p>
        </w:tc>
      </w:tr>
      <w:tr w:rsidR="00B638B4" w:rsidRPr="00EC040C" w:rsidDel="00DE5B99" w14:paraId="5AC711B2" w14:textId="77777777" w:rsidTr="00857654">
        <w:trPr>
          <w:trHeight w:val="469"/>
        </w:trPr>
        <w:tc>
          <w:tcPr>
            <w:tcW w:w="534" w:type="dxa"/>
            <w:vMerge w:val="restart"/>
            <w:vAlign w:val="center"/>
          </w:tcPr>
          <w:p w14:paraId="31AD1388"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1992</w:t>
            </w:r>
          </w:p>
        </w:tc>
        <w:tc>
          <w:tcPr>
            <w:tcW w:w="8933" w:type="dxa"/>
          </w:tcPr>
          <w:p w14:paraId="57D3288A" w14:textId="572718C7" w:rsidR="00B638B4" w:rsidRPr="00EC040C" w:rsidDel="00DE5B99" w:rsidRDefault="00B638B4" w:rsidP="00857654">
            <w:pPr>
              <w:rPr>
                <w:rFonts w:asciiTheme="majorHAnsi" w:hAnsiTheme="majorHAnsi"/>
              </w:rPr>
            </w:pPr>
            <w:r w:rsidRPr="00EC040C" w:rsidDel="00DE5B99">
              <w:rPr>
                <w:rFonts w:asciiTheme="majorHAnsi" w:hAnsiTheme="majorHAnsi"/>
              </w:rPr>
              <w:t>The Habitats Directive (92/43/EEC) was adopted</w:t>
            </w:r>
            <w:r w:rsidRPr="00EC040C">
              <w:rPr>
                <w:rFonts w:asciiTheme="majorHAnsi" w:hAnsiTheme="majorHAnsi"/>
              </w:rPr>
              <w:t xml:space="preserve"> and aimed to a</w:t>
            </w:r>
            <w:r w:rsidRPr="00EC040C" w:rsidDel="00DE5B99">
              <w:rPr>
                <w:rFonts w:asciiTheme="majorHAnsi" w:hAnsiTheme="majorHAnsi"/>
              </w:rPr>
              <w:t>chieve favourable conservation status for selected habitat types and species by designating special protection areas</w:t>
            </w:r>
            <w:r w:rsidR="00162458" w:rsidRPr="00EC040C">
              <w:rPr>
                <w:rFonts w:asciiTheme="majorHAnsi" w:hAnsiTheme="majorHAnsi"/>
              </w:rPr>
              <w:t>.</w:t>
            </w:r>
          </w:p>
        </w:tc>
      </w:tr>
      <w:tr w:rsidR="00B638B4" w:rsidRPr="00EC040C" w:rsidDel="00DE5B99" w14:paraId="42A14821" w14:textId="77777777" w:rsidTr="00857654">
        <w:trPr>
          <w:trHeight w:val="205"/>
        </w:trPr>
        <w:tc>
          <w:tcPr>
            <w:tcW w:w="534" w:type="dxa"/>
            <w:vMerge/>
            <w:vAlign w:val="center"/>
          </w:tcPr>
          <w:p w14:paraId="21FEB228" w14:textId="77777777" w:rsidR="00B638B4" w:rsidRPr="00EC040C" w:rsidDel="00DE5B99" w:rsidRDefault="00B638B4" w:rsidP="00857654">
            <w:pPr>
              <w:jc w:val="center"/>
              <w:rPr>
                <w:rFonts w:asciiTheme="majorHAnsi" w:hAnsiTheme="majorHAnsi"/>
              </w:rPr>
            </w:pPr>
          </w:p>
        </w:tc>
        <w:tc>
          <w:tcPr>
            <w:tcW w:w="8933" w:type="dxa"/>
          </w:tcPr>
          <w:p w14:paraId="43056FDD" w14:textId="11EE6662" w:rsidR="00B638B4" w:rsidRPr="00EC040C" w:rsidDel="00DE5B99" w:rsidRDefault="00B638B4" w:rsidP="00857654">
            <w:pPr>
              <w:rPr>
                <w:rFonts w:asciiTheme="majorHAnsi" w:hAnsiTheme="majorHAnsi"/>
              </w:rPr>
            </w:pPr>
            <w:r w:rsidRPr="00EC040C" w:rsidDel="00DE5B99">
              <w:rPr>
                <w:rFonts w:asciiTheme="majorHAnsi" w:hAnsiTheme="majorHAnsi"/>
              </w:rPr>
              <w:t>Maastricht Treaty legitimises the subsidiarity principle</w:t>
            </w:r>
            <w:r w:rsidR="00162458" w:rsidRPr="00EC040C">
              <w:rPr>
                <w:rFonts w:asciiTheme="majorHAnsi" w:hAnsiTheme="majorHAnsi"/>
              </w:rPr>
              <w:t>.</w:t>
            </w:r>
          </w:p>
        </w:tc>
      </w:tr>
      <w:tr w:rsidR="00B638B4" w:rsidRPr="00EC040C" w:rsidDel="00DE5B99" w14:paraId="0D782B1E" w14:textId="77777777" w:rsidTr="00857654">
        <w:trPr>
          <w:trHeight w:val="205"/>
        </w:trPr>
        <w:tc>
          <w:tcPr>
            <w:tcW w:w="534" w:type="dxa"/>
            <w:vMerge w:val="restart"/>
            <w:vAlign w:val="center"/>
          </w:tcPr>
          <w:p w14:paraId="4058E178" w14:textId="77777777" w:rsidR="00B638B4" w:rsidRPr="00EC040C" w:rsidDel="00DE5B99" w:rsidRDefault="00B638B4" w:rsidP="00857654">
            <w:pPr>
              <w:jc w:val="center"/>
              <w:rPr>
                <w:rFonts w:asciiTheme="majorHAnsi" w:hAnsiTheme="majorHAnsi"/>
              </w:rPr>
            </w:pPr>
            <w:r w:rsidRPr="00EC040C" w:rsidDel="00DE5B99">
              <w:rPr>
                <w:rFonts w:asciiTheme="majorHAnsi" w:hAnsiTheme="majorHAnsi"/>
              </w:rPr>
              <w:t>1993</w:t>
            </w:r>
          </w:p>
        </w:tc>
        <w:tc>
          <w:tcPr>
            <w:tcW w:w="8933" w:type="dxa"/>
          </w:tcPr>
          <w:p w14:paraId="2CCE9D60" w14:textId="0B46A783" w:rsidR="00B638B4" w:rsidRPr="00EC040C" w:rsidDel="00DE5B99" w:rsidRDefault="00162458" w:rsidP="00857654">
            <w:pPr>
              <w:rPr>
                <w:rFonts w:asciiTheme="majorHAnsi" w:hAnsiTheme="majorHAnsi"/>
              </w:rPr>
            </w:pPr>
            <w:r w:rsidRPr="00EC040C">
              <w:rPr>
                <w:rFonts w:asciiTheme="majorHAnsi" w:hAnsiTheme="majorHAnsi"/>
              </w:rPr>
              <w:t xml:space="preserve">The </w:t>
            </w:r>
            <w:r w:rsidR="00B638B4" w:rsidRPr="00EC040C" w:rsidDel="00DE5B99">
              <w:rPr>
                <w:rFonts w:asciiTheme="majorHAnsi" w:hAnsiTheme="majorHAnsi"/>
              </w:rPr>
              <w:t xml:space="preserve">Fifth </w:t>
            </w:r>
            <w:r w:rsidR="00B638B4" w:rsidRPr="00EC040C">
              <w:rPr>
                <w:rFonts w:asciiTheme="majorHAnsi" w:hAnsiTheme="majorHAnsi"/>
              </w:rPr>
              <w:t>EAP</w:t>
            </w:r>
            <w:r w:rsidR="00B638B4" w:rsidRPr="00EC040C" w:rsidDel="00DE5B99">
              <w:rPr>
                <w:rFonts w:asciiTheme="majorHAnsi" w:hAnsiTheme="majorHAnsi"/>
              </w:rPr>
              <w:t xml:space="preserve"> e</w:t>
            </w:r>
            <w:r w:rsidRPr="00EC040C">
              <w:rPr>
                <w:rFonts w:asciiTheme="majorHAnsi" w:hAnsiTheme="majorHAnsi"/>
              </w:rPr>
              <w:t>ntitled “Towards Sustainability” was adopted.</w:t>
            </w:r>
          </w:p>
        </w:tc>
      </w:tr>
      <w:tr w:rsidR="00B638B4" w:rsidRPr="00EC040C" w:rsidDel="00DE5B99" w14:paraId="0CE7321C" w14:textId="77777777" w:rsidTr="00857654">
        <w:trPr>
          <w:trHeight w:val="205"/>
        </w:trPr>
        <w:tc>
          <w:tcPr>
            <w:tcW w:w="534" w:type="dxa"/>
            <w:vMerge/>
            <w:vAlign w:val="center"/>
          </w:tcPr>
          <w:p w14:paraId="561ADD10" w14:textId="77777777" w:rsidR="00B638B4" w:rsidRPr="00EC040C" w:rsidDel="00DE5B99" w:rsidRDefault="00B638B4" w:rsidP="00857654">
            <w:pPr>
              <w:jc w:val="center"/>
              <w:rPr>
                <w:rFonts w:asciiTheme="majorHAnsi" w:hAnsiTheme="majorHAnsi"/>
              </w:rPr>
            </w:pPr>
          </w:p>
        </w:tc>
        <w:tc>
          <w:tcPr>
            <w:tcW w:w="8933" w:type="dxa"/>
          </w:tcPr>
          <w:p w14:paraId="5F9F8D5F" w14:textId="422EE037" w:rsidR="00B638B4" w:rsidRPr="00EC040C" w:rsidRDefault="00B638B4" w:rsidP="00857654">
            <w:pPr>
              <w:rPr>
                <w:rFonts w:asciiTheme="majorHAnsi" w:hAnsiTheme="majorHAnsi"/>
              </w:rPr>
            </w:pPr>
            <w:r w:rsidRPr="00EC040C">
              <w:rPr>
                <w:rFonts w:asciiTheme="majorHAnsi" w:hAnsiTheme="majorHAnsi"/>
              </w:rPr>
              <w:t xml:space="preserve">The proposal for a Directive on the Ecological Quality of Water (COM 93 680), a </w:t>
            </w:r>
            <w:r w:rsidR="00E54C51" w:rsidRPr="00EC040C">
              <w:rPr>
                <w:rFonts w:asciiTheme="majorHAnsi" w:hAnsiTheme="majorHAnsi"/>
              </w:rPr>
              <w:t>first</w:t>
            </w:r>
            <w:r w:rsidRPr="00EC040C">
              <w:rPr>
                <w:rFonts w:asciiTheme="majorHAnsi" w:hAnsiTheme="majorHAnsi"/>
              </w:rPr>
              <w:t xml:space="preserve"> attempt for a framework policy on water with many similarities to the WFD.</w:t>
            </w:r>
            <w:r w:rsidR="00E963C6" w:rsidRPr="00EC040C">
              <w:rPr>
                <w:rFonts w:asciiTheme="majorHAnsi" w:hAnsiTheme="majorHAnsi"/>
              </w:rPr>
              <w:t xml:space="preserve"> It proposed a more comprehensive approach, but relied heavily on the principle of subsidiarity, allowing for variable implementation, and was criticised for not introducing strong enough measures. </w:t>
            </w:r>
          </w:p>
          <w:p w14:paraId="06FF5832" w14:textId="64BEFC0B" w:rsidR="00B638B4" w:rsidRPr="00EC040C" w:rsidDel="00DE5B99" w:rsidRDefault="00B638B4" w:rsidP="00857654">
            <w:pPr>
              <w:rPr>
                <w:rFonts w:asciiTheme="majorHAnsi" w:hAnsiTheme="majorHAnsi"/>
              </w:rPr>
            </w:pPr>
            <w:r w:rsidRPr="00EC040C">
              <w:rPr>
                <w:rFonts w:asciiTheme="majorHAnsi" w:hAnsiTheme="majorHAnsi"/>
              </w:rPr>
              <w:t xml:space="preserve">"Ecological water quality" was defined as "an overall expression of the structure and function of the biological community taking into account natural physiographic, geographical and climatic factors as well as physical and chemical conditions, including those resulting from human activities. The aesthetics of the area should also be taken into account". </w:t>
            </w:r>
          </w:p>
        </w:tc>
      </w:tr>
      <w:tr w:rsidR="00B638B4" w:rsidRPr="00EC040C" w:rsidDel="00DE5B99" w14:paraId="261492B8" w14:textId="77777777" w:rsidTr="00857654">
        <w:trPr>
          <w:trHeight w:val="614"/>
        </w:trPr>
        <w:tc>
          <w:tcPr>
            <w:tcW w:w="534" w:type="dxa"/>
            <w:vAlign w:val="center"/>
          </w:tcPr>
          <w:p w14:paraId="1C7A1BA3"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1994</w:t>
            </w:r>
          </w:p>
        </w:tc>
        <w:tc>
          <w:tcPr>
            <w:tcW w:w="8933" w:type="dxa"/>
          </w:tcPr>
          <w:p w14:paraId="1383104A" w14:textId="77777777" w:rsidR="00B638B4" w:rsidRPr="00EC040C" w:rsidDel="00DE5B99" w:rsidRDefault="00B638B4" w:rsidP="00857654">
            <w:pPr>
              <w:rPr>
                <w:rFonts w:asciiTheme="majorHAnsi" w:hAnsiTheme="majorHAnsi"/>
              </w:rPr>
            </w:pPr>
            <w:r w:rsidRPr="00EC040C" w:rsidDel="00DE5B99">
              <w:rPr>
                <w:rFonts w:asciiTheme="majorHAnsi" w:hAnsiTheme="majorHAnsi"/>
              </w:rPr>
              <w:t>The Commission proposed a Directive (</w:t>
            </w:r>
            <w:proofErr w:type="gramStart"/>
            <w:r w:rsidRPr="00EC040C" w:rsidDel="00DE5B99">
              <w:rPr>
                <w:rFonts w:asciiTheme="majorHAnsi" w:hAnsiTheme="majorHAnsi"/>
              </w:rPr>
              <w:t>COM(</w:t>
            </w:r>
            <w:proofErr w:type="gramEnd"/>
            <w:r w:rsidRPr="00EC040C" w:rsidDel="00DE5B99">
              <w:rPr>
                <w:rFonts w:asciiTheme="majorHAnsi" w:hAnsiTheme="majorHAnsi"/>
              </w:rPr>
              <w:t>93)680) on the ecological quality of surface waters as a more comprehensive approach, but relied heavily on the principle of subsidiarity, allowing for variable implementation, and was criticised for not introducing strong enough measures.</w:t>
            </w:r>
          </w:p>
        </w:tc>
      </w:tr>
      <w:tr w:rsidR="00B638B4" w:rsidRPr="00EC040C" w:rsidDel="00DE5B99" w14:paraId="66982ACA" w14:textId="77777777" w:rsidTr="00857654">
        <w:trPr>
          <w:trHeight w:val="1248"/>
        </w:trPr>
        <w:tc>
          <w:tcPr>
            <w:tcW w:w="534" w:type="dxa"/>
            <w:vAlign w:val="center"/>
          </w:tcPr>
          <w:p w14:paraId="7E4D5A48" w14:textId="77777777" w:rsidR="00B638B4" w:rsidRPr="00EC040C" w:rsidDel="00DE5B99" w:rsidRDefault="00B638B4" w:rsidP="00857654">
            <w:pPr>
              <w:jc w:val="center"/>
              <w:rPr>
                <w:rFonts w:asciiTheme="majorHAnsi" w:hAnsiTheme="majorHAnsi"/>
                <w:b/>
                <w:bCs/>
                <w:i/>
                <w:iCs/>
                <w:color w:val="FF0000"/>
              </w:rPr>
            </w:pPr>
            <w:r w:rsidRPr="00EC040C" w:rsidDel="00DE5B99">
              <w:rPr>
                <w:rFonts w:asciiTheme="majorHAnsi" w:hAnsiTheme="majorHAnsi"/>
              </w:rPr>
              <w:t>1995</w:t>
            </w:r>
          </w:p>
        </w:tc>
        <w:tc>
          <w:tcPr>
            <w:tcW w:w="8933" w:type="dxa"/>
          </w:tcPr>
          <w:p w14:paraId="788D7A42" w14:textId="342EE043" w:rsidR="00B638B4" w:rsidRPr="00EC040C" w:rsidDel="00DE5B99" w:rsidRDefault="00B638B4" w:rsidP="00162458">
            <w:pPr>
              <w:rPr>
                <w:rFonts w:asciiTheme="majorHAnsi" w:hAnsiTheme="majorHAnsi"/>
              </w:rPr>
            </w:pPr>
            <w:r w:rsidRPr="00EC040C" w:rsidDel="00DE5B99">
              <w:rPr>
                <w:rFonts w:asciiTheme="majorHAnsi" w:hAnsiTheme="majorHAnsi"/>
              </w:rPr>
              <w:t>In June 1995, the Council and the Environment Committee of the European Parliament called for a fundamental review of Community water policy. In November of that same year, the European Environment Agency produced its report “Environment in the European Union – 1995” in which it found a need for action to protect Community waters in both qualitative and quantitative terms. The next month, December of 1995, the Council adopted a resolution that required the Commission to draft a proposal for a new Directive on sustainable water policy.</w:t>
            </w:r>
          </w:p>
        </w:tc>
      </w:tr>
      <w:tr w:rsidR="00B638B4" w:rsidRPr="00EC040C" w:rsidDel="00DE5B99" w14:paraId="0A5B05B9" w14:textId="77777777" w:rsidTr="00857654">
        <w:trPr>
          <w:trHeight w:val="614"/>
        </w:trPr>
        <w:tc>
          <w:tcPr>
            <w:tcW w:w="534" w:type="dxa"/>
            <w:vAlign w:val="center"/>
          </w:tcPr>
          <w:p w14:paraId="76AE681D"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1997</w:t>
            </w:r>
          </w:p>
        </w:tc>
        <w:tc>
          <w:tcPr>
            <w:tcW w:w="8933" w:type="dxa"/>
          </w:tcPr>
          <w:p w14:paraId="1BDD0D7C" w14:textId="77777777" w:rsidR="00B638B4" w:rsidRPr="00EC040C" w:rsidDel="00DE5B99" w:rsidRDefault="00B638B4" w:rsidP="00857654">
            <w:pPr>
              <w:rPr>
                <w:rFonts w:asciiTheme="majorHAnsi" w:hAnsiTheme="majorHAnsi"/>
              </w:rPr>
            </w:pPr>
            <w:r w:rsidRPr="00EC040C" w:rsidDel="00DE5B99">
              <w:rPr>
                <w:rFonts w:asciiTheme="majorHAnsi" w:hAnsiTheme="majorHAnsi"/>
              </w:rPr>
              <w:t>The Commission presents its Communication on European Community Water Policy (</w:t>
            </w:r>
            <w:proofErr w:type="gramStart"/>
            <w:r w:rsidRPr="00EC040C" w:rsidDel="00DE5B99">
              <w:rPr>
                <w:rFonts w:asciiTheme="majorHAnsi" w:hAnsiTheme="majorHAnsi"/>
              </w:rPr>
              <w:t>COM(</w:t>
            </w:r>
            <w:proofErr w:type="gramEnd"/>
            <w:r w:rsidRPr="00EC040C" w:rsidDel="00DE5B99">
              <w:rPr>
                <w:rFonts w:asciiTheme="majorHAnsi" w:hAnsiTheme="majorHAnsi"/>
              </w:rPr>
              <w:t>96)59) proposing the WFD. This communication evaluated previous water policies, defined objectives for a new policy framework, and gave recommendations for future action.</w:t>
            </w:r>
          </w:p>
        </w:tc>
      </w:tr>
      <w:tr w:rsidR="00B638B4" w:rsidRPr="00EC040C" w:rsidDel="00DE5B99" w14:paraId="65487E92" w14:textId="77777777" w:rsidTr="00857654">
        <w:trPr>
          <w:trHeight w:val="205"/>
        </w:trPr>
        <w:tc>
          <w:tcPr>
            <w:tcW w:w="534" w:type="dxa"/>
            <w:vAlign w:val="center"/>
          </w:tcPr>
          <w:p w14:paraId="60F73C1C"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1997</w:t>
            </w:r>
          </w:p>
        </w:tc>
        <w:tc>
          <w:tcPr>
            <w:tcW w:w="8933" w:type="dxa"/>
          </w:tcPr>
          <w:p w14:paraId="07C9D6F7" w14:textId="465EFA19" w:rsidR="00B638B4" w:rsidRPr="00EC040C" w:rsidDel="00DE5B99" w:rsidRDefault="00162458" w:rsidP="00857654">
            <w:pPr>
              <w:rPr>
                <w:rFonts w:asciiTheme="majorHAnsi" w:hAnsiTheme="majorHAnsi"/>
              </w:rPr>
            </w:pPr>
            <w:r w:rsidRPr="00EC040C">
              <w:rPr>
                <w:rFonts w:asciiTheme="majorHAnsi" w:hAnsiTheme="majorHAnsi"/>
              </w:rPr>
              <w:t xml:space="preserve">The Commission produced a </w:t>
            </w:r>
            <w:r w:rsidR="00E54C51" w:rsidRPr="00EC040C">
              <w:rPr>
                <w:rFonts w:asciiTheme="majorHAnsi" w:hAnsiTheme="majorHAnsi"/>
              </w:rPr>
              <w:t>first</w:t>
            </w:r>
            <w:r w:rsidRPr="00EC040C">
              <w:rPr>
                <w:rFonts w:asciiTheme="majorHAnsi" w:hAnsiTheme="majorHAnsi"/>
              </w:rPr>
              <w:t xml:space="preserve"> p</w:t>
            </w:r>
            <w:r w:rsidR="00B638B4" w:rsidRPr="00EC040C" w:rsidDel="00DE5B99">
              <w:rPr>
                <w:rFonts w:asciiTheme="majorHAnsi" w:hAnsiTheme="majorHAnsi"/>
              </w:rPr>
              <w:t>roposal for a W</w:t>
            </w:r>
            <w:r w:rsidR="00B638B4" w:rsidRPr="00EC040C">
              <w:rPr>
                <w:rFonts w:asciiTheme="majorHAnsi" w:hAnsiTheme="majorHAnsi"/>
              </w:rPr>
              <w:t xml:space="preserve">FD </w:t>
            </w:r>
            <w:r w:rsidR="00B638B4" w:rsidRPr="00EC040C" w:rsidDel="00DE5B99">
              <w:rPr>
                <w:rFonts w:asciiTheme="majorHAnsi" w:hAnsiTheme="majorHAnsi"/>
              </w:rPr>
              <w:t>(</w:t>
            </w:r>
            <w:proofErr w:type="gramStart"/>
            <w:r w:rsidR="00B638B4" w:rsidRPr="00EC040C" w:rsidDel="00DE5B99">
              <w:rPr>
                <w:rFonts w:asciiTheme="majorHAnsi" w:hAnsiTheme="majorHAnsi"/>
              </w:rPr>
              <w:t>COM(</w:t>
            </w:r>
            <w:proofErr w:type="gramEnd"/>
            <w:r w:rsidR="00B638B4" w:rsidRPr="00EC040C" w:rsidDel="00DE5B99">
              <w:rPr>
                <w:rFonts w:asciiTheme="majorHAnsi" w:hAnsiTheme="majorHAnsi"/>
              </w:rPr>
              <w:t>97)49)</w:t>
            </w:r>
            <w:r w:rsidRPr="00EC040C">
              <w:rPr>
                <w:rFonts w:asciiTheme="majorHAnsi" w:hAnsiTheme="majorHAnsi"/>
              </w:rPr>
              <w:t>.</w:t>
            </w:r>
          </w:p>
        </w:tc>
      </w:tr>
      <w:tr w:rsidR="00B638B4" w:rsidRPr="00EC040C" w:rsidDel="00DE5B99" w14:paraId="1F1B16FC" w14:textId="77777777" w:rsidTr="00857654">
        <w:trPr>
          <w:trHeight w:val="159"/>
        </w:trPr>
        <w:tc>
          <w:tcPr>
            <w:tcW w:w="534" w:type="dxa"/>
            <w:vAlign w:val="center"/>
          </w:tcPr>
          <w:p w14:paraId="292C93C3"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1998</w:t>
            </w:r>
          </w:p>
        </w:tc>
        <w:tc>
          <w:tcPr>
            <w:tcW w:w="8933" w:type="dxa"/>
          </w:tcPr>
          <w:p w14:paraId="2E2D68D2" w14:textId="77777777" w:rsidR="00B638B4" w:rsidRPr="00EC040C" w:rsidDel="00DE5B99" w:rsidRDefault="00B638B4" w:rsidP="00857654">
            <w:pPr>
              <w:rPr>
                <w:rFonts w:asciiTheme="majorHAnsi" w:hAnsiTheme="majorHAnsi"/>
              </w:rPr>
            </w:pPr>
            <w:r w:rsidRPr="00EC040C" w:rsidDel="00DE5B99">
              <w:rPr>
                <w:rFonts w:asciiTheme="majorHAnsi" w:hAnsiTheme="majorHAnsi"/>
              </w:rPr>
              <w:t xml:space="preserve">The UK Presidency placed a WFD proposal on the Council agenda and produced a significantly modified version. </w:t>
            </w:r>
          </w:p>
        </w:tc>
      </w:tr>
      <w:tr w:rsidR="00B638B4" w:rsidRPr="00EC040C" w:rsidDel="00DE5B99" w14:paraId="28CC5DCE" w14:textId="77777777" w:rsidTr="00857654">
        <w:trPr>
          <w:trHeight w:val="488"/>
        </w:trPr>
        <w:tc>
          <w:tcPr>
            <w:tcW w:w="534" w:type="dxa"/>
            <w:tcBorders>
              <w:bottom w:val="single" w:sz="4" w:space="0" w:color="auto"/>
            </w:tcBorders>
            <w:vAlign w:val="center"/>
          </w:tcPr>
          <w:p w14:paraId="6D4D7B17" w14:textId="77777777" w:rsidR="00B638B4" w:rsidRPr="00EC040C" w:rsidDel="00DE5B99" w:rsidRDefault="00B638B4" w:rsidP="00857654">
            <w:pPr>
              <w:jc w:val="center"/>
              <w:rPr>
                <w:rFonts w:asciiTheme="majorHAnsi" w:hAnsiTheme="majorHAnsi"/>
                <w:b/>
                <w:bCs/>
                <w:i/>
                <w:iCs/>
                <w:color w:val="4F81BD" w:themeColor="accent1"/>
              </w:rPr>
            </w:pPr>
            <w:r w:rsidRPr="00EC040C" w:rsidDel="00DE5B99">
              <w:rPr>
                <w:rFonts w:asciiTheme="majorHAnsi" w:hAnsiTheme="majorHAnsi"/>
              </w:rPr>
              <w:t>1999</w:t>
            </w:r>
          </w:p>
        </w:tc>
        <w:tc>
          <w:tcPr>
            <w:tcW w:w="8933" w:type="dxa"/>
            <w:tcBorders>
              <w:bottom w:val="single" w:sz="4" w:space="0" w:color="auto"/>
            </w:tcBorders>
          </w:tcPr>
          <w:p w14:paraId="50780E60" w14:textId="77777777" w:rsidR="00B638B4" w:rsidRPr="00EC040C" w:rsidDel="00DE5B99" w:rsidRDefault="00B638B4" w:rsidP="00857654">
            <w:pPr>
              <w:rPr>
                <w:rFonts w:asciiTheme="majorHAnsi" w:hAnsiTheme="majorHAnsi"/>
              </w:rPr>
            </w:pPr>
            <w:r w:rsidRPr="00EC040C" w:rsidDel="00DE5B99">
              <w:rPr>
                <w:rFonts w:asciiTheme="majorHAnsi" w:hAnsiTheme="majorHAnsi"/>
              </w:rPr>
              <w:t xml:space="preserve">The Amsterdam treaty came into force, amending the Treaty of the European Union, enabling the WFD proposal being adopted by co-decision, as Parliament gains equal legislative power with the Council of Ministers. </w:t>
            </w:r>
          </w:p>
        </w:tc>
      </w:tr>
      <w:tr w:rsidR="00B638B4" w:rsidRPr="00EC040C" w:rsidDel="00DE5B99" w14:paraId="6BBD2F2E" w14:textId="77777777" w:rsidTr="00857654">
        <w:trPr>
          <w:trHeight w:val="424"/>
        </w:trPr>
        <w:tc>
          <w:tcPr>
            <w:tcW w:w="534" w:type="dxa"/>
            <w:tcBorders>
              <w:bottom w:val="single" w:sz="4" w:space="0" w:color="auto"/>
            </w:tcBorders>
            <w:vAlign w:val="center"/>
          </w:tcPr>
          <w:p w14:paraId="43377503" w14:textId="77777777" w:rsidR="00B638B4" w:rsidRPr="00EC040C" w:rsidDel="00DE5B99" w:rsidRDefault="00B638B4" w:rsidP="00857654">
            <w:pPr>
              <w:jc w:val="center"/>
              <w:rPr>
                <w:rFonts w:asciiTheme="majorHAnsi" w:hAnsiTheme="majorHAnsi"/>
                <w:b/>
                <w:bCs/>
                <w:i/>
                <w:iCs/>
                <w:color w:val="002060"/>
              </w:rPr>
            </w:pPr>
            <w:r w:rsidRPr="00EC040C" w:rsidDel="00DE5B99">
              <w:rPr>
                <w:rFonts w:asciiTheme="majorHAnsi" w:hAnsiTheme="majorHAnsi"/>
              </w:rPr>
              <w:t>2000</w:t>
            </w:r>
          </w:p>
        </w:tc>
        <w:tc>
          <w:tcPr>
            <w:tcW w:w="8933" w:type="dxa"/>
            <w:tcBorders>
              <w:bottom w:val="single" w:sz="4" w:space="0" w:color="auto"/>
            </w:tcBorders>
          </w:tcPr>
          <w:p w14:paraId="4190D160" w14:textId="01900970" w:rsidR="00B638B4" w:rsidRPr="00EC040C" w:rsidDel="00DE5B99" w:rsidRDefault="00B638B4" w:rsidP="00162458">
            <w:pPr>
              <w:rPr>
                <w:rFonts w:asciiTheme="majorHAnsi" w:hAnsiTheme="majorHAnsi"/>
              </w:rPr>
            </w:pPr>
            <w:r w:rsidRPr="00EC040C" w:rsidDel="00DE5B99">
              <w:rPr>
                <w:rFonts w:asciiTheme="majorHAnsi" w:hAnsiTheme="majorHAnsi"/>
              </w:rPr>
              <w:t xml:space="preserve">Directive 2000/60/EC known as the WFD of 23 October 2000 establishing a framework for Community action in the field of water policy) </w:t>
            </w:r>
            <w:r w:rsidR="00162458" w:rsidRPr="00EC040C">
              <w:rPr>
                <w:rFonts w:asciiTheme="majorHAnsi" w:hAnsiTheme="majorHAnsi"/>
              </w:rPr>
              <w:t>was</w:t>
            </w:r>
            <w:r w:rsidRPr="00EC040C" w:rsidDel="00DE5B99">
              <w:rPr>
                <w:rFonts w:asciiTheme="majorHAnsi" w:hAnsiTheme="majorHAnsi"/>
              </w:rPr>
              <w:t xml:space="preserve"> signed.</w:t>
            </w:r>
          </w:p>
        </w:tc>
      </w:tr>
    </w:tbl>
    <w:p w14:paraId="53C7F9B6" w14:textId="77777777" w:rsidR="00B638B4" w:rsidRPr="00EC040C" w:rsidRDefault="00B638B4" w:rsidP="00B638B4">
      <w:pPr>
        <w:rPr>
          <w:rFonts w:asciiTheme="majorHAnsi" w:hAnsiTheme="majorHAnsi"/>
          <w:b/>
          <w:sz w:val="22"/>
          <w:szCs w:val="22"/>
        </w:rPr>
      </w:pPr>
    </w:p>
    <w:p w14:paraId="39C39AA7" w14:textId="77777777" w:rsidR="00CC00E0" w:rsidRPr="00EC040C" w:rsidRDefault="00CC00E0">
      <w:pPr>
        <w:rPr>
          <w:rFonts w:asciiTheme="majorHAnsi" w:hAnsiTheme="majorHAnsi"/>
          <w:sz w:val="22"/>
          <w:szCs w:val="22"/>
        </w:rPr>
      </w:pPr>
    </w:p>
    <w:p w14:paraId="2010C2D9" w14:textId="77777777" w:rsidR="00B638B4" w:rsidRPr="00EC040C" w:rsidRDefault="00B638B4">
      <w:pPr>
        <w:rPr>
          <w:rFonts w:asciiTheme="majorHAnsi" w:hAnsiTheme="majorHAnsi"/>
          <w:sz w:val="22"/>
          <w:szCs w:val="22"/>
        </w:rPr>
      </w:pPr>
    </w:p>
    <w:p w14:paraId="4693BBF7" w14:textId="77777777" w:rsidR="00162458" w:rsidRPr="00EC040C" w:rsidRDefault="00162458">
      <w:pPr>
        <w:rPr>
          <w:rFonts w:asciiTheme="majorHAnsi" w:hAnsiTheme="majorHAnsi"/>
          <w:sz w:val="22"/>
          <w:szCs w:val="22"/>
        </w:rPr>
      </w:pPr>
    </w:p>
    <w:p w14:paraId="3E0FD1EE" w14:textId="35279E53" w:rsidR="00B638B4" w:rsidRPr="00EC040C" w:rsidRDefault="00B638B4" w:rsidP="00B638B4">
      <w:pPr>
        <w:rPr>
          <w:rFonts w:asciiTheme="majorHAnsi" w:eastAsia="Arial Unicode MS" w:hAnsiTheme="majorHAnsi"/>
          <w:sz w:val="22"/>
          <w:szCs w:val="22"/>
        </w:rPr>
      </w:pPr>
      <w:r w:rsidRPr="00EC040C">
        <w:rPr>
          <w:rFonts w:asciiTheme="majorHAnsi" w:hAnsiTheme="majorHAnsi"/>
          <w:b/>
          <w:sz w:val="22"/>
          <w:szCs w:val="22"/>
        </w:rPr>
        <w:t>Table S</w:t>
      </w:r>
      <w:r w:rsidR="000553C4" w:rsidRPr="00EC040C">
        <w:rPr>
          <w:rFonts w:asciiTheme="majorHAnsi" w:hAnsiTheme="majorHAnsi"/>
          <w:b/>
          <w:sz w:val="22"/>
          <w:szCs w:val="22"/>
        </w:rPr>
        <w:t>2</w:t>
      </w:r>
      <w:r w:rsidRPr="00EC040C">
        <w:rPr>
          <w:rFonts w:asciiTheme="majorHAnsi" w:hAnsiTheme="majorHAnsi"/>
          <w:b/>
          <w:sz w:val="22"/>
          <w:szCs w:val="22"/>
        </w:rPr>
        <w:t xml:space="preserve"> </w:t>
      </w:r>
      <w:r w:rsidRPr="00EC040C">
        <w:rPr>
          <w:rFonts w:asciiTheme="majorHAnsi" w:hAnsiTheme="majorHAnsi"/>
          <w:sz w:val="22"/>
          <w:szCs w:val="22"/>
        </w:rPr>
        <w:t>Milestones in WFD implementation and policy progress and developments since 2000</w:t>
      </w:r>
    </w:p>
    <w:p w14:paraId="7FF55BCB" w14:textId="77777777" w:rsidR="00B638B4" w:rsidRPr="00EC040C" w:rsidRDefault="00B638B4" w:rsidP="00B638B4">
      <w:pPr>
        <w:rPr>
          <w:rFonts w:asciiTheme="majorHAnsi" w:hAnsiTheme="majorHAnsi"/>
          <w:sz w:val="22"/>
          <w:szCs w:val="22"/>
        </w:rPr>
      </w:pPr>
    </w:p>
    <w:tbl>
      <w:tblPr>
        <w:tblStyle w:val="TableGrid"/>
        <w:tblpPr w:leftFromText="180" w:rightFromText="180" w:vertAnchor="text" w:tblpY="1"/>
        <w:tblOverlap w:val="never"/>
        <w:tblW w:w="9322" w:type="dxa"/>
        <w:tblLayout w:type="fixed"/>
        <w:tblLook w:val="04A0" w:firstRow="1" w:lastRow="0" w:firstColumn="1" w:lastColumn="0" w:noHBand="0" w:noVBand="1"/>
      </w:tblPr>
      <w:tblGrid>
        <w:gridCol w:w="675"/>
        <w:gridCol w:w="8647"/>
      </w:tblGrid>
      <w:tr w:rsidR="00B638B4" w:rsidRPr="00EC040C" w14:paraId="62688FC8" w14:textId="77777777" w:rsidTr="00857654">
        <w:trPr>
          <w:trHeight w:val="87"/>
        </w:trPr>
        <w:tc>
          <w:tcPr>
            <w:tcW w:w="675" w:type="dxa"/>
            <w:vAlign w:val="center"/>
          </w:tcPr>
          <w:p w14:paraId="02CF6DC4" w14:textId="77777777" w:rsidR="00B638B4" w:rsidRPr="00EC040C" w:rsidRDefault="00B638B4" w:rsidP="00857654">
            <w:pPr>
              <w:spacing w:before="100" w:beforeAutospacing="1" w:line="360" w:lineRule="auto"/>
              <w:jc w:val="center"/>
              <w:rPr>
                <w:rFonts w:asciiTheme="majorHAnsi" w:eastAsia="Arial Unicode MS" w:hAnsiTheme="majorHAnsi"/>
                <w:b/>
                <w:bCs/>
                <w:color w:val="4F81BD" w:themeColor="accent1"/>
              </w:rPr>
            </w:pPr>
            <w:r w:rsidRPr="00EC040C">
              <w:rPr>
                <w:rFonts w:asciiTheme="majorHAnsi" w:eastAsia="Arial Unicode MS" w:hAnsiTheme="majorHAnsi"/>
                <w:b/>
              </w:rPr>
              <w:t>Year</w:t>
            </w:r>
          </w:p>
        </w:tc>
        <w:tc>
          <w:tcPr>
            <w:tcW w:w="8647" w:type="dxa"/>
          </w:tcPr>
          <w:p w14:paraId="6AB2A4C8" w14:textId="77777777" w:rsidR="00B638B4" w:rsidRPr="00EC040C" w:rsidRDefault="00B638B4" w:rsidP="00857654">
            <w:pPr>
              <w:spacing w:before="100" w:beforeAutospacing="1" w:line="360" w:lineRule="auto"/>
              <w:jc w:val="both"/>
              <w:rPr>
                <w:rFonts w:asciiTheme="majorHAnsi" w:eastAsia="Arial Unicode MS" w:hAnsiTheme="majorHAnsi"/>
                <w:b/>
              </w:rPr>
            </w:pPr>
            <w:r w:rsidRPr="00EC040C">
              <w:rPr>
                <w:rFonts w:asciiTheme="majorHAnsi" w:eastAsia="Arial Unicode MS" w:hAnsiTheme="majorHAnsi"/>
                <w:b/>
              </w:rPr>
              <w:t>Milestones in WFD implementation, progress and policy developments</w:t>
            </w:r>
          </w:p>
        </w:tc>
      </w:tr>
      <w:tr w:rsidR="00B638B4" w:rsidRPr="00EC040C" w14:paraId="18A9103E" w14:textId="77777777" w:rsidTr="00857654">
        <w:trPr>
          <w:trHeight w:val="87"/>
        </w:trPr>
        <w:tc>
          <w:tcPr>
            <w:tcW w:w="675" w:type="dxa"/>
            <w:vAlign w:val="center"/>
          </w:tcPr>
          <w:p w14:paraId="6060D78D" w14:textId="77777777" w:rsidR="00B638B4" w:rsidRPr="00EC040C" w:rsidRDefault="00B638B4" w:rsidP="00857654">
            <w:pPr>
              <w:jc w:val="center"/>
              <w:rPr>
                <w:rFonts w:asciiTheme="majorHAnsi" w:eastAsia="Times New Roman" w:hAnsiTheme="majorHAnsi"/>
                <w:b/>
                <w:bCs/>
                <w:color w:val="000000"/>
                <w:shd w:val="clear" w:color="auto" w:fill="FFFFFF"/>
              </w:rPr>
            </w:pPr>
            <w:r w:rsidRPr="00EC040C">
              <w:rPr>
                <w:rFonts w:asciiTheme="majorHAnsi" w:eastAsia="Times New Roman" w:hAnsiTheme="majorHAnsi"/>
                <w:color w:val="000000"/>
                <w:shd w:val="clear" w:color="auto" w:fill="FFFFFF"/>
              </w:rPr>
              <w:t>2000</w:t>
            </w:r>
          </w:p>
        </w:tc>
        <w:tc>
          <w:tcPr>
            <w:tcW w:w="8647" w:type="dxa"/>
          </w:tcPr>
          <w:p w14:paraId="7E3A2BA3" w14:textId="13B962AB" w:rsidR="00B638B4" w:rsidRPr="00EC040C" w:rsidRDefault="00E54C51" w:rsidP="00857654">
            <w:pPr>
              <w:rPr>
                <w:rFonts w:asciiTheme="majorHAnsi" w:eastAsia="Arial Unicode MS" w:hAnsiTheme="majorHAnsi"/>
              </w:rPr>
            </w:pPr>
            <w:r w:rsidRPr="00EC040C">
              <w:rPr>
                <w:rFonts w:asciiTheme="majorHAnsi" w:eastAsia="Times New Roman" w:hAnsiTheme="majorHAnsi"/>
                <w:color w:val="000000"/>
                <w:shd w:val="clear" w:color="auto" w:fill="FFFFFF"/>
              </w:rPr>
              <w:t>WFD</w:t>
            </w:r>
            <w:r w:rsidR="00B638B4" w:rsidRPr="00EC040C">
              <w:rPr>
                <w:rFonts w:asciiTheme="majorHAnsi" w:eastAsia="Times New Roman" w:hAnsiTheme="majorHAnsi"/>
                <w:color w:val="000000"/>
                <w:shd w:val="clear" w:color="auto" w:fill="FFFFFF"/>
              </w:rPr>
              <w:t xml:space="preserve"> entered into force, (WFD Art. 25)</w:t>
            </w:r>
            <w:r w:rsidR="00162458" w:rsidRPr="00EC040C">
              <w:rPr>
                <w:rFonts w:asciiTheme="majorHAnsi" w:eastAsia="Times New Roman" w:hAnsiTheme="majorHAnsi"/>
                <w:color w:val="000000"/>
                <w:shd w:val="clear" w:color="auto" w:fill="FFFFFF"/>
              </w:rPr>
              <w:t>.</w:t>
            </w:r>
          </w:p>
        </w:tc>
      </w:tr>
      <w:tr w:rsidR="00B638B4" w:rsidRPr="00EC040C" w14:paraId="281FDFD0" w14:textId="77777777" w:rsidTr="00857654">
        <w:trPr>
          <w:trHeight w:val="87"/>
        </w:trPr>
        <w:tc>
          <w:tcPr>
            <w:tcW w:w="675" w:type="dxa"/>
            <w:vMerge w:val="restart"/>
            <w:vAlign w:val="center"/>
          </w:tcPr>
          <w:p w14:paraId="28E0D019" w14:textId="77777777" w:rsidR="00B638B4" w:rsidRPr="00EC040C" w:rsidRDefault="00B638B4" w:rsidP="00857654">
            <w:pPr>
              <w:jc w:val="cente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2001</w:t>
            </w:r>
          </w:p>
        </w:tc>
        <w:tc>
          <w:tcPr>
            <w:tcW w:w="8647" w:type="dxa"/>
          </w:tcPr>
          <w:p w14:paraId="539C240D" w14:textId="3D3099E6" w:rsidR="00B638B4" w:rsidRPr="00EC040C" w:rsidRDefault="00162458"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B638B4" w:rsidRPr="00EC040C">
              <w:rPr>
                <w:rFonts w:asciiTheme="majorHAnsi" w:eastAsia="Times New Roman" w:hAnsiTheme="majorHAnsi"/>
                <w:color w:val="000000"/>
                <w:shd w:val="clear" w:color="auto" w:fill="FFFFFF"/>
              </w:rPr>
              <w:t>Council adopted Decision establishing a list of priority substances in the field of water policy, formally proposed at the beginning of 2001 (</w:t>
            </w:r>
            <w:proofErr w:type="gramStart"/>
            <w:r w:rsidR="00B638B4" w:rsidRPr="00EC040C">
              <w:rPr>
                <w:rFonts w:asciiTheme="majorHAnsi" w:eastAsia="Times New Roman" w:hAnsiTheme="majorHAnsi"/>
                <w:color w:val="000000"/>
                <w:shd w:val="clear" w:color="auto" w:fill="FFFFFF"/>
              </w:rPr>
              <w:t>COM(</w:t>
            </w:r>
            <w:proofErr w:type="gramEnd"/>
            <w:r w:rsidR="00B638B4" w:rsidRPr="00EC040C">
              <w:rPr>
                <w:rFonts w:asciiTheme="majorHAnsi" w:eastAsia="Times New Roman" w:hAnsiTheme="majorHAnsi"/>
                <w:color w:val="000000"/>
                <w:shd w:val="clear" w:color="auto" w:fill="FFFFFF"/>
              </w:rPr>
              <w:t>2001)17) and formed Annex X of the WFD. The priority list of 33 substances is derived from an initial survey of other ‘lists’, including those in Directive 76/464/EEC, the OS</w:t>
            </w:r>
            <w:r w:rsidRPr="00EC040C">
              <w:rPr>
                <w:rFonts w:asciiTheme="majorHAnsi" w:eastAsia="Times New Roman" w:hAnsiTheme="majorHAnsi"/>
                <w:color w:val="000000"/>
                <w:shd w:val="clear" w:color="auto" w:fill="FFFFFF"/>
              </w:rPr>
              <w:t>PAR and HELCOM Conventions, etc</w:t>
            </w:r>
            <w:r w:rsidR="00B638B4" w:rsidRPr="00EC040C">
              <w:rPr>
                <w:rFonts w:asciiTheme="majorHAnsi" w:eastAsia="Times New Roman" w:hAnsiTheme="majorHAnsi"/>
                <w:color w:val="000000"/>
                <w:shd w:val="clear" w:color="auto" w:fill="FFFFFF"/>
              </w:rPr>
              <w:t xml:space="preserve">  (WFD Art 16). </w:t>
            </w:r>
          </w:p>
        </w:tc>
      </w:tr>
      <w:tr w:rsidR="00B638B4" w:rsidRPr="00EC040C" w14:paraId="3BF1FC63" w14:textId="77777777" w:rsidTr="00857654">
        <w:trPr>
          <w:trHeight w:val="379"/>
        </w:trPr>
        <w:tc>
          <w:tcPr>
            <w:tcW w:w="675" w:type="dxa"/>
            <w:vMerge/>
            <w:vAlign w:val="center"/>
          </w:tcPr>
          <w:p w14:paraId="69DA0746"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6C560B07" w14:textId="4A0AFF94" w:rsidR="00B638B4" w:rsidRPr="00EC040C" w:rsidRDefault="00B638B4" w:rsidP="00E54C51">
            <w:pPr>
              <w:rPr>
                <w:rFonts w:asciiTheme="majorHAnsi" w:eastAsia="Arial Unicode MS" w:hAnsiTheme="majorHAnsi"/>
              </w:rPr>
            </w:pPr>
            <w:r w:rsidRPr="00EC040C">
              <w:rPr>
                <w:rFonts w:asciiTheme="majorHAnsi" w:eastAsia="Times New Roman" w:hAnsiTheme="majorHAnsi"/>
                <w:color w:val="000000"/>
                <w:shd w:val="clear" w:color="auto" w:fill="FFFFFF"/>
              </w:rPr>
              <w:t>A Common Implementation Strategy is developed as a response to the complex technical issues in implementing the Directive.</w:t>
            </w:r>
          </w:p>
        </w:tc>
      </w:tr>
      <w:tr w:rsidR="00B638B4" w:rsidRPr="00EC040C" w14:paraId="75F2488B" w14:textId="77777777" w:rsidTr="00857654">
        <w:trPr>
          <w:trHeight w:val="527"/>
        </w:trPr>
        <w:tc>
          <w:tcPr>
            <w:tcW w:w="675" w:type="dxa"/>
            <w:vAlign w:val="center"/>
          </w:tcPr>
          <w:p w14:paraId="4D6C2AB8" w14:textId="77777777" w:rsidR="00B638B4" w:rsidRPr="00EC040C" w:rsidRDefault="00B638B4" w:rsidP="00857654">
            <w:pPr>
              <w:jc w:val="cente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2002</w:t>
            </w:r>
          </w:p>
        </w:tc>
        <w:tc>
          <w:tcPr>
            <w:tcW w:w="8647" w:type="dxa"/>
          </w:tcPr>
          <w:p w14:paraId="49AFBCFE" w14:textId="4B6C1363" w:rsidR="00B638B4" w:rsidRPr="00EC040C" w:rsidRDefault="00162458" w:rsidP="00B638B4">
            <w:pPr>
              <w:rPr>
                <w:rFonts w:asciiTheme="majorHAnsi" w:eastAsia="Arial Unicode MS" w:hAnsiTheme="majorHAnsi"/>
              </w:rPr>
            </w:pPr>
            <w:r w:rsidRPr="00EC040C">
              <w:rPr>
                <w:rFonts w:asciiTheme="majorHAnsi" w:eastAsia="Arial Unicode MS" w:hAnsiTheme="majorHAnsi"/>
              </w:rPr>
              <w:t xml:space="preserve">The </w:t>
            </w:r>
            <w:r w:rsidR="00B638B4" w:rsidRPr="00EC040C">
              <w:rPr>
                <w:rFonts w:asciiTheme="majorHAnsi" w:eastAsia="Arial Unicode MS" w:hAnsiTheme="majorHAnsi"/>
              </w:rPr>
              <w:t xml:space="preserve">Sixth EAP </w:t>
            </w:r>
            <w:r w:rsidRPr="00EC040C">
              <w:rPr>
                <w:rFonts w:asciiTheme="majorHAnsi" w:eastAsia="Arial Unicode MS" w:hAnsiTheme="majorHAnsi"/>
              </w:rPr>
              <w:t xml:space="preserve">was </w:t>
            </w:r>
            <w:r w:rsidR="00B638B4" w:rsidRPr="00EC040C">
              <w:rPr>
                <w:rFonts w:asciiTheme="majorHAnsi" w:eastAsia="Arial Unicode MS" w:hAnsiTheme="majorHAnsi"/>
              </w:rPr>
              <w:t>elaborated through a co-decision procedure of the European Parliament and of the Council.</w:t>
            </w:r>
            <w:r w:rsidR="00B638B4" w:rsidRPr="00EC040C">
              <w:rPr>
                <w:rFonts w:asciiTheme="majorHAnsi" w:hAnsiTheme="majorHAnsi"/>
              </w:rPr>
              <w:t xml:space="preserve"> </w:t>
            </w:r>
            <w:r w:rsidR="00B638B4" w:rsidRPr="00EC040C">
              <w:rPr>
                <w:rFonts w:asciiTheme="majorHAnsi" w:eastAsia="Arial Unicode MS" w:hAnsiTheme="majorHAnsi"/>
              </w:rPr>
              <w:t>Its main objective in relation to water management was to ensure the full implementation of the WFD through the characterisation of river basin districts, the environmental pressures and impacts and economics of water uses.</w:t>
            </w:r>
            <w:r w:rsidR="00B638B4" w:rsidRPr="00EC040C">
              <w:rPr>
                <w:rFonts w:asciiTheme="majorHAnsi" w:hAnsiTheme="majorHAnsi"/>
              </w:rPr>
              <w:t xml:space="preserve"> </w:t>
            </w:r>
            <w:r w:rsidR="00B638B4" w:rsidRPr="00EC040C">
              <w:rPr>
                <w:rFonts w:asciiTheme="majorHAnsi" w:eastAsia="Arial Unicode MS" w:hAnsiTheme="majorHAnsi"/>
              </w:rPr>
              <w:t>It promoted the full integration of environmental protection requirements into all Community policies and actions and provided the environmental component of the Community’s strategy for sustainable development.</w:t>
            </w:r>
          </w:p>
        </w:tc>
      </w:tr>
      <w:tr w:rsidR="00B638B4" w:rsidRPr="00EC040C" w14:paraId="7F6B041E" w14:textId="77777777" w:rsidTr="00857654">
        <w:trPr>
          <w:trHeight w:val="858"/>
        </w:trPr>
        <w:tc>
          <w:tcPr>
            <w:tcW w:w="675" w:type="dxa"/>
            <w:vMerge w:val="restart"/>
            <w:vAlign w:val="center"/>
          </w:tcPr>
          <w:p w14:paraId="6AD5E864" w14:textId="77777777" w:rsidR="00B638B4" w:rsidRPr="00EC040C" w:rsidRDefault="00B638B4" w:rsidP="00857654">
            <w:pPr>
              <w:jc w:val="cente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2003</w:t>
            </w:r>
          </w:p>
        </w:tc>
        <w:tc>
          <w:tcPr>
            <w:tcW w:w="8647" w:type="dxa"/>
          </w:tcPr>
          <w:p w14:paraId="2B4133C0" w14:textId="41CDCF36" w:rsidR="00B638B4" w:rsidRPr="00EC040C" w:rsidRDefault="00B638B4" w:rsidP="00162458">
            <w:pPr>
              <w:rPr>
                <w:rFonts w:asciiTheme="majorHAnsi" w:eastAsia="Arial Unicode MS" w:hAnsiTheme="majorHAnsi"/>
              </w:rPr>
            </w:pPr>
            <w:r w:rsidRPr="00EC040C">
              <w:rPr>
                <w:rFonts w:asciiTheme="majorHAnsi" w:eastAsia="Arial Unicode MS" w:hAnsiTheme="majorHAnsi"/>
              </w:rPr>
              <w:t>The deadline for t</w:t>
            </w:r>
            <w:r w:rsidRPr="00EC040C">
              <w:rPr>
                <w:rFonts w:asciiTheme="majorHAnsi" w:eastAsia="Times New Roman" w:hAnsiTheme="majorHAnsi"/>
                <w:color w:val="000000"/>
                <w:shd w:val="clear" w:color="auto" w:fill="FFFFFF"/>
              </w:rPr>
              <w:t>ransposition in national legislation, (WFD Art. 23), was poorly met and in many cases inadequate. The conformity assessment in 2007 of transposition of Articles 4, 4.7, 9 and 14 only 3 MS have been successful 2 partially having missing elements or issues that require further analysis (European Commission, 2007). Infringement cases for Greece, Italy and Luxemburg were still open by 2007</w:t>
            </w:r>
            <w:r w:rsidR="00162458" w:rsidRPr="00EC040C">
              <w:rPr>
                <w:rFonts w:asciiTheme="majorHAnsi" w:eastAsia="Times New Roman" w:hAnsiTheme="majorHAnsi"/>
                <w:color w:val="000000"/>
                <w:shd w:val="clear" w:color="auto" w:fill="FFFFFF"/>
              </w:rPr>
              <w:t>.</w:t>
            </w:r>
          </w:p>
        </w:tc>
      </w:tr>
      <w:tr w:rsidR="00B638B4" w:rsidRPr="00EC040C" w14:paraId="7EC59704" w14:textId="77777777" w:rsidTr="00857654">
        <w:trPr>
          <w:trHeight w:val="267"/>
        </w:trPr>
        <w:tc>
          <w:tcPr>
            <w:tcW w:w="675" w:type="dxa"/>
            <w:vMerge/>
            <w:vAlign w:val="center"/>
          </w:tcPr>
          <w:p w14:paraId="4789FC04"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13960EE1" w14:textId="77777777" w:rsidR="00B638B4" w:rsidRPr="00EC040C" w:rsidRDefault="00B638B4" w:rsidP="00857654">
            <w:pPr>
              <w:rPr>
                <w:rFonts w:asciiTheme="majorHAnsi" w:eastAsia="Arial Unicode MS" w:hAnsiTheme="majorHAnsi"/>
              </w:rPr>
            </w:pPr>
            <w:r w:rsidRPr="00EC040C">
              <w:rPr>
                <w:rFonts w:asciiTheme="majorHAnsi" w:eastAsia="Times New Roman" w:hAnsiTheme="majorHAnsi"/>
                <w:color w:val="000000"/>
                <w:shd w:val="clear" w:color="auto" w:fill="FFFFFF"/>
              </w:rPr>
              <w:t xml:space="preserve">The deadline for Identification of River Basin Districts and Authorities,  (WFD Art. 3) was largely met by most EU 25 MS.  </w:t>
            </w:r>
            <w:r w:rsidRPr="00EC040C">
              <w:rPr>
                <w:rFonts w:asciiTheme="majorHAnsi" w:hAnsiTheme="majorHAnsi"/>
              </w:rPr>
              <w:t xml:space="preserve"> </w:t>
            </w:r>
            <w:r w:rsidRPr="00EC040C">
              <w:rPr>
                <w:rFonts w:asciiTheme="majorHAnsi" w:eastAsia="Times New Roman" w:hAnsiTheme="majorHAnsi"/>
                <w:color w:val="000000"/>
                <w:shd w:val="clear" w:color="auto" w:fill="FFFFFF"/>
              </w:rPr>
              <w:t>The Commission launched infringement cases of "non-communication" against Belgium, Denmark, France, Greece, Italy, Malta, Poland, Spain and Sweden since they failed to submit any report in time. All cases, with the exception of Spain, have been resolved, most of them already in 2004, and closed in the meantime. By 2007, the implementation of Article 3 was largely complete across EU27. This has resulted in the establishment of 110 river basin districts (RBDs) across the EU.</w:t>
            </w:r>
          </w:p>
        </w:tc>
      </w:tr>
      <w:tr w:rsidR="00B638B4" w:rsidRPr="00EC040C" w14:paraId="7112C49F" w14:textId="77777777" w:rsidTr="00857654">
        <w:trPr>
          <w:trHeight w:val="267"/>
        </w:trPr>
        <w:tc>
          <w:tcPr>
            <w:tcW w:w="675" w:type="dxa"/>
            <w:vMerge/>
            <w:vAlign w:val="center"/>
          </w:tcPr>
          <w:p w14:paraId="7D3F6704"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045FFA52" w14:textId="4BB7F3BC" w:rsidR="00B638B4" w:rsidRPr="00EC040C" w:rsidRDefault="00B638B4" w:rsidP="00857654">
            <w:pPr>
              <w:rPr>
                <w:rFonts w:asciiTheme="majorHAnsi" w:eastAsia="Arial Unicode MS" w:hAnsiTheme="majorHAnsi"/>
              </w:rPr>
            </w:pPr>
            <w:r w:rsidRPr="00EC040C">
              <w:rPr>
                <w:rFonts w:asciiTheme="majorHAnsi" w:eastAsia="Arial Unicode MS" w:hAnsiTheme="majorHAnsi"/>
              </w:rPr>
              <w:t xml:space="preserve">The Commission published the </w:t>
            </w:r>
            <w:r w:rsidR="00E54C51" w:rsidRPr="00EC040C">
              <w:rPr>
                <w:rFonts w:asciiTheme="majorHAnsi" w:eastAsia="Arial Unicode MS" w:hAnsiTheme="majorHAnsi"/>
              </w:rPr>
              <w:t>first</w:t>
            </w:r>
            <w:r w:rsidRPr="00EC040C">
              <w:rPr>
                <w:rFonts w:asciiTheme="majorHAnsi" w:eastAsia="Arial Unicode MS" w:hAnsiTheme="majorHAnsi"/>
              </w:rPr>
              <w:t xml:space="preserve"> eight CIS guidance documents on technical aspects, </w:t>
            </w:r>
            <w:r w:rsidRPr="00EC040C">
              <w:rPr>
                <w:rFonts w:asciiTheme="majorHAnsi" w:eastAsia="Times New Roman" w:hAnsiTheme="majorHAnsi"/>
                <w:color w:val="000000"/>
                <w:shd w:val="clear" w:color="auto" w:fill="FFFFFF"/>
              </w:rPr>
              <w:t xml:space="preserve"> (WFD Art. 20)</w:t>
            </w:r>
            <w:r w:rsidR="00162458" w:rsidRPr="00EC040C">
              <w:rPr>
                <w:rFonts w:asciiTheme="majorHAnsi" w:eastAsia="Times New Roman" w:hAnsiTheme="majorHAnsi"/>
                <w:color w:val="000000"/>
                <w:shd w:val="clear" w:color="auto" w:fill="FFFFFF"/>
              </w:rPr>
              <w:t>.</w:t>
            </w:r>
          </w:p>
        </w:tc>
      </w:tr>
      <w:tr w:rsidR="00B638B4" w:rsidRPr="00EC040C" w14:paraId="6E2FEB35" w14:textId="77777777" w:rsidTr="00857654">
        <w:trPr>
          <w:trHeight w:val="126"/>
        </w:trPr>
        <w:tc>
          <w:tcPr>
            <w:tcW w:w="675" w:type="dxa"/>
            <w:vAlign w:val="center"/>
          </w:tcPr>
          <w:p w14:paraId="780E07BC" w14:textId="77777777" w:rsidR="00B638B4" w:rsidRPr="00EC040C" w:rsidRDefault="00B638B4" w:rsidP="00857654">
            <w:pPr>
              <w:jc w:val="center"/>
              <w:rPr>
                <w:rFonts w:asciiTheme="majorHAnsi" w:eastAsia="Times New Roman" w:hAnsiTheme="majorHAnsi"/>
                <w:b/>
                <w:bCs/>
                <w:color w:val="4F81BD" w:themeColor="accent1"/>
              </w:rPr>
            </w:pPr>
            <w:r w:rsidRPr="00EC040C">
              <w:rPr>
                <w:rFonts w:asciiTheme="majorHAnsi" w:eastAsia="Times New Roman" w:hAnsiTheme="majorHAnsi"/>
                <w:color w:val="000000"/>
                <w:shd w:val="clear" w:color="auto" w:fill="FFFFFF"/>
              </w:rPr>
              <w:t>2004</w:t>
            </w:r>
          </w:p>
        </w:tc>
        <w:tc>
          <w:tcPr>
            <w:tcW w:w="8647" w:type="dxa"/>
          </w:tcPr>
          <w:p w14:paraId="4D4BC0CA" w14:textId="145E89EA" w:rsidR="00B638B4" w:rsidRPr="00EC040C" w:rsidRDefault="00B638B4" w:rsidP="00857654">
            <w:pPr>
              <w:rPr>
                <w:rFonts w:asciiTheme="majorHAnsi" w:eastAsia="Times New Roman" w:hAnsiTheme="majorHAnsi"/>
              </w:rPr>
            </w:pPr>
            <w:r w:rsidRPr="00EC040C">
              <w:rPr>
                <w:rFonts w:asciiTheme="majorHAnsi" w:eastAsia="Times New Roman" w:hAnsiTheme="majorHAnsi"/>
                <w:color w:val="000000"/>
                <w:shd w:val="clear" w:color="auto" w:fill="FFFFFF"/>
              </w:rPr>
              <w:t xml:space="preserve">Characterisation of river basin: pressures, impacts and economic analysis, (WFD Art. 5). </w:t>
            </w:r>
            <w:r w:rsidR="00E54C51" w:rsidRPr="00EC040C">
              <w:rPr>
                <w:rFonts w:asciiTheme="majorHAnsi" w:eastAsia="Times New Roman" w:hAnsiTheme="majorHAnsi"/>
                <w:color w:val="000000"/>
                <w:shd w:val="clear" w:color="auto" w:fill="FFFFFF"/>
              </w:rPr>
              <w:t xml:space="preserve">Only </w:t>
            </w:r>
            <w:r w:rsidRPr="00EC040C">
              <w:rPr>
                <w:rFonts w:asciiTheme="majorHAnsi" w:hAnsiTheme="majorHAnsi"/>
              </w:rPr>
              <w:t xml:space="preserve">8 MS of EU25 have submitted their Article 5 report in time and 9 additional MS have sent their report within three months after the deadline of 22 March 2005. The Commission started legal action on "non-communication" against Spain, Portugal, Greece and Italy. </w:t>
            </w:r>
            <w:r w:rsidRPr="00EC040C">
              <w:rPr>
                <w:rFonts w:asciiTheme="majorHAnsi" w:eastAsia="Times New Roman" w:hAnsiTheme="majorHAnsi"/>
                <w:color w:val="000000"/>
                <w:shd w:val="clear" w:color="auto" w:fill="FFFFFF"/>
              </w:rPr>
              <w:t>The economic analysis was the weakest part of the Article 5 reports. This concerned in particular the definition of water services, and the information for the calculation of recovery of costs of water services, particularly information on environmental and resource costs and information on sectors to be affected by cost recovery (European Commission, 2007</w:t>
            </w:r>
            <w:r w:rsidR="00162458" w:rsidRPr="00EC040C">
              <w:rPr>
                <w:rFonts w:asciiTheme="majorHAnsi" w:eastAsia="Times New Roman" w:hAnsiTheme="majorHAnsi"/>
                <w:color w:val="000000"/>
                <w:shd w:val="clear" w:color="auto" w:fill="FFFFFF"/>
              </w:rPr>
              <w:t>b</w:t>
            </w:r>
            <w:r w:rsidRPr="00EC040C">
              <w:rPr>
                <w:rFonts w:asciiTheme="majorHAnsi" w:eastAsia="Times New Roman" w:hAnsiTheme="majorHAnsi"/>
                <w:color w:val="000000"/>
                <w:shd w:val="clear" w:color="auto" w:fill="FFFFFF"/>
              </w:rPr>
              <w:t>).</w:t>
            </w:r>
          </w:p>
        </w:tc>
      </w:tr>
      <w:tr w:rsidR="00B638B4" w:rsidRPr="00EC040C" w14:paraId="1B33FFE6" w14:textId="77777777" w:rsidTr="00857654">
        <w:trPr>
          <w:trHeight w:val="267"/>
        </w:trPr>
        <w:tc>
          <w:tcPr>
            <w:tcW w:w="675" w:type="dxa"/>
            <w:vAlign w:val="center"/>
          </w:tcPr>
          <w:p w14:paraId="3F5F4AB0" w14:textId="77777777" w:rsidR="00B638B4" w:rsidRPr="00EC040C" w:rsidRDefault="00B638B4" w:rsidP="00857654">
            <w:pPr>
              <w:jc w:val="center"/>
              <w:rPr>
                <w:rFonts w:asciiTheme="majorHAnsi" w:eastAsia="Times New Roman" w:hAnsiTheme="majorHAnsi"/>
                <w:b/>
                <w:bCs/>
                <w:color w:val="000000"/>
                <w:shd w:val="clear" w:color="auto" w:fill="FFFFFF"/>
              </w:rPr>
            </w:pPr>
            <w:r w:rsidRPr="00EC040C">
              <w:rPr>
                <w:rFonts w:asciiTheme="majorHAnsi" w:eastAsia="Times New Roman" w:hAnsiTheme="majorHAnsi"/>
                <w:color w:val="000000"/>
                <w:shd w:val="clear" w:color="auto" w:fill="FFFFFF"/>
              </w:rPr>
              <w:t>2006</w:t>
            </w:r>
          </w:p>
        </w:tc>
        <w:tc>
          <w:tcPr>
            <w:tcW w:w="8647" w:type="dxa"/>
          </w:tcPr>
          <w:p w14:paraId="45C11449" w14:textId="77777777" w:rsidR="00B638B4" w:rsidRPr="00EC040C" w:rsidRDefault="00B638B4" w:rsidP="00857654">
            <w:pPr>
              <w:ind w:right="237"/>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Deadline for establishing of monitoring networks, (WFD Art. 8); All MS have reported with the exception of Greece and Malta (for surface water monitoring programmes). </w:t>
            </w:r>
          </w:p>
        </w:tc>
      </w:tr>
      <w:tr w:rsidR="00B638B4" w:rsidRPr="00EC040C" w14:paraId="61D8ADAA" w14:textId="77777777" w:rsidTr="00857654">
        <w:trPr>
          <w:trHeight w:val="274"/>
        </w:trPr>
        <w:tc>
          <w:tcPr>
            <w:tcW w:w="675" w:type="dxa"/>
            <w:vMerge w:val="restart"/>
            <w:vAlign w:val="center"/>
          </w:tcPr>
          <w:p w14:paraId="34ECEA0E" w14:textId="77777777" w:rsidR="00B638B4" w:rsidRPr="00EC040C" w:rsidRDefault="00B638B4" w:rsidP="00857654">
            <w:pPr>
              <w:jc w:val="cente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2007</w:t>
            </w:r>
          </w:p>
        </w:tc>
        <w:tc>
          <w:tcPr>
            <w:tcW w:w="8647" w:type="dxa"/>
          </w:tcPr>
          <w:p w14:paraId="7FDBEA35" w14:textId="77777777" w:rsidR="00B638B4" w:rsidRPr="00EC040C" w:rsidRDefault="00B638B4"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The Communication ‘Addressing the challenge of water scarcity and droughts’ was published. Seven policy options were identified for tackling water scarcity and drought issues:</w:t>
            </w:r>
          </w:p>
          <w:p w14:paraId="32B4EC44" w14:textId="77777777" w:rsidR="00B638B4" w:rsidRPr="00EC040C" w:rsidRDefault="00B638B4"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A) Putting the right price tag on water, B) Allocating water and water-related funding more efficiently, C) Improving drought risk management, D) Considering additional water supply infrastructures, E) Fostering water efficient technologies and practices, F) Fostering the emergence of a water-saving culture in Europe and G) Improve knowledge and data collection</w:t>
            </w:r>
          </w:p>
        </w:tc>
      </w:tr>
      <w:tr w:rsidR="00B638B4" w:rsidRPr="00EC040C" w14:paraId="7C1EB0FE" w14:textId="77777777" w:rsidTr="00857654">
        <w:trPr>
          <w:trHeight w:val="668"/>
        </w:trPr>
        <w:tc>
          <w:tcPr>
            <w:tcW w:w="675" w:type="dxa"/>
            <w:vMerge/>
            <w:vAlign w:val="center"/>
          </w:tcPr>
          <w:p w14:paraId="508B3F1A"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0900BB50" w14:textId="0467B91E" w:rsidR="00B638B4" w:rsidRPr="00EC040C" w:rsidRDefault="00B638B4"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Commission published its </w:t>
            </w:r>
            <w:r w:rsidR="00E54C51" w:rsidRPr="00EC040C">
              <w:rPr>
                <w:rFonts w:asciiTheme="majorHAnsi" w:eastAsia="Times New Roman" w:hAnsiTheme="majorHAnsi"/>
                <w:color w:val="000000"/>
                <w:shd w:val="clear" w:color="auto" w:fill="FFFFFF"/>
              </w:rPr>
              <w:t>first</w:t>
            </w:r>
            <w:r w:rsidRPr="00EC040C">
              <w:rPr>
                <w:rFonts w:asciiTheme="majorHAnsi" w:eastAsia="Times New Roman" w:hAnsiTheme="majorHAnsi"/>
                <w:color w:val="000000"/>
                <w:shd w:val="clear" w:color="auto" w:fill="FFFFFF"/>
              </w:rPr>
              <w:t xml:space="preserve"> report (</w:t>
            </w:r>
            <w:proofErr w:type="gramStart"/>
            <w:r w:rsidRPr="00EC040C">
              <w:rPr>
                <w:rFonts w:asciiTheme="majorHAnsi" w:eastAsia="Times New Roman" w:hAnsiTheme="majorHAnsi"/>
                <w:color w:val="000000"/>
                <w:shd w:val="clear" w:color="auto" w:fill="FFFFFF"/>
              </w:rPr>
              <w:t>COM(</w:t>
            </w:r>
            <w:proofErr w:type="gramEnd"/>
            <w:r w:rsidRPr="00EC040C">
              <w:rPr>
                <w:rFonts w:asciiTheme="majorHAnsi" w:eastAsia="Times New Roman" w:hAnsiTheme="majorHAnsi"/>
                <w:color w:val="000000"/>
                <w:shd w:val="clear" w:color="auto" w:fill="FFFFFF"/>
              </w:rPr>
              <w:t>2007)128) on the implementation of the WFD, summarizing the results of reports made by the MS under Article 5. It was accompanied by a more detailed Staff Working Document (</w:t>
            </w:r>
            <w:proofErr w:type="gramStart"/>
            <w:r w:rsidRPr="00EC040C">
              <w:rPr>
                <w:rFonts w:asciiTheme="majorHAnsi" w:eastAsia="Times New Roman" w:hAnsiTheme="majorHAnsi"/>
                <w:color w:val="000000"/>
                <w:shd w:val="clear" w:color="auto" w:fill="FFFFFF"/>
              </w:rPr>
              <w:t>SEC(</w:t>
            </w:r>
            <w:proofErr w:type="gramEnd"/>
            <w:r w:rsidRPr="00EC040C">
              <w:rPr>
                <w:rFonts w:asciiTheme="majorHAnsi" w:eastAsia="Times New Roman" w:hAnsiTheme="majorHAnsi"/>
                <w:color w:val="000000"/>
                <w:shd w:val="clear" w:color="auto" w:fill="FFFFFF"/>
              </w:rPr>
              <w:t>2007)362), based on  environmental and economic analysis of water bodies that according to Article 5 were required to be produced by 2004. The striking features of the report were the number of water bodies ‘at risk’ and data gaps.</w:t>
            </w:r>
          </w:p>
        </w:tc>
      </w:tr>
      <w:tr w:rsidR="00B638B4" w:rsidRPr="00EC040C" w14:paraId="26A0086A" w14:textId="77777777" w:rsidTr="00857654">
        <w:trPr>
          <w:trHeight w:val="1061"/>
        </w:trPr>
        <w:tc>
          <w:tcPr>
            <w:tcW w:w="675" w:type="dxa"/>
            <w:vMerge/>
            <w:vAlign w:val="center"/>
          </w:tcPr>
          <w:p w14:paraId="407904AC"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7DB512D2" w14:textId="6047535B" w:rsidR="00B638B4" w:rsidRPr="00EC040C" w:rsidRDefault="00B638B4" w:rsidP="00162458">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Floods Directive (FD) was adopted in 2007 with the aim of managing and reducing the risks that significant floods pose to human health, the environment, cultural heritage and economic activity. It prescribes an active involvement of all interested stakeholders in the process, requiring MS to map the extent of floods, to assess the people and assets at risk in these areas and to take adequate and coordinated measures to reduce this flood risk, as detailed in Flood Risk Management Plans. These </w:t>
            </w:r>
            <w:r w:rsidR="00162458" w:rsidRPr="00EC040C">
              <w:rPr>
                <w:rFonts w:asciiTheme="majorHAnsi" w:eastAsia="Times New Roman" w:hAnsiTheme="majorHAnsi"/>
                <w:color w:val="000000"/>
                <w:shd w:val="clear" w:color="auto" w:fill="FFFFFF"/>
              </w:rPr>
              <w:t>plans</w:t>
            </w:r>
            <w:r w:rsidRPr="00EC040C">
              <w:rPr>
                <w:rFonts w:asciiTheme="majorHAnsi" w:eastAsia="Times New Roman" w:hAnsiTheme="majorHAnsi"/>
                <w:color w:val="000000"/>
                <w:shd w:val="clear" w:color="auto" w:fill="FFFFFF"/>
              </w:rPr>
              <w:t xml:space="preserve"> should take into account the relevant environmental objectives of the WFD.</w:t>
            </w:r>
          </w:p>
        </w:tc>
      </w:tr>
      <w:tr w:rsidR="00B638B4" w:rsidRPr="00EC040C" w14:paraId="70334BDC" w14:textId="77777777" w:rsidTr="00857654">
        <w:trPr>
          <w:trHeight w:val="660"/>
        </w:trPr>
        <w:tc>
          <w:tcPr>
            <w:tcW w:w="675" w:type="dxa"/>
            <w:vMerge w:val="restart"/>
            <w:vAlign w:val="center"/>
          </w:tcPr>
          <w:p w14:paraId="646F8360" w14:textId="77777777" w:rsidR="00B638B4" w:rsidRPr="00EC040C" w:rsidRDefault="00B638B4" w:rsidP="00857654">
            <w:pPr>
              <w:jc w:val="center"/>
              <w:rPr>
                <w:rFonts w:asciiTheme="majorHAnsi" w:eastAsia="Times New Roman" w:hAnsiTheme="majorHAnsi"/>
                <w:b/>
                <w:bCs/>
                <w:i/>
                <w:iCs/>
                <w:color w:val="000000"/>
                <w:shd w:val="clear" w:color="auto" w:fill="FFFFFF"/>
              </w:rPr>
            </w:pPr>
            <w:r w:rsidRPr="00EC040C">
              <w:rPr>
                <w:rFonts w:asciiTheme="majorHAnsi" w:eastAsia="Times New Roman" w:hAnsiTheme="majorHAnsi"/>
                <w:color w:val="000000"/>
                <w:shd w:val="clear" w:color="auto" w:fill="FFFFFF"/>
              </w:rPr>
              <w:t>2008</w:t>
            </w:r>
          </w:p>
        </w:tc>
        <w:tc>
          <w:tcPr>
            <w:tcW w:w="8647" w:type="dxa"/>
          </w:tcPr>
          <w:p w14:paraId="250FF4E9" w14:textId="2B55C338" w:rsidR="00B638B4" w:rsidRPr="00EC040C" w:rsidRDefault="00162458"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B638B4" w:rsidRPr="00EC040C">
              <w:rPr>
                <w:rFonts w:asciiTheme="majorHAnsi" w:eastAsia="Times New Roman" w:hAnsiTheme="majorHAnsi"/>
                <w:color w:val="000000"/>
                <w:shd w:val="clear" w:color="auto" w:fill="FFFFFF"/>
              </w:rPr>
              <w:t>Directive 2008/105/EC on quality standards in water was adopted. Annex II of 2008/105/EC replaced Annex X of the WFD. It establishes environmental quality standards for surface waters (or exceptionally sediments and/or biota) for 33 ‘priority substances’ and 8 other pollutants in order to achieve the objectives of the WFD.</w:t>
            </w:r>
          </w:p>
        </w:tc>
      </w:tr>
      <w:tr w:rsidR="00B638B4" w:rsidRPr="00EC040C" w14:paraId="332378A4" w14:textId="77777777" w:rsidTr="00857654">
        <w:trPr>
          <w:trHeight w:val="175"/>
        </w:trPr>
        <w:tc>
          <w:tcPr>
            <w:tcW w:w="675" w:type="dxa"/>
            <w:vMerge/>
            <w:vAlign w:val="center"/>
          </w:tcPr>
          <w:p w14:paraId="7AF2201E" w14:textId="77777777" w:rsidR="00B638B4" w:rsidRPr="00EC040C" w:rsidRDefault="00B638B4" w:rsidP="00857654">
            <w:pPr>
              <w:jc w:val="center"/>
              <w:rPr>
                <w:rFonts w:asciiTheme="majorHAnsi" w:eastAsia="Times New Roman" w:hAnsiTheme="majorHAnsi"/>
              </w:rPr>
            </w:pPr>
          </w:p>
        </w:tc>
        <w:tc>
          <w:tcPr>
            <w:tcW w:w="8647" w:type="dxa"/>
          </w:tcPr>
          <w:p w14:paraId="35C72000" w14:textId="581213D9" w:rsidR="00B638B4" w:rsidRPr="00EC040C" w:rsidRDefault="00162458" w:rsidP="00857654">
            <w:pPr>
              <w:rPr>
                <w:rFonts w:asciiTheme="majorHAnsi" w:eastAsia="Times New Roman" w:hAnsiTheme="majorHAnsi"/>
                <w:highlight w:val="yellow"/>
              </w:rPr>
            </w:pPr>
            <w:r w:rsidRPr="00EC040C">
              <w:rPr>
                <w:rFonts w:asciiTheme="majorHAnsi" w:eastAsia="Times New Roman" w:hAnsiTheme="majorHAnsi"/>
                <w:color w:val="000000"/>
                <w:shd w:val="clear" w:color="auto" w:fill="FFFFFF"/>
              </w:rPr>
              <w:t>MS should p</w:t>
            </w:r>
            <w:r w:rsidR="00B638B4" w:rsidRPr="00EC040C">
              <w:rPr>
                <w:rFonts w:asciiTheme="majorHAnsi" w:eastAsia="Times New Roman" w:hAnsiTheme="majorHAnsi"/>
                <w:color w:val="000000"/>
                <w:shd w:val="clear" w:color="auto" w:fill="FFFFFF"/>
              </w:rPr>
              <w:t>resent draft river basin management plan, (WFD Art. 13)</w:t>
            </w:r>
          </w:p>
        </w:tc>
      </w:tr>
      <w:tr w:rsidR="00B638B4" w:rsidRPr="00EC040C" w14:paraId="587E91A1" w14:textId="77777777" w:rsidTr="00857654">
        <w:trPr>
          <w:trHeight w:val="261"/>
        </w:trPr>
        <w:tc>
          <w:tcPr>
            <w:tcW w:w="675" w:type="dxa"/>
            <w:vMerge w:val="restart"/>
            <w:vAlign w:val="center"/>
          </w:tcPr>
          <w:p w14:paraId="72D800D8" w14:textId="77777777" w:rsidR="00B638B4" w:rsidRPr="00EC040C" w:rsidRDefault="00B638B4" w:rsidP="00857654">
            <w:pPr>
              <w:jc w:val="cente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2009</w:t>
            </w:r>
          </w:p>
        </w:tc>
        <w:tc>
          <w:tcPr>
            <w:tcW w:w="8647" w:type="dxa"/>
          </w:tcPr>
          <w:p w14:paraId="63A5536E" w14:textId="7D86F5B7" w:rsidR="00B638B4" w:rsidRPr="00EC040C" w:rsidRDefault="008D0797"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B638B4" w:rsidRPr="00EC040C">
              <w:rPr>
                <w:rFonts w:asciiTheme="majorHAnsi" w:eastAsia="Times New Roman" w:hAnsiTheme="majorHAnsi"/>
                <w:color w:val="000000"/>
                <w:shd w:val="clear" w:color="auto" w:fill="FFFFFF"/>
              </w:rPr>
              <w:t>White Paper “Adapting to climate change: Towards a European framework for action”, set out a framework to reduce the EU’s vulnerability to the impact of climate change. It fosters the development of strategies for the management and conservation of water.</w:t>
            </w:r>
          </w:p>
        </w:tc>
      </w:tr>
      <w:tr w:rsidR="00B638B4" w:rsidRPr="00EC040C" w14:paraId="6FFBEBF8" w14:textId="77777777" w:rsidTr="00857654">
        <w:trPr>
          <w:trHeight w:val="261"/>
        </w:trPr>
        <w:tc>
          <w:tcPr>
            <w:tcW w:w="675" w:type="dxa"/>
            <w:vMerge/>
            <w:vAlign w:val="center"/>
          </w:tcPr>
          <w:p w14:paraId="0AA5B232"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11B1E070" w14:textId="2F47D460" w:rsidR="00B638B4" w:rsidRPr="00EC040C" w:rsidRDefault="00B638B4" w:rsidP="008D0797">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Commission published the </w:t>
            </w:r>
            <w:r w:rsidR="00E54C51" w:rsidRPr="00EC040C">
              <w:rPr>
                <w:rFonts w:asciiTheme="majorHAnsi" w:eastAsia="Times New Roman" w:hAnsiTheme="majorHAnsi"/>
                <w:color w:val="000000"/>
                <w:shd w:val="clear" w:color="auto" w:fill="FFFFFF"/>
              </w:rPr>
              <w:t>second</w:t>
            </w:r>
            <w:r w:rsidR="008D0797" w:rsidRPr="00EC040C">
              <w:rPr>
                <w:rFonts w:asciiTheme="majorHAnsi" w:eastAsia="Times New Roman" w:hAnsiTheme="majorHAnsi"/>
                <w:color w:val="000000"/>
                <w:shd w:val="clear" w:color="auto" w:fill="FFFFFF"/>
              </w:rPr>
              <w:t xml:space="preserve"> </w:t>
            </w:r>
            <w:r w:rsidRPr="00EC040C">
              <w:rPr>
                <w:rFonts w:asciiTheme="majorHAnsi" w:eastAsia="Times New Roman" w:hAnsiTheme="majorHAnsi"/>
                <w:color w:val="000000"/>
                <w:shd w:val="clear" w:color="auto" w:fill="FFFFFF"/>
              </w:rPr>
              <w:t>implementation report on monitoring networks (</w:t>
            </w:r>
            <w:proofErr w:type="gramStart"/>
            <w:r w:rsidRPr="00EC040C">
              <w:rPr>
                <w:rFonts w:asciiTheme="majorHAnsi" w:eastAsia="Times New Roman" w:hAnsiTheme="majorHAnsi"/>
                <w:color w:val="000000"/>
                <w:shd w:val="clear" w:color="auto" w:fill="FFFFFF"/>
              </w:rPr>
              <w:t>COM(</w:t>
            </w:r>
            <w:proofErr w:type="gramEnd"/>
            <w:r w:rsidRPr="00EC040C">
              <w:rPr>
                <w:rFonts w:asciiTheme="majorHAnsi" w:eastAsia="Times New Roman" w:hAnsiTheme="majorHAnsi"/>
                <w:color w:val="000000"/>
                <w:shd w:val="clear" w:color="auto" w:fill="FFFFFF"/>
              </w:rPr>
              <w:t xml:space="preserve">2009)156), </w:t>
            </w:r>
            <w:r w:rsidRPr="00EC040C">
              <w:rPr>
                <w:rFonts w:asciiTheme="majorHAnsi" w:hAnsiTheme="majorHAnsi"/>
              </w:rPr>
              <w:t xml:space="preserve"> </w:t>
            </w:r>
            <w:r w:rsidRPr="00EC040C">
              <w:rPr>
                <w:rFonts w:asciiTheme="majorHAnsi" w:eastAsia="Times New Roman" w:hAnsiTheme="majorHAnsi"/>
                <w:color w:val="000000"/>
                <w:shd w:val="clear" w:color="auto" w:fill="FFFFFF"/>
              </w:rPr>
              <w:t>for all MS except from Greece which did not report and Malta, which did not report on surface water monitoring programmes. Overall, there was a good monitoring effort across the EU, with more than 107,000 monitoring stations reported for monitoring of surface water and groundwater.  However, gaps were detected in individual river basin districts or individual water categories. For instance, there were still many river basin districts where the necessary assessment methods for biological quality elements were not yet in place. This was particularly true in the countries that joined the EU in 2004 and 2007.</w:t>
            </w:r>
          </w:p>
        </w:tc>
      </w:tr>
      <w:tr w:rsidR="00B638B4" w:rsidRPr="00EC040C" w14:paraId="70A05312" w14:textId="77777777" w:rsidTr="00857654">
        <w:trPr>
          <w:trHeight w:val="267"/>
        </w:trPr>
        <w:tc>
          <w:tcPr>
            <w:tcW w:w="675" w:type="dxa"/>
            <w:vMerge/>
            <w:vAlign w:val="center"/>
          </w:tcPr>
          <w:p w14:paraId="2E988DA5"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2D7EB2DB" w14:textId="77777777" w:rsidR="00B638B4" w:rsidRPr="00EC040C" w:rsidRDefault="00B638B4" w:rsidP="00857654">
            <w:pPr>
              <w:rPr>
                <w:rFonts w:asciiTheme="majorHAnsi" w:eastAsia="Times New Roman" w:hAnsiTheme="majorHAnsi"/>
              </w:rPr>
            </w:pPr>
            <w:r w:rsidRPr="00EC040C">
              <w:rPr>
                <w:rFonts w:asciiTheme="majorHAnsi" w:eastAsia="Times New Roman" w:hAnsiTheme="majorHAnsi"/>
                <w:color w:val="000000"/>
                <w:shd w:val="clear" w:color="auto" w:fill="FFFFFF"/>
              </w:rPr>
              <w:t xml:space="preserve">Deadline to finalise river basin management plan including programme of measures,  (WFD Art. 13 &amp; 11). </w:t>
            </w:r>
            <w:r w:rsidRPr="00EC040C">
              <w:rPr>
                <w:rFonts w:asciiTheme="majorHAnsi" w:hAnsiTheme="majorHAnsi"/>
              </w:rPr>
              <w:t xml:space="preserve"> </w:t>
            </w:r>
            <w:r w:rsidRPr="00EC040C">
              <w:rPr>
                <w:rFonts w:asciiTheme="majorHAnsi" w:eastAsia="Times New Roman" w:hAnsiTheme="majorHAnsi"/>
                <w:color w:val="000000"/>
                <w:shd w:val="clear" w:color="auto" w:fill="FFFFFF"/>
              </w:rPr>
              <w:t>Although drafts were made available for public consultation in 17 MS (many of those not available were in southern MS) in 2009. The most frequently used exemptions were extension of deadlines and use of less stringent objectives.</w:t>
            </w:r>
          </w:p>
        </w:tc>
      </w:tr>
      <w:tr w:rsidR="00B638B4" w:rsidRPr="00EC040C" w14:paraId="10DDC02E" w14:textId="77777777" w:rsidTr="00857654">
        <w:trPr>
          <w:trHeight w:val="134"/>
        </w:trPr>
        <w:tc>
          <w:tcPr>
            <w:tcW w:w="675" w:type="dxa"/>
            <w:vAlign w:val="center"/>
          </w:tcPr>
          <w:p w14:paraId="519FDFBC" w14:textId="77777777" w:rsidR="00B638B4" w:rsidRPr="00EC040C" w:rsidRDefault="00B638B4" w:rsidP="00857654">
            <w:pPr>
              <w:jc w:val="center"/>
              <w:rPr>
                <w:rFonts w:asciiTheme="majorHAnsi" w:eastAsia="Times New Roman" w:hAnsiTheme="majorHAnsi"/>
                <w:b/>
                <w:bCs/>
                <w:color w:val="4F81BD" w:themeColor="accent1"/>
              </w:rPr>
            </w:pPr>
            <w:r w:rsidRPr="00EC040C">
              <w:rPr>
                <w:rFonts w:asciiTheme="majorHAnsi" w:eastAsia="Times New Roman" w:hAnsiTheme="majorHAnsi"/>
                <w:color w:val="000000"/>
                <w:shd w:val="clear" w:color="auto" w:fill="FFFFFF"/>
              </w:rPr>
              <w:t>2010</w:t>
            </w:r>
          </w:p>
        </w:tc>
        <w:tc>
          <w:tcPr>
            <w:tcW w:w="8647" w:type="dxa"/>
          </w:tcPr>
          <w:p w14:paraId="7D57156C" w14:textId="77777777" w:rsidR="00B638B4" w:rsidRPr="00EC040C" w:rsidRDefault="00B638B4" w:rsidP="00857654">
            <w:pPr>
              <w:rPr>
                <w:rFonts w:asciiTheme="majorHAnsi" w:eastAsia="Times New Roman" w:hAnsiTheme="majorHAnsi"/>
              </w:rPr>
            </w:pPr>
            <w:r w:rsidRPr="00EC040C">
              <w:rPr>
                <w:rFonts w:asciiTheme="majorHAnsi" w:eastAsia="Times New Roman" w:hAnsiTheme="majorHAnsi"/>
                <w:color w:val="000000"/>
                <w:shd w:val="clear" w:color="auto" w:fill="FFFFFF"/>
              </w:rPr>
              <w:t xml:space="preserve">The deadline for introducing pricing policies  (WFD Art. 9), </w:t>
            </w:r>
            <w:r w:rsidRPr="00EC040C">
              <w:rPr>
                <w:rFonts w:asciiTheme="majorHAnsi" w:hAnsiTheme="majorHAnsi"/>
              </w:rPr>
              <w:t xml:space="preserve">was not met by MS, with proposals on water pricing not often identified in the RBMPs. </w:t>
            </w:r>
          </w:p>
        </w:tc>
      </w:tr>
      <w:tr w:rsidR="00B638B4" w:rsidRPr="00EC040C" w14:paraId="528A9B78" w14:textId="77777777" w:rsidTr="00857654">
        <w:trPr>
          <w:trHeight w:val="393"/>
        </w:trPr>
        <w:tc>
          <w:tcPr>
            <w:tcW w:w="675" w:type="dxa"/>
            <w:vMerge w:val="restart"/>
            <w:vAlign w:val="center"/>
          </w:tcPr>
          <w:p w14:paraId="26226693" w14:textId="77777777" w:rsidR="00B638B4" w:rsidRPr="00EC040C" w:rsidRDefault="00B638B4" w:rsidP="00857654">
            <w:pPr>
              <w:jc w:val="center"/>
              <w:rPr>
                <w:rFonts w:asciiTheme="majorHAnsi" w:eastAsia="Times New Roman" w:hAnsiTheme="majorHAnsi"/>
                <w:color w:val="000000"/>
                <w:shd w:val="clear" w:color="auto" w:fill="FFFFFF"/>
              </w:rPr>
            </w:pPr>
            <w:r w:rsidRPr="00EC040C">
              <w:rPr>
                <w:rFonts w:asciiTheme="majorHAnsi" w:eastAsia="Arial Unicode MS" w:hAnsiTheme="majorHAnsi"/>
              </w:rPr>
              <w:t>2011</w:t>
            </w:r>
          </w:p>
          <w:p w14:paraId="10C5E248" w14:textId="77777777" w:rsidR="00B638B4" w:rsidRPr="00EC040C" w:rsidRDefault="00B638B4" w:rsidP="00857654">
            <w:pPr>
              <w:jc w:val="center"/>
              <w:rPr>
                <w:rFonts w:asciiTheme="majorHAnsi" w:eastAsia="Times New Roman" w:hAnsiTheme="majorHAnsi"/>
                <w:b/>
                <w:bCs/>
                <w:i/>
                <w:iCs/>
                <w:color w:val="000000"/>
                <w:shd w:val="clear" w:color="auto" w:fill="FFFFFF"/>
              </w:rPr>
            </w:pPr>
          </w:p>
        </w:tc>
        <w:tc>
          <w:tcPr>
            <w:tcW w:w="8647" w:type="dxa"/>
          </w:tcPr>
          <w:p w14:paraId="1286A592" w14:textId="043F680D" w:rsidR="00B638B4" w:rsidRPr="00EC040C" w:rsidRDefault="008D0797" w:rsidP="00857654">
            <w:pPr>
              <w:rPr>
                <w:rFonts w:asciiTheme="majorHAnsi" w:eastAsia="Times New Roman" w:hAnsiTheme="majorHAnsi"/>
                <w:color w:val="000000"/>
                <w:shd w:val="clear" w:color="auto" w:fill="FFFFFF"/>
              </w:rPr>
            </w:pPr>
            <w:r w:rsidRPr="00EC040C">
              <w:rPr>
                <w:rFonts w:asciiTheme="majorHAnsi" w:eastAsia="Arial Unicode MS" w:hAnsiTheme="majorHAnsi"/>
              </w:rPr>
              <w:t xml:space="preserve">The </w:t>
            </w:r>
            <w:r w:rsidR="00B638B4" w:rsidRPr="00EC040C">
              <w:rPr>
                <w:rFonts w:asciiTheme="majorHAnsi" w:eastAsia="Arial Unicode MS" w:hAnsiTheme="majorHAnsi"/>
              </w:rPr>
              <w:t>EU Resource Efficiency Roadmap (</w:t>
            </w:r>
            <w:proofErr w:type="gramStart"/>
            <w:r w:rsidR="00B638B4" w:rsidRPr="00EC040C">
              <w:rPr>
                <w:rFonts w:asciiTheme="majorHAnsi" w:eastAsia="Arial Unicode MS" w:hAnsiTheme="majorHAnsi"/>
              </w:rPr>
              <w:t>COM(</w:t>
            </w:r>
            <w:proofErr w:type="gramEnd"/>
            <w:r w:rsidR="00B638B4" w:rsidRPr="00EC040C">
              <w:rPr>
                <w:rFonts w:asciiTheme="majorHAnsi" w:eastAsia="Arial Unicode MS" w:hAnsiTheme="majorHAnsi"/>
              </w:rPr>
              <w:t>2011) 571 final) sets a long term framework to guarantee that several areas such as energy, climate change, research and innovation, industry and environmental policy will lead to a resource efficient Europe.</w:t>
            </w:r>
          </w:p>
        </w:tc>
      </w:tr>
      <w:tr w:rsidR="00B638B4" w:rsidRPr="00EC040C" w14:paraId="2D54C297" w14:textId="77777777" w:rsidTr="00857654">
        <w:trPr>
          <w:trHeight w:val="134"/>
        </w:trPr>
        <w:tc>
          <w:tcPr>
            <w:tcW w:w="675" w:type="dxa"/>
            <w:vMerge/>
            <w:vAlign w:val="center"/>
          </w:tcPr>
          <w:p w14:paraId="2A7B24BC"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513D077A" w14:textId="0F875FAA" w:rsidR="00B638B4" w:rsidRPr="00EC040C" w:rsidRDefault="008D0797"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B638B4" w:rsidRPr="00EC040C">
              <w:rPr>
                <w:rFonts w:asciiTheme="majorHAnsi" w:eastAsia="Times New Roman" w:hAnsiTheme="majorHAnsi"/>
                <w:color w:val="000000"/>
                <w:shd w:val="clear" w:color="auto" w:fill="FFFFFF"/>
              </w:rPr>
              <w:t>EU Biodiversity Strategy 2020 (</w:t>
            </w:r>
            <w:proofErr w:type="gramStart"/>
            <w:r w:rsidR="00B638B4" w:rsidRPr="00EC040C">
              <w:rPr>
                <w:rFonts w:asciiTheme="majorHAnsi" w:eastAsia="Times New Roman" w:hAnsiTheme="majorHAnsi"/>
                <w:color w:val="000000"/>
                <w:shd w:val="clear" w:color="auto" w:fill="FFFFFF"/>
              </w:rPr>
              <w:t>COM(</w:t>
            </w:r>
            <w:proofErr w:type="gramEnd"/>
            <w:r w:rsidR="00B638B4" w:rsidRPr="00EC040C">
              <w:rPr>
                <w:rFonts w:asciiTheme="majorHAnsi" w:eastAsia="Times New Roman" w:hAnsiTheme="majorHAnsi"/>
                <w:color w:val="000000"/>
                <w:shd w:val="clear" w:color="auto" w:fill="FFFFFF"/>
              </w:rPr>
              <w:t>2011) 244 final) set</w:t>
            </w:r>
            <w:r w:rsidR="00511FE7" w:rsidRPr="00EC040C">
              <w:rPr>
                <w:rFonts w:asciiTheme="majorHAnsi" w:eastAsia="Times New Roman" w:hAnsiTheme="majorHAnsi"/>
                <w:color w:val="000000"/>
                <w:shd w:val="clear" w:color="auto" w:fill="FFFFFF"/>
              </w:rPr>
              <w:t>s</w:t>
            </w:r>
            <w:r w:rsidR="00B638B4" w:rsidRPr="00EC040C">
              <w:rPr>
                <w:rFonts w:asciiTheme="majorHAnsi" w:eastAsia="Times New Roman" w:hAnsiTheme="majorHAnsi"/>
                <w:color w:val="000000"/>
                <w:shd w:val="clear" w:color="auto" w:fill="FFFFFF"/>
              </w:rPr>
              <w:t xml:space="preserve"> out 6 targets and 20 actions aiming to halt the loss of biodiversity and ecosystem services in the EU by 2020.</w:t>
            </w:r>
          </w:p>
        </w:tc>
      </w:tr>
      <w:tr w:rsidR="00B638B4" w:rsidRPr="00EC040C" w14:paraId="34293F65" w14:textId="77777777" w:rsidTr="00857654">
        <w:trPr>
          <w:trHeight w:val="401"/>
        </w:trPr>
        <w:tc>
          <w:tcPr>
            <w:tcW w:w="675" w:type="dxa"/>
            <w:vMerge/>
            <w:vAlign w:val="center"/>
          </w:tcPr>
          <w:p w14:paraId="27B9EA95"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226913CC" w14:textId="77777777" w:rsidR="00B638B4" w:rsidRPr="00EC040C" w:rsidRDefault="00B638B4"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Commission stated that 23 MS and Norway had adopted their River Basin Management Plans, but for 4 MS (Belgium, Greece, Portugal and Spain) the consultations were </w:t>
            </w:r>
            <w:proofErr w:type="gramStart"/>
            <w:r w:rsidRPr="00EC040C">
              <w:rPr>
                <w:rFonts w:asciiTheme="majorHAnsi" w:eastAsia="Times New Roman" w:hAnsiTheme="majorHAnsi"/>
                <w:color w:val="000000"/>
                <w:shd w:val="clear" w:color="auto" w:fill="FFFFFF"/>
              </w:rPr>
              <w:t>on-going</w:t>
            </w:r>
            <w:proofErr w:type="gramEnd"/>
            <w:r w:rsidRPr="00EC040C">
              <w:rPr>
                <w:rFonts w:asciiTheme="majorHAnsi" w:eastAsia="Times New Roman" w:hAnsiTheme="majorHAnsi"/>
                <w:color w:val="000000"/>
                <w:shd w:val="clear" w:color="auto" w:fill="FFFFFF"/>
              </w:rPr>
              <w:t xml:space="preserve"> or had not even started.</w:t>
            </w:r>
          </w:p>
        </w:tc>
      </w:tr>
      <w:tr w:rsidR="00B638B4" w:rsidRPr="00EC040C" w14:paraId="0944ED6E" w14:textId="77777777" w:rsidTr="00857654">
        <w:trPr>
          <w:trHeight w:val="134"/>
        </w:trPr>
        <w:tc>
          <w:tcPr>
            <w:tcW w:w="675" w:type="dxa"/>
            <w:vMerge w:val="restart"/>
            <w:vAlign w:val="center"/>
          </w:tcPr>
          <w:p w14:paraId="2D71C7B4" w14:textId="77777777" w:rsidR="00B638B4" w:rsidRPr="00EC040C" w:rsidRDefault="00B638B4" w:rsidP="00857654">
            <w:pPr>
              <w:jc w:val="center"/>
              <w:rPr>
                <w:rFonts w:asciiTheme="majorHAnsi" w:eastAsia="Times New Roman" w:hAnsiTheme="majorHAnsi"/>
              </w:rPr>
            </w:pPr>
            <w:r w:rsidRPr="00EC040C">
              <w:rPr>
                <w:rFonts w:asciiTheme="majorHAnsi" w:eastAsia="Times New Roman" w:hAnsiTheme="majorHAnsi"/>
                <w:color w:val="000000"/>
                <w:shd w:val="clear" w:color="auto" w:fill="FFFFFF"/>
              </w:rPr>
              <w:t>2012</w:t>
            </w:r>
          </w:p>
        </w:tc>
        <w:tc>
          <w:tcPr>
            <w:tcW w:w="8647" w:type="dxa"/>
          </w:tcPr>
          <w:p w14:paraId="01071F35" w14:textId="77777777" w:rsidR="00B638B4" w:rsidRPr="00EC040C" w:rsidRDefault="00B638B4" w:rsidP="00857654">
            <w:pPr>
              <w:rPr>
                <w:rFonts w:asciiTheme="majorHAnsi" w:eastAsia="Times New Roman" w:hAnsiTheme="majorHAnsi"/>
              </w:rPr>
            </w:pPr>
            <w:r w:rsidRPr="00EC040C">
              <w:rPr>
                <w:rFonts w:asciiTheme="majorHAnsi" w:eastAsia="Times New Roman" w:hAnsiTheme="majorHAnsi"/>
                <w:color w:val="000000"/>
                <w:shd w:val="clear" w:color="auto" w:fill="FFFFFF"/>
              </w:rPr>
              <w:t>Deadline to make operational programmes of measures (WFD Art. 11).</w:t>
            </w:r>
          </w:p>
        </w:tc>
      </w:tr>
      <w:tr w:rsidR="00B638B4" w:rsidRPr="00EC040C" w14:paraId="1911E5D0" w14:textId="77777777" w:rsidTr="00857654">
        <w:trPr>
          <w:trHeight w:val="267"/>
        </w:trPr>
        <w:tc>
          <w:tcPr>
            <w:tcW w:w="675" w:type="dxa"/>
            <w:vMerge/>
            <w:vAlign w:val="center"/>
          </w:tcPr>
          <w:p w14:paraId="345538C7"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447008E4" w14:textId="681CF70C" w:rsidR="00B638B4" w:rsidRPr="00EC040C" w:rsidRDefault="00162458" w:rsidP="008D0797">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E54C51" w:rsidRPr="00EC040C">
              <w:rPr>
                <w:rFonts w:asciiTheme="majorHAnsi" w:eastAsia="Times New Roman" w:hAnsiTheme="majorHAnsi"/>
                <w:color w:val="000000"/>
                <w:shd w:val="clear" w:color="auto" w:fill="FFFFFF"/>
              </w:rPr>
              <w:t>third</w:t>
            </w:r>
            <w:r w:rsidR="00B638B4" w:rsidRPr="00EC040C">
              <w:rPr>
                <w:rFonts w:asciiTheme="majorHAnsi" w:eastAsia="Times New Roman" w:hAnsiTheme="majorHAnsi"/>
                <w:color w:val="000000"/>
                <w:shd w:val="clear" w:color="auto" w:fill="FFFFFF"/>
              </w:rPr>
              <w:t xml:space="preserve"> implementation report on the River Basin Management Plans was adopted (</w:t>
            </w:r>
            <w:proofErr w:type="gramStart"/>
            <w:r w:rsidR="00B638B4" w:rsidRPr="00EC040C">
              <w:rPr>
                <w:rFonts w:asciiTheme="majorHAnsi" w:eastAsia="Times New Roman" w:hAnsiTheme="majorHAnsi"/>
                <w:color w:val="000000"/>
                <w:shd w:val="clear" w:color="auto" w:fill="FFFFFF"/>
              </w:rPr>
              <w:t>COM(</w:t>
            </w:r>
            <w:proofErr w:type="gramEnd"/>
            <w:r w:rsidR="00B638B4" w:rsidRPr="00EC040C">
              <w:rPr>
                <w:rFonts w:asciiTheme="majorHAnsi" w:eastAsia="Times New Roman" w:hAnsiTheme="majorHAnsi"/>
                <w:color w:val="000000"/>
                <w:shd w:val="clear" w:color="auto" w:fill="FFFFFF"/>
              </w:rPr>
              <w:t xml:space="preserve">2012)670). </w:t>
            </w:r>
            <w:r w:rsidR="00B638B4" w:rsidRPr="00EC040C">
              <w:rPr>
                <w:rFonts w:asciiTheme="majorHAnsi" w:hAnsiTheme="majorHAnsi"/>
              </w:rPr>
              <w:t xml:space="preserve"> </w:t>
            </w:r>
            <w:r w:rsidR="00B638B4" w:rsidRPr="00EC040C">
              <w:rPr>
                <w:rFonts w:asciiTheme="majorHAnsi" w:eastAsia="Times New Roman" w:hAnsiTheme="majorHAnsi"/>
                <w:color w:val="000000"/>
                <w:shd w:val="clear" w:color="auto" w:fill="FFFFFF"/>
              </w:rPr>
              <w:t xml:space="preserve">It shows that more efforts are needed to ensure the achievement of the WFD objectives in the 2015, 2021 and 2027 planning cycles. The assessment of the RBMPs indicates that progress towards the objective of good status by 2015 is expected, but it will not be achieved for a significant proportion of water bodies.  </w:t>
            </w:r>
          </w:p>
        </w:tc>
      </w:tr>
      <w:tr w:rsidR="00B638B4" w:rsidRPr="00EC040C" w14:paraId="44739371" w14:textId="77777777" w:rsidTr="00857654">
        <w:trPr>
          <w:trHeight w:val="794"/>
        </w:trPr>
        <w:tc>
          <w:tcPr>
            <w:tcW w:w="675" w:type="dxa"/>
            <w:vMerge/>
            <w:vAlign w:val="center"/>
          </w:tcPr>
          <w:p w14:paraId="5EAA2996"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410A5534" w14:textId="77777777" w:rsidR="00B638B4" w:rsidRPr="00EC040C" w:rsidRDefault="00B638B4"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Commission published the “Blueprint for Europe's water resources”, </w:t>
            </w:r>
            <w:r w:rsidRPr="00EC040C">
              <w:rPr>
                <w:rFonts w:asciiTheme="majorHAnsi" w:hAnsiTheme="majorHAnsi"/>
              </w:rPr>
              <w:t>integrating the results of a policy review concerning: water scarcity and droughts; an analysis of the implementation of river basin management under the WFD; a review of the vulnerability of environmental resources to climate change impacts and man-made pressures; and a review of the whole of the EU’s water policy framework in the light of the European Commission’s ‘better regulation’ approach.</w:t>
            </w:r>
          </w:p>
        </w:tc>
      </w:tr>
      <w:tr w:rsidR="00B638B4" w:rsidRPr="00EC040C" w14:paraId="4597455C" w14:textId="77777777" w:rsidTr="00857654">
        <w:trPr>
          <w:trHeight w:val="393"/>
        </w:trPr>
        <w:tc>
          <w:tcPr>
            <w:tcW w:w="675" w:type="dxa"/>
            <w:vAlign w:val="center"/>
          </w:tcPr>
          <w:p w14:paraId="20EC30F1" w14:textId="77777777" w:rsidR="00B638B4" w:rsidRPr="00EC040C" w:rsidRDefault="00B638B4" w:rsidP="00857654">
            <w:pPr>
              <w:jc w:val="center"/>
              <w:rPr>
                <w:rFonts w:asciiTheme="majorHAnsi" w:eastAsia="Times New Roman" w:hAnsiTheme="majorHAnsi"/>
                <w:b/>
                <w:bCs/>
                <w:color w:val="000000"/>
                <w:shd w:val="clear" w:color="auto" w:fill="FFFFFF"/>
              </w:rPr>
            </w:pPr>
            <w:r w:rsidRPr="00EC040C">
              <w:rPr>
                <w:rFonts w:asciiTheme="majorHAnsi" w:eastAsia="Times New Roman" w:hAnsiTheme="majorHAnsi"/>
                <w:color w:val="000000"/>
                <w:shd w:val="clear" w:color="auto" w:fill="FFFFFF"/>
              </w:rPr>
              <w:t>2013</w:t>
            </w:r>
          </w:p>
        </w:tc>
        <w:tc>
          <w:tcPr>
            <w:tcW w:w="8647" w:type="dxa"/>
          </w:tcPr>
          <w:p w14:paraId="201E4DB1" w14:textId="50CDDA60" w:rsidR="00B638B4" w:rsidRPr="00EC040C" w:rsidRDefault="008D0797"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B638B4" w:rsidRPr="00EC040C">
              <w:rPr>
                <w:rFonts w:asciiTheme="majorHAnsi" w:eastAsia="Times New Roman" w:hAnsiTheme="majorHAnsi"/>
                <w:color w:val="000000"/>
                <w:shd w:val="clear" w:color="auto" w:fill="FFFFFF"/>
              </w:rPr>
              <w:t>Directive 2013/39/EU dealing with Priority Substances under the WFD was amended and updated in the original WFD and the Environmental Quality Standards Directive (2008/105/EC).</w:t>
            </w:r>
          </w:p>
        </w:tc>
      </w:tr>
      <w:tr w:rsidR="00B638B4" w:rsidRPr="00EC040C" w14:paraId="31BF63C6" w14:textId="77777777" w:rsidTr="00857654">
        <w:trPr>
          <w:trHeight w:val="401"/>
        </w:trPr>
        <w:tc>
          <w:tcPr>
            <w:tcW w:w="675" w:type="dxa"/>
            <w:vAlign w:val="center"/>
          </w:tcPr>
          <w:p w14:paraId="574CADE4" w14:textId="77777777" w:rsidR="00B638B4" w:rsidRPr="00EC040C" w:rsidRDefault="00B638B4" w:rsidP="00857654">
            <w:pPr>
              <w:jc w:val="center"/>
              <w:rPr>
                <w:rFonts w:asciiTheme="majorHAnsi" w:eastAsia="Times New Roman" w:hAnsiTheme="majorHAnsi"/>
                <w:b/>
                <w:bCs/>
                <w:color w:val="000000"/>
                <w:shd w:val="clear" w:color="auto" w:fill="FFFFFF"/>
              </w:rPr>
            </w:pPr>
            <w:r w:rsidRPr="00EC040C">
              <w:rPr>
                <w:rFonts w:asciiTheme="majorHAnsi" w:eastAsia="Times New Roman" w:hAnsiTheme="majorHAnsi"/>
                <w:color w:val="000000"/>
                <w:shd w:val="clear" w:color="auto" w:fill="FFFFFF"/>
              </w:rPr>
              <w:t>2013</w:t>
            </w:r>
          </w:p>
        </w:tc>
        <w:tc>
          <w:tcPr>
            <w:tcW w:w="8647" w:type="dxa"/>
          </w:tcPr>
          <w:p w14:paraId="33B7EB01" w14:textId="69D291DC" w:rsidR="00B638B4" w:rsidRPr="00EC040C" w:rsidRDefault="00B638B4" w:rsidP="00E54C51">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366A98" w:rsidRPr="00EC040C">
              <w:rPr>
                <w:rFonts w:asciiTheme="majorHAnsi" w:eastAsia="Times New Roman" w:hAnsiTheme="majorHAnsi"/>
                <w:color w:val="000000"/>
                <w:shd w:val="clear" w:color="auto" w:fill="FFFFFF"/>
              </w:rPr>
              <w:t>S</w:t>
            </w:r>
            <w:r w:rsidRPr="00EC040C">
              <w:rPr>
                <w:rFonts w:asciiTheme="majorHAnsi" w:eastAsia="Times New Roman" w:hAnsiTheme="majorHAnsi"/>
                <w:color w:val="000000"/>
                <w:shd w:val="clear" w:color="auto" w:fill="FFFFFF"/>
              </w:rPr>
              <w:t xml:space="preserve">eventh EAP, entitled ‘Living well, within the limits of our planet’ (DECISION No 1386/2013/EU) was adopted. It will be guiding European environment policy until 2020 and builds on policy initiatives in the Europe 2020 Strategy and the EU Strategy for Sustainable Development. It reiterates the need of full implementation of the WFD and reconfirms objectives and measures proposed in the </w:t>
            </w:r>
            <w:r w:rsidRPr="00EC040C">
              <w:rPr>
                <w:rFonts w:asciiTheme="majorHAnsi" w:eastAsia="Times New Roman" w:hAnsiTheme="majorHAnsi"/>
                <w:i/>
                <w:color w:val="000000"/>
                <w:shd w:val="clear" w:color="auto" w:fill="FFFFFF"/>
              </w:rPr>
              <w:t>Blueprint</w:t>
            </w:r>
            <w:r w:rsidRPr="00EC040C">
              <w:rPr>
                <w:rFonts w:asciiTheme="majorHAnsi" w:eastAsia="Times New Roman" w:hAnsiTheme="majorHAnsi"/>
                <w:color w:val="000000"/>
                <w:shd w:val="clear" w:color="auto" w:fill="FFFFFF"/>
              </w:rPr>
              <w:t xml:space="preserve">. It gives a long-term direction, as it sets out a vision of where the EU wants to be by 2050. </w:t>
            </w:r>
            <w:r w:rsidRPr="00EC040C">
              <w:rPr>
                <w:rFonts w:asciiTheme="majorHAnsi" w:hAnsiTheme="majorHAnsi"/>
              </w:rPr>
              <w:t xml:space="preserve"> </w:t>
            </w:r>
            <w:r w:rsidRPr="00EC040C">
              <w:rPr>
                <w:rFonts w:asciiTheme="majorHAnsi" w:eastAsia="Times New Roman" w:hAnsiTheme="majorHAnsi"/>
                <w:color w:val="000000"/>
                <w:shd w:val="clear" w:color="auto" w:fill="FFFFFF"/>
              </w:rPr>
              <w:t>The biggest consuming sectors, such as energy and agriculture, should be encouraged to prioritise the most resource-efficient use of water. Progress will be facilitated by accelerated demonstration and rolling out of innovative technologies, systems and business models building on the Strategic Implementation Plan of the European Innovation Partnership on Water.</w:t>
            </w:r>
          </w:p>
        </w:tc>
      </w:tr>
      <w:tr w:rsidR="00B638B4" w:rsidRPr="00EC040C" w14:paraId="0255D3FD" w14:textId="77777777" w:rsidTr="00857654">
        <w:trPr>
          <w:trHeight w:val="267"/>
        </w:trPr>
        <w:tc>
          <w:tcPr>
            <w:tcW w:w="675" w:type="dxa"/>
            <w:vMerge w:val="restart"/>
            <w:vAlign w:val="center"/>
          </w:tcPr>
          <w:p w14:paraId="166377AD" w14:textId="77777777" w:rsidR="00B638B4" w:rsidRPr="00EC040C" w:rsidRDefault="00B638B4" w:rsidP="00857654">
            <w:pPr>
              <w:jc w:val="center"/>
              <w:rPr>
                <w:rFonts w:asciiTheme="majorHAnsi" w:eastAsia="Times New Roman" w:hAnsiTheme="majorHAnsi"/>
                <w:b/>
                <w:bCs/>
                <w:color w:val="000000"/>
                <w:shd w:val="clear" w:color="auto" w:fill="FFFFFF"/>
              </w:rPr>
            </w:pPr>
            <w:r w:rsidRPr="00EC040C">
              <w:rPr>
                <w:rFonts w:asciiTheme="majorHAnsi" w:eastAsia="Times New Roman" w:hAnsiTheme="majorHAnsi"/>
                <w:color w:val="000000"/>
                <w:shd w:val="clear" w:color="auto" w:fill="FFFFFF"/>
              </w:rPr>
              <w:t>2015</w:t>
            </w:r>
          </w:p>
        </w:tc>
        <w:tc>
          <w:tcPr>
            <w:tcW w:w="8647" w:type="dxa"/>
          </w:tcPr>
          <w:p w14:paraId="00F2EC09" w14:textId="4DACE982" w:rsidR="00B638B4" w:rsidRPr="00EC040C" w:rsidRDefault="00162458" w:rsidP="008D0797">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8D0797" w:rsidRPr="00EC040C">
              <w:rPr>
                <w:rFonts w:asciiTheme="majorHAnsi" w:eastAsia="Times New Roman" w:hAnsiTheme="majorHAnsi"/>
                <w:color w:val="000000"/>
                <w:shd w:val="clear" w:color="auto" w:fill="FFFFFF"/>
              </w:rPr>
              <w:t>fourth</w:t>
            </w:r>
            <w:r w:rsidR="00B638B4" w:rsidRPr="00EC040C">
              <w:rPr>
                <w:rFonts w:asciiTheme="majorHAnsi" w:eastAsia="Times New Roman" w:hAnsiTheme="majorHAnsi"/>
                <w:color w:val="000000"/>
                <w:shd w:val="clear" w:color="auto" w:fill="FFFFFF"/>
              </w:rPr>
              <w:t xml:space="preserve"> WFD implementation report on the programmes of measures and the Flood Directive was adopted (COM/2015/0120).  Surface water bodies expected to be in ‘good status’ have increased from 43% in 2009 to 53% in 2015.</w:t>
            </w:r>
          </w:p>
        </w:tc>
      </w:tr>
      <w:tr w:rsidR="00B638B4" w:rsidRPr="00EC040C" w14:paraId="408C82E4" w14:textId="77777777" w:rsidTr="00857654">
        <w:trPr>
          <w:trHeight w:val="205"/>
        </w:trPr>
        <w:tc>
          <w:tcPr>
            <w:tcW w:w="675" w:type="dxa"/>
            <w:vMerge/>
            <w:vAlign w:val="center"/>
          </w:tcPr>
          <w:p w14:paraId="31B245A9" w14:textId="77777777" w:rsidR="00B638B4" w:rsidRPr="00EC040C" w:rsidRDefault="00B638B4" w:rsidP="00857654">
            <w:pPr>
              <w:jc w:val="center"/>
              <w:rPr>
                <w:rFonts w:asciiTheme="majorHAnsi" w:eastAsia="Times New Roman" w:hAnsiTheme="majorHAnsi"/>
              </w:rPr>
            </w:pPr>
          </w:p>
        </w:tc>
        <w:tc>
          <w:tcPr>
            <w:tcW w:w="8647" w:type="dxa"/>
          </w:tcPr>
          <w:p w14:paraId="1F2744F1" w14:textId="1069616B" w:rsidR="00B638B4" w:rsidRPr="00EC040C" w:rsidRDefault="00162458" w:rsidP="00857654">
            <w:pPr>
              <w:keepNext/>
              <w:keepLines/>
              <w:spacing w:before="200"/>
              <w:ind w:right="237"/>
              <w:outlineLvl w:val="2"/>
              <w:rPr>
                <w:rFonts w:asciiTheme="majorHAnsi" w:eastAsia="Times New Roman" w:hAnsiTheme="majorHAnsi"/>
              </w:rPr>
            </w:pPr>
            <w:r w:rsidRPr="00EC040C">
              <w:rPr>
                <w:rFonts w:asciiTheme="majorHAnsi" w:eastAsia="Times New Roman" w:hAnsiTheme="majorHAnsi"/>
                <w:color w:val="000000"/>
                <w:shd w:val="clear" w:color="auto" w:fill="FFFFFF"/>
              </w:rPr>
              <w:t xml:space="preserve">The </w:t>
            </w:r>
            <w:r w:rsidR="00E54C51" w:rsidRPr="00EC040C">
              <w:rPr>
                <w:rFonts w:asciiTheme="majorHAnsi" w:eastAsia="Times New Roman" w:hAnsiTheme="majorHAnsi"/>
                <w:color w:val="000000"/>
                <w:shd w:val="clear" w:color="auto" w:fill="FFFFFF"/>
              </w:rPr>
              <w:t>first</w:t>
            </w:r>
            <w:r w:rsidR="00B638B4" w:rsidRPr="00EC040C">
              <w:rPr>
                <w:rFonts w:asciiTheme="majorHAnsi" w:eastAsia="Times New Roman" w:hAnsiTheme="majorHAnsi"/>
                <w:color w:val="000000"/>
                <w:shd w:val="clear" w:color="auto" w:fill="FFFFFF"/>
              </w:rPr>
              <w:t xml:space="preserve"> management cycle ended.</w:t>
            </w:r>
          </w:p>
        </w:tc>
      </w:tr>
      <w:tr w:rsidR="00B638B4" w:rsidRPr="00EC040C" w14:paraId="3B9DEF06" w14:textId="77777777" w:rsidTr="00857654">
        <w:trPr>
          <w:trHeight w:val="87"/>
        </w:trPr>
        <w:tc>
          <w:tcPr>
            <w:tcW w:w="675" w:type="dxa"/>
            <w:vMerge/>
            <w:vAlign w:val="center"/>
          </w:tcPr>
          <w:p w14:paraId="698642E6"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5EC16072" w14:textId="46903FB8" w:rsidR="00B638B4" w:rsidRPr="00EC040C" w:rsidRDefault="008D0797" w:rsidP="008D0797">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E54C51" w:rsidRPr="00EC040C">
              <w:rPr>
                <w:rFonts w:asciiTheme="majorHAnsi" w:eastAsia="Times New Roman" w:hAnsiTheme="majorHAnsi"/>
                <w:color w:val="000000"/>
                <w:shd w:val="clear" w:color="auto" w:fill="FFFFFF"/>
              </w:rPr>
              <w:t>first</w:t>
            </w:r>
            <w:r w:rsidR="00B638B4" w:rsidRPr="00EC040C">
              <w:rPr>
                <w:rFonts w:asciiTheme="majorHAnsi" w:eastAsia="Times New Roman" w:hAnsiTheme="majorHAnsi"/>
                <w:color w:val="000000"/>
                <w:shd w:val="clear" w:color="auto" w:fill="FFFFFF"/>
              </w:rPr>
              <w:t xml:space="preserve"> official deadline to</w:t>
            </w:r>
            <w:r w:rsidR="00511FE7" w:rsidRPr="00EC040C">
              <w:rPr>
                <w:rFonts w:asciiTheme="majorHAnsi" w:eastAsia="Times New Roman" w:hAnsiTheme="majorHAnsi"/>
                <w:color w:val="000000"/>
                <w:shd w:val="clear" w:color="auto" w:fill="FFFFFF"/>
              </w:rPr>
              <w:t xml:space="preserve"> meet environmental objectives </w:t>
            </w:r>
            <w:r w:rsidR="00B638B4" w:rsidRPr="00EC040C">
              <w:rPr>
                <w:rFonts w:asciiTheme="majorHAnsi" w:eastAsia="Times New Roman" w:hAnsiTheme="majorHAnsi"/>
                <w:color w:val="000000"/>
                <w:shd w:val="clear" w:color="auto" w:fill="FFFFFF"/>
              </w:rPr>
              <w:t>(WFD Art. 4) has not been achieved. Progress made has not gone far enough or been delivered fast enough and despite the economic climate, efforts must accelerate to achieve the original ambitions since water is essential for people, nature and the economy.</w:t>
            </w:r>
          </w:p>
        </w:tc>
      </w:tr>
      <w:tr w:rsidR="00B638B4" w:rsidRPr="00EC040C" w14:paraId="1F24E5D8" w14:textId="77777777" w:rsidTr="00857654">
        <w:trPr>
          <w:trHeight w:val="87"/>
        </w:trPr>
        <w:tc>
          <w:tcPr>
            <w:tcW w:w="675" w:type="dxa"/>
            <w:vMerge/>
            <w:vAlign w:val="center"/>
          </w:tcPr>
          <w:p w14:paraId="34E78B74" w14:textId="77777777" w:rsidR="00B638B4" w:rsidRPr="00EC040C" w:rsidRDefault="00B638B4" w:rsidP="00857654">
            <w:pPr>
              <w:jc w:val="center"/>
              <w:rPr>
                <w:rFonts w:asciiTheme="majorHAnsi" w:eastAsia="Times New Roman" w:hAnsiTheme="majorHAnsi"/>
                <w:color w:val="000000"/>
                <w:shd w:val="clear" w:color="auto" w:fill="FFFFFF"/>
              </w:rPr>
            </w:pPr>
          </w:p>
        </w:tc>
        <w:tc>
          <w:tcPr>
            <w:tcW w:w="8647" w:type="dxa"/>
          </w:tcPr>
          <w:p w14:paraId="31DDA58D" w14:textId="503AD109" w:rsidR="00B638B4" w:rsidRPr="00EC040C" w:rsidRDefault="00511FE7" w:rsidP="00857654">
            <w:pPr>
              <w:rPr>
                <w:rFonts w:asciiTheme="majorHAnsi" w:eastAsia="Times New Roman" w:hAnsiTheme="majorHAnsi"/>
                <w:color w:val="000000"/>
                <w:shd w:val="clear" w:color="auto" w:fill="FFFFFF"/>
              </w:rPr>
            </w:pPr>
            <w:r w:rsidRPr="00EC040C">
              <w:rPr>
                <w:rFonts w:asciiTheme="majorHAnsi" w:eastAsia="Times New Roman" w:hAnsiTheme="majorHAnsi"/>
                <w:color w:val="000000"/>
                <w:shd w:val="clear" w:color="auto" w:fill="FFFFFF"/>
              </w:rPr>
              <w:t xml:space="preserve">The </w:t>
            </w:r>
            <w:r w:rsidR="00E54C51" w:rsidRPr="00EC040C">
              <w:rPr>
                <w:rFonts w:asciiTheme="majorHAnsi" w:eastAsia="Times New Roman" w:hAnsiTheme="majorHAnsi"/>
                <w:color w:val="000000"/>
                <w:shd w:val="clear" w:color="auto" w:fill="FFFFFF"/>
              </w:rPr>
              <w:t>second</w:t>
            </w:r>
            <w:r w:rsidR="00B638B4" w:rsidRPr="00EC040C">
              <w:rPr>
                <w:rFonts w:asciiTheme="majorHAnsi" w:eastAsia="Times New Roman" w:hAnsiTheme="majorHAnsi"/>
                <w:color w:val="000000"/>
                <w:shd w:val="clear" w:color="auto" w:fill="FFFFFF"/>
              </w:rPr>
              <w:t xml:space="preserve"> river basin management plan &amp; </w:t>
            </w:r>
            <w:r w:rsidR="00E54C51" w:rsidRPr="00EC040C">
              <w:rPr>
                <w:rFonts w:asciiTheme="majorHAnsi" w:eastAsia="Times New Roman" w:hAnsiTheme="majorHAnsi"/>
                <w:color w:val="000000"/>
                <w:shd w:val="clear" w:color="auto" w:fill="FFFFFF"/>
              </w:rPr>
              <w:t>first</w:t>
            </w:r>
            <w:r w:rsidRPr="00EC040C">
              <w:rPr>
                <w:rFonts w:asciiTheme="majorHAnsi" w:eastAsia="Times New Roman" w:hAnsiTheme="majorHAnsi"/>
                <w:color w:val="000000"/>
                <w:shd w:val="clear" w:color="auto" w:fill="FFFFFF"/>
              </w:rPr>
              <w:t xml:space="preserve"> flood risk management plan begins.</w:t>
            </w:r>
          </w:p>
        </w:tc>
      </w:tr>
      <w:tr w:rsidR="00B638B4" w:rsidRPr="00EC040C" w14:paraId="09C45716" w14:textId="77777777" w:rsidTr="00857654">
        <w:trPr>
          <w:trHeight w:val="87"/>
        </w:trPr>
        <w:tc>
          <w:tcPr>
            <w:tcW w:w="675" w:type="dxa"/>
            <w:vAlign w:val="center"/>
          </w:tcPr>
          <w:p w14:paraId="65925E37" w14:textId="77777777" w:rsidR="00B638B4" w:rsidRPr="00EC040C" w:rsidRDefault="00B638B4" w:rsidP="00857654">
            <w:pPr>
              <w:jc w:val="center"/>
              <w:rPr>
                <w:rFonts w:asciiTheme="majorHAnsi" w:eastAsia="Times New Roman" w:hAnsiTheme="majorHAnsi"/>
                <w:b/>
                <w:bCs/>
                <w:color w:val="4F81BD" w:themeColor="accent1"/>
              </w:rPr>
            </w:pPr>
            <w:r w:rsidRPr="00EC040C">
              <w:rPr>
                <w:rFonts w:asciiTheme="majorHAnsi" w:eastAsia="Times New Roman" w:hAnsiTheme="majorHAnsi"/>
                <w:color w:val="000000"/>
                <w:shd w:val="clear" w:color="auto" w:fill="FFFFFF"/>
              </w:rPr>
              <w:t>2021</w:t>
            </w:r>
          </w:p>
        </w:tc>
        <w:tc>
          <w:tcPr>
            <w:tcW w:w="8647" w:type="dxa"/>
          </w:tcPr>
          <w:p w14:paraId="3B356083" w14:textId="6263B992" w:rsidR="00B638B4" w:rsidRPr="00EC040C" w:rsidRDefault="00E54C51" w:rsidP="00857654">
            <w:pPr>
              <w:rPr>
                <w:rFonts w:asciiTheme="majorHAnsi" w:eastAsia="Times New Roman" w:hAnsiTheme="majorHAnsi"/>
              </w:rPr>
            </w:pPr>
            <w:r w:rsidRPr="00EC040C">
              <w:rPr>
                <w:rFonts w:asciiTheme="majorHAnsi" w:eastAsia="Times New Roman" w:hAnsiTheme="majorHAnsi"/>
                <w:color w:val="000000"/>
                <w:shd w:val="clear" w:color="auto" w:fill="FFFFFF"/>
              </w:rPr>
              <w:t>The second</w:t>
            </w:r>
            <w:r w:rsidR="00511FE7" w:rsidRPr="00EC040C">
              <w:rPr>
                <w:rFonts w:asciiTheme="majorHAnsi" w:eastAsia="Times New Roman" w:hAnsiTheme="majorHAnsi"/>
                <w:color w:val="000000"/>
                <w:shd w:val="clear" w:color="auto" w:fill="FFFFFF"/>
              </w:rPr>
              <w:t xml:space="preserve"> management cycle to end</w:t>
            </w:r>
            <w:r w:rsidR="00B638B4" w:rsidRPr="00EC040C">
              <w:rPr>
                <w:rFonts w:asciiTheme="majorHAnsi" w:eastAsia="Times New Roman" w:hAnsiTheme="majorHAnsi"/>
                <w:color w:val="000000"/>
                <w:shd w:val="clear" w:color="auto" w:fill="FFFFFF"/>
              </w:rPr>
              <w:t xml:space="preserve"> (WFD Art. 4 &amp; 13).</w:t>
            </w:r>
          </w:p>
        </w:tc>
      </w:tr>
      <w:tr w:rsidR="00B638B4" w:rsidRPr="00EC040C" w14:paraId="32D0C8FD" w14:textId="77777777" w:rsidTr="00857654">
        <w:trPr>
          <w:trHeight w:val="141"/>
        </w:trPr>
        <w:tc>
          <w:tcPr>
            <w:tcW w:w="675" w:type="dxa"/>
            <w:vAlign w:val="center"/>
          </w:tcPr>
          <w:p w14:paraId="4C4DA422" w14:textId="77777777" w:rsidR="00B638B4" w:rsidRPr="00EC040C" w:rsidRDefault="00B638B4" w:rsidP="00857654">
            <w:pPr>
              <w:jc w:val="center"/>
              <w:rPr>
                <w:rFonts w:asciiTheme="majorHAnsi" w:eastAsia="Times New Roman" w:hAnsiTheme="majorHAnsi"/>
                <w:b/>
                <w:bCs/>
                <w:color w:val="000000"/>
                <w:shd w:val="clear" w:color="auto" w:fill="FFFFFF"/>
              </w:rPr>
            </w:pPr>
            <w:r w:rsidRPr="00EC040C">
              <w:rPr>
                <w:rFonts w:asciiTheme="majorHAnsi" w:eastAsia="Times New Roman" w:hAnsiTheme="majorHAnsi"/>
                <w:color w:val="000000"/>
                <w:shd w:val="clear" w:color="auto" w:fill="FFFFFF"/>
              </w:rPr>
              <w:t>2027</w:t>
            </w:r>
          </w:p>
        </w:tc>
        <w:tc>
          <w:tcPr>
            <w:tcW w:w="8647" w:type="dxa"/>
          </w:tcPr>
          <w:p w14:paraId="599E8E95" w14:textId="28394654" w:rsidR="00B638B4" w:rsidRPr="00EC040C" w:rsidRDefault="00B638B4" w:rsidP="00857654">
            <w:pPr>
              <w:rPr>
                <w:rFonts w:asciiTheme="majorHAnsi" w:eastAsia="Times New Roman" w:hAnsiTheme="majorHAnsi"/>
              </w:rPr>
            </w:pPr>
            <w:r w:rsidRPr="00EC040C">
              <w:rPr>
                <w:rFonts w:asciiTheme="majorHAnsi" w:eastAsia="Times New Roman" w:hAnsiTheme="majorHAnsi"/>
                <w:color w:val="000000"/>
                <w:shd w:val="clear" w:color="auto" w:fill="FFFFFF"/>
              </w:rPr>
              <w:t>Third management cycle to end. The final d</w:t>
            </w:r>
            <w:r w:rsidR="00511FE7" w:rsidRPr="00EC040C">
              <w:rPr>
                <w:rFonts w:asciiTheme="majorHAnsi" w:eastAsia="Times New Roman" w:hAnsiTheme="majorHAnsi"/>
                <w:color w:val="000000"/>
                <w:shd w:val="clear" w:color="auto" w:fill="FFFFFF"/>
              </w:rPr>
              <w:t xml:space="preserve">eadline for meeting objectives </w:t>
            </w:r>
            <w:r w:rsidRPr="00EC040C">
              <w:rPr>
                <w:rFonts w:asciiTheme="majorHAnsi" w:eastAsia="Times New Roman" w:hAnsiTheme="majorHAnsi"/>
                <w:color w:val="000000"/>
                <w:shd w:val="clear" w:color="auto" w:fill="FFFFFF"/>
              </w:rPr>
              <w:t>(WFD Art. 4 &amp; 13).</w:t>
            </w:r>
          </w:p>
        </w:tc>
      </w:tr>
    </w:tbl>
    <w:p w14:paraId="0EBB6A1B" w14:textId="77777777" w:rsidR="00B638B4" w:rsidRPr="00EC040C" w:rsidRDefault="00B638B4">
      <w:pPr>
        <w:rPr>
          <w:rFonts w:asciiTheme="majorHAnsi" w:hAnsiTheme="majorHAnsi"/>
          <w:sz w:val="22"/>
          <w:szCs w:val="22"/>
        </w:rPr>
      </w:pPr>
    </w:p>
    <w:p w14:paraId="46E23944" w14:textId="77777777" w:rsidR="00B638B4" w:rsidRPr="00EC040C" w:rsidRDefault="00B638B4">
      <w:pPr>
        <w:rPr>
          <w:rFonts w:asciiTheme="majorHAnsi" w:hAnsiTheme="majorHAnsi"/>
          <w:sz w:val="22"/>
          <w:szCs w:val="22"/>
        </w:rPr>
      </w:pPr>
      <w:r w:rsidRPr="00EC040C">
        <w:rPr>
          <w:rFonts w:asciiTheme="majorHAnsi" w:hAnsiTheme="majorHAnsi"/>
          <w:sz w:val="22"/>
          <w:szCs w:val="22"/>
        </w:rPr>
        <w:br w:type="page"/>
      </w:r>
    </w:p>
    <w:p w14:paraId="6FBBCD07" w14:textId="4BF19D55" w:rsidR="00B638B4" w:rsidRPr="00EC040C" w:rsidRDefault="00B638B4" w:rsidP="00B638B4">
      <w:pPr>
        <w:pStyle w:val="Caption"/>
        <w:keepNext/>
        <w:rPr>
          <w:rFonts w:asciiTheme="majorHAnsi" w:hAnsiTheme="majorHAnsi"/>
          <w:color w:val="auto"/>
          <w:sz w:val="22"/>
          <w:szCs w:val="22"/>
        </w:rPr>
      </w:pPr>
      <w:r w:rsidRPr="00EC040C">
        <w:rPr>
          <w:rFonts w:asciiTheme="majorHAnsi" w:hAnsiTheme="majorHAnsi"/>
          <w:color w:val="auto"/>
          <w:sz w:val="22"/>
          <w:szCs w:val="22"/>
        </w:rPr>
        <w:t xml:space="preserve">Table S3 </w:t>
      </w:r>
      <w:r w:rsidRPr="00EC040C">
        <w:rPr>
          <w:rFonts w:asciiTheme="majorHAnsi" w:hAnsiTheme="majorHAnsi"/>
          <w:b w:val="0"/>
          <w:color w:val="auto"/>
          <w:sz w:val="22"/>
          <w:szCs w:val="22"/>
        </w:rPr>
        <w:t xml:space="preserve">Summary table of WFD related infringement cases examples </w:t>
      </w:r>
    </w:p>
    <w:tbl>
      <w:tblPr>
        <w:tblW w:w="490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269"/>
        <w:gridCol w:w="5692"/>
      </w:tblGrid>
      <w:tr w:rsidR="00B638B4" w:rsidRPr="00EC040C" w14:paraId="2730DE61" w14:textId="77777777" w:rsidTr="00857654">
        <w:trPr>
          <w:trHeight w:val="20"/>
        </w:trPr>
        <w:tc>
          <w:tcPr>
            <w:tcW w:w="837" w:type="pct"/>
            <w:shd w:val="clear" w:color="auto" w:fill="auto"/>
            <w:vAlign w:val="center"/>
          </w:tcPr>
          <w:p w14:paraId="12B571E4" w14:textId="77777777" w:rsidR="00B638B4" w:rsidRPr="00EC040C" w:rsidRDefault="00B638B4" w:rsidP="00857654">
            <w:pPr>
              <w:rPr>
                <w:rFonts w:asciiTheme="majorHAnsi" w:eastAsia="Times New Roman" w:hAnsiTheme="majorHAnsi"/>
                <w:b/>
                <w:color w:val="000000"/>
                <w:sz w:val="22"/>
                <w:szCs w:val="22"/>
                <w:lang w:eastAsia="en-GB"/>
              </w:rPr>
            </w:pPr>
            <w:r w:rsidRPr="00EC040C">
              <w:rPr>
                <w:rFonts w:asciiTheme="majorHAnsi" w:eastAsia="Times New Roman" w:hAnsiTheme="majorHAnsi"/>
                <w:b/>
                <w:color w:val="000000"/>
                <w:sz w:val="22"/>
                <w:szCs w:val="22"/>
                <w:lang w:eastAsia="en-GB"/>
              </w:rPr>
              <w:t>Judgment of the Court</w:t>
            </w:r>
          </w:p>
        </w:tc>
        <w:tc>
          <w:tcPr>
            <w:tcW w:w="759" w:type="pct"/>
            <w:shd w:val="clear" w:color="auto" w:fill="auto"/>
            <w:vAlign w:val="center"/>
          </w:tcPr>
          <w:p w14:paraId="55DF047B" w14:textId="77777777" w:rsidR="00B638B4" w:rsidRPr="00EC040C" w:rsidRDefault="00B638B4" w:rsidP="00857654">
            <w:pPr>
              <w:rPr>
                <w:rFonts w:asciiTheme="majorHAnsi" w:eastAsia="Times New Roman" w:hAnsiTheme="majorHAnsi"/>
                <w:b/>
                <w:color w:val="000000"/>
                <w:sz w:val="22"/>
                <w:szCs w:val="22"/>
                <w:lang w:eastAsia="en-GB"/>
              </w:rPr>
            </w:pPr>
            <w:r w:rsidRPr="00EC040C">
              <w:rPr>
                <w:rFonts w:asciiTheme="majorHAnsi" w:eastAsia="Times New Roman" w:hAnsiTheme="majorHAnsi"/>
                <w:b/>
                <w:color w:val="000000"/>
                <w:sz w:val="22"/>
                <w:szCs w:val="22"/>
                <w:lang w:eastAsia="en-GB"/>
              </w:rPr>
              <w:t xml:space="preserve">State </w:t>
            </w:r>
          </w:p>
        </w:tc>
        <w:tc>
          <w:tcPr>
            <w:tcW w:w="3404" w:type="pct"/>
            <w:shd w:val="clear" w:color="auto" w:fill="auto"/>
            <w:vAlign w:val="center"/>
          </w:tcPr>
          <w:p w14:paraId="67BBB58D" w14:textId="77777777" w:rsidR="00B638B4" w:rsidRPr="00EC040C" w:rsidRDefault="00B638B4" w:rsidP="00857654">
            <w:pPr>
              <w:rPr>
                <w:rFonts w:asciiTheme="majorHAnsi" w:eastAsia="Times New Roman" w:hAnsiTheme="majorHAnsi"/>
                <w:b/>
                <w:color w:val="000000"/>
                <w:sz w:val="22"/>
                <w:szCs w:val="22"/>
                <w:lang w:eastAsia="en-GB"/>
              </w:rPr>
            </w:pPr>
            <w:r w:rsidRPr="00EC040C">
              <w:rPr>
                <w:rFonts w:asciiTheme="majorHAnsi" w:eastAsia="Times New Roman" w:hAnsiTheme="majorHAnsi"/>
                <w:b/>
                <w:color w:val="000000"/>
                <w:sz w:val="22"/>
                <w:szCs w:val="22"/>
                <w:lang w:eastAsia="en-GB"/>
              </w:rPr>
              <w:t>Failure of a Member State to fulfil obligations of Directive 2000/60/EC - Framework for Community action in the field of water policy</w:t>
            </w:r>
          </w:p>
        </w:tc>
      </w:tr>
      <w:tr w:rsidR="00B638B4" w:rsidRPr="00EC040C" w14:paraId="208996EA" w14:textId="77777777" w:rsidTr="00857654">
        <w:trPr>
          <w:trHeight w:val="20"/>
        </w:trPr>
        <w:tc>
          <w:tcPr>
            <w:tcW w:w="837" w:type="pct"/>
            <w:shd w:val="clear" w:color="auto" w:fill="auto"/>
            <w:vAlign w:val="center"/>
            <w:hideMark/>
          </w:tcPr>
          <w:p w14:paraId="18D00841"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 xml:space="preserve"> (Sixth Chamber) of 12 January 2006.</w:t>
            </w:r>
          </w:p>
        </w:tc>
        <w:tc>
          <w:tcPr>
            <w:tcW w:w="759" w:type="pct"/>
            <w:shd w:val="clear" w:color="auto" w:fill="auto"/>
            <w:vAlign w:val="center"/>
            <w:hideMark/>
          </w:tcPr>
          <w:p w14:paraId="7FD9775B"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Portuguese Republic</w:t>
            </w:r>
          </w:p>
        </w:tc>
        <w:tc>
          <w:tcPr>
            <w:tcW w:w="3404" w:type="pct"/>
            <w:shd w:val="clear" w:color="auto" w:fill="auto"/>
            <w:vAlign w:val="center"/>
            <w:hideMark/>
          </w:tcPr>
          <w:p w14:paraId="54C4E4C7"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Failure to transpose within the prescribed period.</w:t>
            </w:r>
          </w:p>
        </w:tc>
      </w:tr>
      <w:tr w:rsidR="00B638B4" w:rsidRPr="00EC040C" w14:paraId="276358A2" w14:textId="77777777" w:rsidTr="00857654">
        <w:trPr>
          <w:trHeight w:val="20"/>
        </w:trPr>
        <w:tc>
          <w:tcPr>
            <w:tcW w:w="837" w:type="pct"/>
            <w:shd w:val="clear" w:color="auto" w:fill="auto"/>
            <w:vAlign w:val="center"/>
            <w:hideMark/>
          </w:tcPr>
          <w:p w14:paraId="596F42B5"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(Sixth Chamber) of 12 January 2006.</w:t>
            </w:r>
          </w:p>
        </w:tc>
        <w:tc>
          <w:tcPr>
            <w:tcW w:w="759" w:type="pct"/>
            <w:shd w:val="clear" w:color="auto" w:fill="auto"/>
            <w:vAlign w:val="center"/>
            <w:hideMark/>
          </w:tcPr>
          <w:p w14:paraId="1C5F0055"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Italian Republic</w:t>
            </w:r>
          </w:p>
        </w:tc>
        <w:tc>
          <w:tcPr>
            <w:tcW w:w="3404" w:type="pct"/>
            <w:shd w:val="clear" w:color="auto" w:fill="auto"/>
            <w:vAlign w:val="center"/>
            <w:hideMark/>
          </w:tcPr>
          <w:p w14:paraId="039C89E9"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Failure to transpose within the prescribed period.</w:t>
            </w:r>
          </w:p>
        </w:tc>
      </w:tr>
      <w:tr w:rsidR="00B638B4" w:rsidRPr="00EC040C" w14:paraId="00C3EC5A" w14:textId="77777777" w:rsidTr="00857654">
        <w:trPr>
          <w:trHeight w:val="20"/>
        </w:trPr>
        <w:tc>
          <w:tcPr>
            <w:tcW w:w="837" w:type="pct"/>
            <w:shd w:val="clear" w:color="auto" w:fill="auto"/>
            <w:vAlign w:val="center"/>
            <w:hideMark/>
          </w:tcPr>
          <w:p w14:paraId="294C000A"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(Third Chamber) of 30 November 2006.</w:t>
            </w:r>
          </w:p>
        </w:tc>
        <w:tc>
          <w:tcPr>
            <w:tcW w:w="759" w:type="pct"/>
            <w:shd w:val="clear" w:color="auto" w:fill="auto"/>
            <w:vAlign w:val="center"/>
            <w:hideMark/>
          </w:tcPr>
          <w:p w14:paraId="63AA5A85"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Grand Duchy of Luxemburg</w:t>
            </w:r>
          </w:p>
        </w:tc>
        <w:tc>
          <w:tcPr>
            <w:tcW w:w="3404" w:type="pct"/>
            <w:shd w:val="clear" w:color="auto" w:fill="auto"/>
            <w:vAlign w:val="center"/>
            <w:hideMark/>
          </w:tcPr>
          <w:p w14:paraId="195F86D2"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Failure to notify implementing measures - Obligation to adopt framework legislation in national law - None - Incomplete implementation of or failure to implement Articles 2, 7(2) and 14.</w:t>
            </w:r>
          </w:p>
        </w:tc>
      </w:tr>
      <w:tr w:rsidR="00B638B4" w:rsidRPr="00EC040C" w14:paraId="74E5232D" w14:textId="77777777" w:rsidTr="00857654">
        <w:trPr>
          <w:trHeight w:val="20"/>
        </w:trPr>
        <w:tc>
          <w:tcPr>
            <w:tcW w:w="837" w:type="pct"/>
            <w:shd w:val="clear" w:color="auto" w:fill="auto"/>
            <w:vAlign w:val="center"/>
            <w:hideMark/>
          </w:tcPr>
          <w:p w14:paraId="774EE5CD"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(Eighth Chamber) of 18 December 2007.</w:t>
            </w:r>
          </w:p>
        </w:tc>
        <w:tc>
          <w:tcPr>
            <w:tcW w:w="759" w:type="pct"/>
            <w:shd w:val="clear" w:color="auto" w:fill="auto"/>
            <w:vAlign w:val="center"/>
            <w:hideMark/>
          </w:tcPr>
          <w:p w14:paraId="28D2D0A7"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Italian Republic</w:t>
            </w:r>
          </w:p>
        </w:tc>
        <w:tc>
          <w:tcPr>
            <w:tcW w:w="3404" w:type="pct"/>
            <w:shd w:val="clear" w:color="auto" w:fill="auto"/>
            <w:vAlign w:val="center"/>
            <w:hideMark/>
          </w:tcPr>
          <w:p w14:paraId="3A9B5A54"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Articles 5(1) and 15(2) - River basin district - Summary report and analyses - Communication thereof - None.</w:t>
            </w:r>
          </w:p>
        </w:tc>
      </w:tr>
      <w:tr w:rsidR="00B638B4" w:rsidRPr="00EC040C" w14:paraId="7847A2F0" w14:textId="77777777" w:rsidTr="00857654">
        <w:trPr>
          <w:trHeight w:val="20"/>
        </w:trPr>
        <w:tc>
          <w:tcPr>
            <w:tcW w:w="837" w:type="pct"/>
            <w:shd w:val="clear" w:color="auto" w:fill="auto"/>
            <w:vAlign w:val="center"/>
            <w:hideMark/>
          </w:tcPr>
          <w:p w14:paraId="15836D50"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(Seventh Chamber) of 31 January 2008.</w:t>
            </w:r>
          </w:p>
        </w:tc>
        <w:tc>
          <w:tcPr>
            <w:tcW w:w="759" w:type="pct"/>
            <w:shd w:val="clear" w:color="auto" w:fill="auto"/>
            <w:vAlign w:val="center"/>
            <w:hideMark/>
          </w:tcPr>
          <w:p w14:paraId="6E054231"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Hellenic Republic</w:t>
            </w:r>
          </w:p>
        </w:tc>
        <w:tc>
          <w:tcPr>
            <w:tcW w:w="3404" w:type="pct"/>
            <w:shd w:val="clear" w:color="auto" w:fill="auto"/>
            <w:vAlign w:val="center"/>
            <w:hideMark/>
          </w:tcPr>
          <w:p w14:paraId="5AC9517A"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Protection and management of water - Failure to undertake the analyses required - Failure to submit the summary reports required.</w:t>
            </w:r>
          </w:p>
        </w:tc>
      </w:tr>
      <w:tr w:rsidR="00B638B4" w:rsidRPr="00EC040C" w14:paraId="21677B50" w14:textId="77777777" w:rsidTr="00857654">
        <w:trPr>
          <w:trHeight w:val="20"/>
        </w:trPr>
        <w:tc>
          <w:tcPr>
            <w:tcW w:w="837" w:type="pct"/>
            <w:shd w:val="clear" w:color="auto" w:fill="auto"/>
            <w:vAlign w:val="center"/>
            <w:hideMark/>
          </w:tcPr>
          <w:p w14:paraId="6F42C76C"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 xml:space="preserve"> (Seventh Chamber) of 7 May 2009.</w:t>
            </w:r>
          </w:p>
        </w:tc>
        <w:tc>
          <w:tcPr>
            <w:tcW w:w="759" w:type="pct"/>
            <w:shd w:val="clear" w:color="auto" w:fill="auto"/>
            <w:vAlign w:val="center"/>
            <w:hideMark/>
          </w:tcPr>
          <w:p w14:paraId="6FE96C59"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Kingdom of Spain</w:t>
            </w:r>
          </w:p>
        </w:tc>
        <w:tc>
          <w:tcPr>
            <w:tcW w:w="3404" w:type="pct"/>
            <w:shd w:val="clear" w:color="auto" w:fill="auto"/>
            <w:vAlign w:val="center"/>
            <w:hideMark/>
          </w:tcPr>
          <w:p w14:paraId="68EE84BF"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Designation of competent authorities for hydrographic districts.</w:t>
            </w:r>
          </w:p>
        </w:tc>
      </w:tr>
      <w:tr w:rsidR="00B638B4" w:rsidRPr="00EC040C" w14:paraId="1514FA6C" w14:textId="77777777" w:rsidTr="00857654">
        <w:trPr>
          <w:trHeight w:val="20"/>
        </w:trPr>
        <w:tc>
          <w:tcPr>
            <w:tcW w:w="837" w:type="pct"/>
            <w:shd w:val="clear" w:color="auto" w:fill="auto"/>
            <w:vAlign w:val="center"/>
            <w:hideMark/>
          </w:tcPr>
          <w:p w14:paraId="19F2836E" w14:textId="5C7CAB5D"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w:t>
            </w:r>
            <w:r w:rsidR="00E54C51" w:rsidRPr="00EC040C">
              <w:rPr>
                <w:rFonts w:asciiTheme="majorHAnsi" w:eastAsia="Times New Roman" w:hAnsiTheme="majorHAnsi"/>
                <w:color w:val="000000"/>
                <w:sz w:val="22"/>
                <w:szCs w:val="22"/>
                <w:lang w:eastAsia="en-GB"/>
              </w:rPr>
              <w:t>First</w:t>
            </w:r>
            <w:r w:rsidRPr="00EC040C">
              <w:rPr>
                <w:rFonts w:asciiTheme="majorHAnsi" w:eastAsia="Times New Roman" w:hAnsiTheme="majorHAnsi"/>
                <w:color w:val="000000"/>
                <w:sz w:val="22"/>
                <w:szCs w:val="22"/>
                <w:lang w:eastAsia="en-GB"/>
              </w:rPr>
              <w:t xml:space="preserve"> Chamber) of 22 December 2010.</w:t>
            </w:r>
          </w:p>
        </w:tc>
        <w:tc>
          <w:tcPr>
            <w:tcW w:w="759" w:type="pct"/>
            <w:shd w:val="clear" w:color="auto" w:fill="auto"/>
            <w:vAlign w:val="center"/>
            <w:hideMark/>
          </w:tcPr>
          <w:p w14:paraId="07A8E4DC"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Republic of Malta</w:t>
            </w:r>
          </w:p>
        </w:tc>
        <w:tc>
          <w:tcPr>
            <w:tcW w:w="3404" w:type="pct"/>
            <w:shd w:val="clear" w:color="auto" w:fill="auto"/>
            <w:vAlign w:val="center"/>
            <w:hideMark/>
          </w:tcPr>
          <w:p w14:paraId="756093DA"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Articles 8 and 15 - Status of inland surface water - Establishment and making operational of monitoring programmes - Failure - Submission of summary reports on those monitoring programmes - Failure.</w:t>
            </w:r>
          </w:p>
        </w:tc>
      </w:tr>
      <w:tr w:rsidR="00B638B4" w:rsidRPr="00EC040C" w14:paraId="1AEE7819" w14:textId="77777777" w:rsidTr="00857654">
        <w:trPr>
          <w:trHeight w:val="20"/>
        </w:trPr>
        <w:tc>
          <w:tcPr>
            <w:tcW w:w="837" w:type="pct"/>
            <w:shd w:val="clear" w:color="auto" w:fill="auto"/>
            <w:vAlign w:val="center"/>
            <w:hideMark/>
          </w:tcPr>
          <w:p w14:paraId="60D7CE2F"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(Fifth Chamber) of 21 June 2012</w:t>
            </w:r>
          </w:p>
        </w:tc>
        <w:tc>
          <w:tcPr>
            <w:tcW w:w="759" w:type="pct"/>
            <w:shd w:val="clear" w:color="auto" w:fill="auto"/>
            <w:vAlign w:val="center"/>
            <w:hideMark/>
          </w:tcPr>
          <w:p w14:paraId="520DCFD1"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Portuguese Republic</w:t>
            </w:r>
          </w:p>
        </w:tc>
        <w:tc>
          <w:tcPr>
            <w:tcW w:w="3404" w:type="pct"/>
            <w:shd w:val="clear" w:color="auto" w:fill="auto"/>
            <w:vAlign w:val="center"/>
            <w:hideMark/>
          </w:tcPr>
          <w:p w14:paraId="76EA7098"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RBMPs — Publication and notification to the Commission — None — Information and consultation of the public on the envisaged management plans — None</w:t>
            </w:r>
          </w:p>
        </w:tc>
      </w:tr>
      <w:tr w:rsidR="00B638B4" w:rsidRPr="00EC040C" w14:paraId="0E37D432" w14:textId="77777777" w:rsidTr="00857654">
        <w:trPr>
          <w:trHeight w:val="20"/>
        </w:trPr>
        <w:tc>
          <w:tcPr>
            <w:tcW w:w="837" w:type="pct"/>
            <w:shd w:val="clear" w:color="auto" w:fill="auto"/>
            <w:vAlign w:val="center"/>
            <w:hideMark/>
          </w:tcPr>
          <w:p w14:paraId="49821ABE"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(Fifth Chamber) of 24 May 2012.</w:t>
            </w:r>
          </w:p>
        </w:tc>
        <w:tc>
          <w:tcPr>
            <w:tcW w:w="759" w:type="pct"/>
            <w:shd w:val="clear" w:color="auto" w:fill="auto"/>
            <w:vAlign w:val="center"/>
            <w:hideMark/>
          </w:tcPr>
          <w:p w14:paraId="1F48C5B0"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Kingdom of Belgium</w:t>
            </w:r>
          </w:p>
        </w:tc>
        <w:tc>
          <w:tcPr>
            <w:tcW w:w="3404" w:type="pct"/>
            <w:shd w:val="clear" w:color="auto" w:fill="auto"/>
            <w:vAlign w:val="center"/>
            <w:hideMark/>
          </w:tcPr>
          <w:p w14:paraId="45D4C289"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RBMPs- Publication and notification to the Commission - Lack - Public information and consultation concerning the draft management plans - Lack.</w:t>
            </w:r>
          </w:p>
        </w:tc>
      </w:tr>
      <w:tr w:rsidR="00B638B4" w:rsidRPr="00EC040C" w14:paraId="0697139B" w14:textId="77777777" w:rsidTr="00857654">
        <w:trPr>
          <w:trHeight w:val="20"/>
        </w:trPr>
        <w:tc>
          <w:tcPr>
            <w:tcW w:w="837" w:type="pct"/>
            <w:shd w:val="clear" w:color="auto" w:fill="auto"/>
            <w:vAlign w:val="center"/>
            <w:hideMark/>
          </w:tcPr>
          <w:p w14:paraId="0ED42E26"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(Sixth Chamber) of 19 April 2012.</w:t>
            </w:r>
          </w:p>
        </w:tc>
        <w:tc>
          <w:tcPr>
            <w:tcW w:w="759" w:type="pct"/>
            <w:shd w:val="clear" w:color="auto" w:fill="auto"/>
            <w:vAlign w:val="center"/>
            <w:hideMark/>
          </w:tcPr>
          <w:p w14:paraId="7CFB332E"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Hellenic Republic</w:t>
            </w:r>
          </w:p>
        </w:tc>
        <w:tc>
          <w:tcPr>
            <w:tcW w:w="3404" w:type="pct"/>
            <w:shd w:val="clear" w:color="auto" w:fill="auto"/>
            <w:vAlign w:val="center"/>
            <w:hideMark/>
          </w:tcPr>
          <w:p w14:paraId="4BE76193"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RBMPs - Publication - Public information and consultation - Failure to notify the Commission.</w:t>
            </w:r>
          </w:p>
        </w:tc>
      </w:tr>
      <w:tr w:rsidR="00B638B4" w:rsidRPr="00EC040C" w14:paraId="586A5ACA" w14:textId="77777777" w:rsidTr="00857654">
        <w:trPr>
          <w:trHeight w:val="20"/>
        </w:trPr>
        <w:tc>
          <w:tcPr>
            <w:tcW w:w="837" w:type="pct"/>
            <w:shd w:val="clear" w:color="auto" w:fill="auto"/>
            <w:vAlign w:val="center"/>
            <w:hideMark/>
          </w:tcPr>
          <w:p w14:paraId="6CD7D48F"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(Sixth Chamber) of 4 October 2012.</w:t>
            </w:r>
          </w:p>
        </w:tc>
        <w:tc>
          <w:tcPr>
            <w:tcW w:w="759" w:type="pct"/>
            <w:shd w:val="clear" w:color="auto" w:fill="auto"/>
            <w:vAlign w:val="center"/>
            <w:hideMark/>
          </w:tcPr>
          <w:p w14:paraId="2F025515"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Kingdom of Spain</w:t>
            </w:r>
          </w:p>
        </w:tc>
        <w:tc>
          <w:tcPr>
            <w:tcW w:w="3404" w:type="pct"/>
            <w:shd w:val="clear" w:color="auto" w:fill="auto"/>
            <w:vAlign w:val="center"/>
            <w:hideMark/>
          </w:tcPr>
          <w:p w14:paraId="0786C619"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RBMPs - Publication and reporting to the Commission - Public information and consultation - Failure to undertake.</w:t>
            </w:r>
          </w:p>
        </w:tc>
      </w:tr>
      <w:tr w:rsidR="00B638B4" w:rsidRPr="00EC040C" w14:paraId="5F05FC08" w14:textId="77777777" w:rsidTr="00857654">
        <w:trPr>
          <w:trHeight w:val="20"/>
        </w:trPr>
        <w:tc>
          <w:tcPr>
            <w:tcW w:w="837" w:type="pct"/>
            <w:shd w:val="clear" w:color="auto" w:fill="auto"/>
            <w:vAlign w:val="center"/>
            <w:hideMark/>
          </w:tcPr>
          <w:p w14:paraId="0329C995"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(Fifth Chamber), 24 October 2013</w:t>
            </w:r>
          </w:p>
        </w:tc>
        <w:tc>
          <w:tcPr>
            <w:tcW w:w="759" w:type="pct"/>
            <w:shd w:val="clear" w:color="auto" w:fill="auto"/>
            <w:vAlign w:val="center"/>
            <w:hideMark/>
          </w:tcPr>
          <w:p w14:paraId="75271691"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Kingdom of Spain</w:t>
            </w:r>
          </w:p>
        </w:tc>
        <w:tc>
          <w:tcPr>
            <w:tcW w:w="3404" w:type="pct"/>
            <w:shd w:val="clear" w:color="auto" w:fill="auto"/>
            <w:vAlign w:val="center"/>
            <w:hideMark/>
          </w:tcPr>
          <w:p w14:paraId="7799B6C8"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 xml:space="preserve"> Transposition of Articles 4(8), 7(2), 10(1) and (2) of and sections 1.3 and 1.4 of Annex V to Directive 2000/60 — Intra-communal and inter-communal river basins — Article 149(3) of the Spanish Constitution — Supplementing clause</w:t>
            </w:r>
          </w:p>
        </w:tc>
      </w:tr>
      <w:tr w:rsidR="00B638B4" w:rsidRPr="00EC040C" w14:paraId="4F5E9E69" w14:textId="77777777" w:rsidTr="00857654">
        <w:trPr>
          <w:trHeight w:val="20"/>
        </w:trPr>
        <w:tc>
          <w:tcPr>
            <w:tcW w:w="837" w:type="pct"/>
            <w:shd w:val="clear" w:color="auto" w:fill="auto"/>
            <w:vAlign w:val="center"/>
            <w:hideMark/>
          </w:tcPr>
          <w:p w14:paraId="03A2B5F9" w14:textId="2F8313CC"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w:t>
            </w:r>
            <w:r w:rsidR="00E54C51" w:rsidRPr="00EC040C">
              <w:rPr>
                <w:rFonts w:asciiTheme="majorHAnsi" w:eastAsia="Times New Roman" w:hAnsiTheme="majorHAnsi"/>
                <w:color w:val="000000"/>
                <w:sz w:val="22"/>
                <w:szCs w:val="22"/>
                <w:lang w:eastAsia="en-GB"/>
              </w:rPr>
              <w:t>Second</w:t>
            </w:r>
            <w:r w:rsidRPr="00EC040C">
              <w:rPr>
                <w:rFonts w:asciiTheme="majorHAnsi" w:eastAsia="Times New Roman" w:hAnsiTheme="majorHAnsi"/>
                <w:color w:val="000000"/>
                <w:sz w:val="22"/>
                <w:szCs w:val="22"/>
                <w:lang w:eastAsia="en-GB"/>
              </w:rPr>
              <w:t xml:space="preserve"> Chamber) of 11 September 2014.</w:t>
            </w:r>
          </w:p>
        </w:tc>
        <w:tc>
          <w:tcPr>
            <w:tcW w:w="759" w:type="pct"/>
            <w:shd w:val="clear" w:color="auto" w:fill="auto"/>
            <w:vAlign w:val="center"/>
            <w:hideMark/>
          </w:tcPr>
          <w:p w14:paraId="142BB6A0"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Federal Republic of Germany</w:t>
            </w:r>
          </w:p>
        </w:tc>
        <w:tc>
          <w:tcPr>
            <w:tcW w:w="3404" w:type="pct"/>
            <w:shd w:val="clear" w:color="auto" w:fill="auto"/>
            <w:vAlign w:val="center"/>
            <w:hideMark/>
          </w:tcPr>
          <w:p w14:paraId="6C09CF32"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Recovery of the costs for water services - Concept of ‘water services’.</w:t>
            </w:r>
          </w:p>
        </w:tc>
      </w:tr>
      <w:tr w:rsidR="00B638B4" w:rsidRPr="00EC040C" w14:paraId="2A69763C" w14:textId="77777777" w:rsidTr="00857654">
        <w:trPr>
          <w:trHeight w:val="20"/>
        </w:trPr>
        <w:tc>
          <w:tcPr>
            <w:tcW w:w="837" w:type="pct"/>
            <w:shd w:val="clear" w:color="auto" w:fill="auto"/>
            <w:vAlign w:val="center"/>
            <w:hideMark/>
          </w:tcPr>
          <w:p w14:paraId="7BEFF5B0"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(Eighth Chamber) of 6 November 2014</w:t>
            </w:r>
          </w:p>
        </w:tc>
        <w:tc>
          <w:tcPr>
            <w:tcW w:w="759" w:type="pct"/>
            <w:shd w:val="clear" w:color="auto" w:fill="auto"/>
            <w:vAlign w:val="center"/>
            <w:hideMark/>
          </w:tcPr>
          <w:p w14:paraId="3FB14F15"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Kingdom of Denmark</w:t>
            </w:r>
          </w:p>
        </w:tc>
        <w:tc>
          <w:tcPr>
            <w:tcW w:w="3404" w:type="pct"/>
            <w:shd w:val="clear" w:color="auto" w:fill="auto"/>
            <w:vAlign w:val="center"/>
            <w:hideMark/>
          </w:tcPr>
          <w:p w14:paraId="1033B312"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RBMPs— Publication — Failure to notify the European Commission</w:t>
            </w:r>
          </w:p>
        </w:tc>
      </w:tr>
      <w:tr w:rsidR="00B638B4" w:rsidRPr="00EC040C" w14:paraId="5D0A6559" w14:textId="77777777" w:rsidTr="00857654">
        <w:trPr>
          <w:trHeight w:val="20"/>
        </w:trPr>
        <w:tc>
          <w:tcPr>
            <w:tcW w:w="837" w:type="pct"/>
            <w:shd w:val="clear" w:color="auto" w:fill="auto"/>
            <w:vAlign w:val="center"/>
            <w:hideMark/>
          </w:tcPr>
          <w:p w14:paraId="2AE99438" w14:textId="2BBFE953"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w:t>
            </w:r>
            <w:r w:rsidR="00E54C51" w:rsidRPr="00EC040C">
              <w:rPr>
                <w:rFonts w:asciiTheme="majorHAnsi" w:eastAsia="Times New Roman" w:hAnsiTheme="majorHAnsi"/>
                <w:color w:val="000000"/>
                <w:sz w:val="22"/>
                <w:szCs w:val="22"/>
                <w:lang w:eastAsia="en-GB"/>
              </w:rPr>
              <w:t>First</w:t>
            </w:r>
            <w:r w:rsidRPr="00EC040C">
              <w:rPr>
                <w:rFonts w:asciiTheme="majorHAnsi" w:eastAsia="Times New Roman" w:hAnsiTheme="majorHAnsi"/>
                <w:color w:val="000000"/>
                <w:sz w:val="22"/>
                <w:szCs w:val="22"/>
                <w:lang w:eastAsia="en-GB"/>
              </w:rPr>
              <w:t xml:space="preserve"> Chamber) of 4 May 2016</w:t>
            </w:r>
          </w:p>
        </w:tc>
        <w:tc>
          <w:tcPr>
            <w:tcW w:w="759" w:type="pct"/>
            <w:shd w:val="clear" w:color="auto" w:fill="auto"/>
            <w:vAlign w:val="center"/>
            <w:hideMark/>
          </w:tcPr>
          <w:p w14:paraId="5DE7F991"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Republic of Austria</w:t>
            </w:r>
          </w:p>
        </w:tc>
        <w:tc>
          <w:tcPr>
            <w:tcW w:w="3404" w:type="pct"/>
            <w:shd w:val="clear" w:color="auto" w:fill="auto"/>
            <w:vAlign w:val="center"/>
            <w:hideMark/>
          </w:tcPr>
          <w:p w14:paraId="275E059F"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Article 4(1) — Prevention of deterioration of the status of bodies of surface water — Article 4(7) — Derogation from the prohibition of deterioration — Overriding public interest — Authorisation to construct a hydropower plant on the Schwarze Sulm River (Austria) — Deterioration of the water status</w:t>
            </w:r>
          </w:p>
        </w:tc>
      </w:tr>
      <w:tr w:rsidR="00B638B4" w:rsidRPr="00EC040C" w14:paraId="255A1D26" w14:textId="77777777" w:rsidTr="00857654">
        <w:trPr>
          <w:trHeight w:val="20"/>
        </w:trPr>
        <w:tc>
          <w:tcPr>
            <w:tcW w:w="837" w:type="pct"/>
            <w:shd w:val="clear" w:color="auto" w:fill="auto"/>
            <w:vAlign w:val="center"/>
            <w:hideMark/>
          </w:tcPr>
          <w:p w14:paraId="72DEF732"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(Sixth Chamber) of 30 June 2016</w:t>
            </w:r>
          </w:p>
        </w:tc>
        <w:tc>
          <w:tcPr>
            <w:tcW w:w="759" w:type="pct"/>
            <w:shd w:val="clear" w:color="auto" w:fill="auto"/>
            <w:vAlign w:val="center"/>
            <w:hideMark/>
          </w:tcPr>
          <w:p w14:paraId="6EBE40A2"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EC v Republic of Poland</w:t>
            </w:r>
          </w:p>
        </w:tc>
        <w:tc>
          <w:tcPr>
            <w:tcW w:w="3404" w:type="pct"/>
            <w:shd w:val="clear" w:color="auto" w:fill="auto"/>
            <w:vAlign w:val="center"/>
            <w:hideMark/>
          </w:tcPr>
          <w:p w14:paraId="13C27047" w14:textId="77777777" w:rsidR="00B638B4" w:rsidRPr="00EC040C" w:rsidRDefault="00B638B4" w:rsidP="00857654">
            <w:pPr>
              <w:rPr>
                <w:rFonts w:asciiTheme="majorHAnsi" w:eastAsia="Times New Roman" w:hAnsiTheme="majorHAnsi"/>
                <w:color w:val="000000"/>
                <w:sz w:val="22"/>
                <w:szCs w:val="22"/>
                <w:lang w:eastAsia="en-GB"/>
              </w:rPr>
            </w:pPr>
            <w:r w:rsidRPr="00EC040C">
              <w:rPr>
                <w:rFonts w:asciiTheme="majorHAnsi" w:eastAsia="Times New Roman" w:hAnsiTheme="majorHAnsi"/>
                <w:color w:val="000000"/>
                <w:sz w:val="22"/>
                <w:szCs w:val="22"/>
                <w:lang w:eastAsia="en-GB"/>
              </w:rPr>
              <w:t>Monitoring of the ecological status and the chemical status of surface waters — RBMPs</w:t>
            </w:r>
          </w:p>
        </w:tc>
      </w:tr>
    </w:tbl>
    <w:p w14:paraId="0D1D0DFB" w14:textId="77777777" w:rsidR="00B638B4" w:rsidRPr="00EC040C" w:rsidRDefault="00B638B4">
      <w:pPr>
        <w:rPr>
          <w:rFonts w:asciiTheme="majorHAnsi" w:hAnsiTheme="majorHAnsi"/>
          <w:sz w:val="22"/>
          <w:szCs w:val="22"/>
        </w:rPr>
      </w:pPr>
    </w:p>
    <w:sectPr w:rsidR="00B638B4" w:rsidRPr="00EC040C" w:rsidSect="00A95ED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8B4"/>
    <w:rsid w:val="00040BAF"/>
    <w:rsid w:val="000553C4"/>
    <w:rsid w:val="00162458"/>
    <w:rsid w:val="0036011F"/>
    <w:rsid w:val="00366A98"/>
    <w:rsid w:val="005115A9"/>
    <w:rsid w:val="00511FE7"/>
    <w:rsid w:val="00576C33"/>
    <w:rsid w:val="005E250F"/>
    <w:rsid w:val="00857654"/>
    <w:rsid w:val="008D0797"/>
    <w:rsid w:val="008F1E5F"/>
    <w:rsid w:val="009808D6"/>
    <w:rsid w:val="00A95EDE"/>
    <w:rsid w:val="00B638B4"/>
    <w:rsid w:val="00CC00E0"/>
    <w:rsid w:val="00D3063A"/>
    <w:rsid w:val="00D67772"/>
    <w:rsid w:val="00E54C51"/>
    <w:rsid w:val="00E963C6"/>
    <w:rsid w:val="00EC040C"/>
    <w:rsid w:val="00F765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87C3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8B4"/>
    <w:rPr>
      <w:rFonts w:ascii="Cambria" w:eastAsia="MS Mincho" w:hAnsi="Cambria" w:cs="Times New Roman"/>
    </w:rPr>
  </w:style>
  <w:style w:type="paragraph" w:styleId="Heading1">
    <w:name w:val="heading 1"/>
    <w:basedOn w:val="Normal"/>
    <w:next w:val="Normal"/>
    <w:link w:val="Heading1Char"/>
    <w:uiPriority w:val="9"/>
    <w:qFormat/>
    <w:rsid w:val="00B638B4"/>
    <w:pPr>
      <w:keepNext/>
      <w:keepLines/>
      <w:spacing w:before="48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38B4"/>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638B4"/>
    <w:rPr>
      <w:rFonts w:ascii="Calibri" w:eastAsia="MS Gothic" w:hAnsi="Calibri" w:cs="Times New Roman"/>
      <w:b/>
      <w:bCs/>
      <w:color w:val="345A8A"/>
      <w:sz w:val="32"/>
      <w:szCs w:val="32"/>
    </w:rPr>
  </w:style>
  <w:style w:type="character" w:styleId="Hyperlink">
    <w:name w:val="Hyperlink"/>
    <w:uiPriority w:val="99"/>
    <w:unhideWhenUsed/>
    <w:rsid w:val="00B638B4"/>
    <w:rPr>
      <w:color w:val="0000FF"/>
      <w:u w:val="single"/>
    </w:rPr>
  </w:style>
  <w:style w:type="paragraph" w:customStyle="1" w:styleId="02Authornames">
    <w:name w:val="02 Author names"/>
    <w:autoRedefine/>
    <w:rsid w:val="00B638B4"/>
    <w:pPr>
      <w:spacing w:after="120"/>
      <w:ind w:left="600" w:right="568"/>
      <w:jc w:val="center"/>
    </w:pPr>
    <w:rPr>
      <w:rFonts w:ascii="Times New Roman" w:eastAsia="Times New Roman" w:hAnsi="Times New Roman" w:cs="Times New Roman"/>
      <w:noProof/>
      <w:sz w:val="20"/>
      <w:szCs w:val="20"/>
      <w:lang w:eastAsia="en-GB"/>
    </w:rPr>
  </w:style>
  <w:style w:type="paragraph" w:styleId="Caption">
    <w:name w:val="caption"/>
    <w:basedOn w:val="Normal"/>
    <w:next w:val="Normal"/>
    <w:uiPriority w:val="35"/>
    <w:unhideWhenUsed/>
    <w:qFormat/>
    <w:rsid w:val="00B638B4"/>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B638B4"/>
    <w:rPr>
      <w:rFonts w:ascii="Lucida Grande" w:hAnsi="Lucida Grande"/>
      <w:sz w:val="18"/>
      <w:szCs w:val="18"/>
    </w:rPr>
  </w:style>
  <w:style w:type="character" w:customStyle="1" w:styleId="BalloonTextChar">
    <w:name w:val="Balloon Text Char"/>
    <w:basedOn w:val="DefaultParagraphFont"/>
    <w:link w:val="BalloonText"/>
    <w:uiPriority w:val="99"/>
    <w:semiHidden/>
    <w:rsid w:val="00B638B4"/>
    <w:rPr>
      <w:rFonts w:ascii="Lucida Grande" w:eastAsia="MS Mincho" w:hAnsi="Lucida Grande"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8B4"/>
    <w:rPr>
      <w:rFonts w:ascii="Cambria" w:eastAsia="MS Mincho" w:hAnsi="Cambria" w:cs="Times New Roman"/>
    </w:rPr>
  </w:style>
  <w:style w:type="paragraph" w:styleId="Heading1">
    <w:name w:val="heading 1"/>
    <w:basedOn w:val="Normal"/>
    <w:next w:val="Normal"/>
    <w:link w:val="Heading1Char"/>
    <w:uiPriority w:val="9"/>
    <w:qFormat/>
    <w:rsid w:val="00B638B4"/>
    <w:pPr>
      <w:keepNext/>
      <w:keepLines/>
      <w:spacing w:before="48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38B4"/>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638B4"/>
    <w:rPr>
      <w:rFonts w:ascii="Calibri" w:eastAsia="MS Gothic" w:hAnsi="Calibri" w:cs="Times New Roman"/>
      <w:b/>
      <w:bCs/>
      <w:color w:val="345A8A"/>
      <w:sz w:val="32"/>
      <w:szCs w:val="32"/>
    </w:rPr>
  </w:style>
  <w:style w:type="character" w:styleId="Hyperlink">
    <w:name w:val="Hyperlink"/>
    <w:uiPriority w:val="99"/>
    <w:unhideWhenUsed/>
    <w:rsid w:val="00B638B4"/>
    <w:rPr>
      <w:color w:val="0000FF"/>
      <w:u w:val="single"/>
    </w:rPr>
  </w:style>
  <w:style w:type="paragraph" w:customStyle="1" w:styleId="02Authornames">
    <w:name w:val="02 Author names"/>
    <w:autoRedefine/>
    <w:rsid w:val="00B638B4"/>
    <w:pPr>
      <w:spacing w:after="120"/>
      <w:ind w:left="600" w:right="568"/>
      <w:jc w:val="center"/>
    </w:pPr>
    <w:rPr>
      <w:rFonts w:ascii="Times New Roman" w:eastAsia="Times New Roman" w:hAnsi="Times New Roman" w:cs="Times New Roman"/>
      <w:noProof/>
      <w:sz w:val="20"/>
      <w:szCs w:val="20"/>
      <w:lang w:eastAsia="en-GB"/>
    </w:rPr>
  </w:style>
  <w:style w:type="paragraph" w:styleId="Caption">
    <w:name w:val="caption"/>
    <w:basedOn w:val="Normal"/>
    <w:next w:val="Normal"/>
    <w:uiPriority w:val="35"/>
    <w:unhideWhenUsed/>
    <w:qFormat/>
    <w:rsid w:val="00B638B4"/>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B638B4"/>
    <w:rPr>
      <w:rFonts w:ascii="Lucida Grande" w:hAnsi="Lucida Grande"/>
      <w:sz w:val="18"/>
      <w:szCs w:val="18"/>
    </w:rPr>
  </w:style>
  <w:style w:type="character" w:customStyle="1" w:styleId="BalloonTextChar">
    <w:name w:val="Balloon Text Char"/>
    <w:basedOn w:val="DefaultParagraphFont"/>
    <w:link w:val="BalloonText"/>
    <w:uiPriority w:val="99"/>
    <w:semiHidden/>
    <w:rsid w:val="00B638B4"/>
    <w:rPr>
      <w:rFonts w:ascii="Lucida Grande" w:eastAsia="MS Mincho" w:hAnsi="Lucida Grande"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n.voulvoulis@imperial.ac.uk"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2810</Words>
  <Characters>16018</Characters>
  <Application>Microsoft Macintosh Word</Application>
  <DocSecurity>0</DocSecurity>
  <Lines>133</Lines>
  <Paragraphs>37</Paragraphs>
  <ScaleCrop>false</ScaleCrop>
  <Company>Imperial College London</Company>
  <LinksUpToDate>false</LinksUpToDate>
  <CharactersWithSpaces>18791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Giakoumis</dc:creator>
  <cp:keywords/>
  <dc:description/>
  <cp:lastModifiedBy>Theo Giakoumis</cp:lastModifiedBy>
  <cp:revision>17</cp:revision>
  <dcterms:created xsi:type="dcterms:W3CDTF">2017-07-19T23:12:00Z</dcterms:created>
  <dcterms:modified xsi:type="dcterms:W3CDTF">2017-11-22T11:23:00Z</dcterms:modified>
</cp:coreProperties>
</file>